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spacing w:afterLines="50" w:line="560" w:lineRule="exact"/>
        <w:jc w:val="center"/>
        <w:rPr>
          <w:rFonts w:ascii="宋体" w:hAnsi="宋体" w:cs="宋体"/>
          <w:b/>
          <w:bCs/>
          <w:sz w:val="44"/>
          <w:szCs w:val="44"/>
        </w:rPr>
      </w:pPr>
      <w:r>
        <w:rPr>
          <w:rFonts w:hint="eastAsia" w:ascii="宋体" w:hAnsi="宋体" w:cs="宋体"/>
          <w:b/>
          <w:bCs/>
          <w:sz w:val="44"/>
          <w:szCs w:val="44"/>
        </w:rPr>
        <w:t>证券公司操作风险管理指引</w:t>
      </w:r>
    </w:p>
    <w:p>
      <w:pPr>
        <w:spacing w:afterLines="50" w:line="560" w:lineRule="exact"/>
        <w:rPr>
          <w:rFonts w:ascii="宋体" w:hAnsi="宋体" w:cs="宋体"/>
          <w:b/>
          <w:bCs/>
          <w:sz w:val="44"/>
          <w:szCs w:val="44"/>
        </w:rPr>
      </w:pPr>
    </w:p>
    <w:p>
      <w:pPr>
        <w:pStyle w:val="2"/>
        <w:numPr>
          <w:ilvl w:val="0"/>
          <w:numId w:val="1"/>
        </w:numPr>
        <w:jc w:val="center"/>
        <w:rPr>
          <w:rFonts w:ascii="仿宋" w:hAnsi="仿宋" w:eastAsia="仿宋" w:cs="仿宋"/>
          <w:sz w:val="32"/>
          <w:szCs w:val="32"/>
        </w:rPr>
      </w:pPr>
      <w:r>
        <w:rPr>
          <w:rFonts w:hint="eastAsia" w:ascii="仿宋" w:hAnsi="仿宋" w:eastAsia="仿宋" w:cs="仿宋"/>
          <w:sz w:val="32"/>
          <w:szCs w:val="32"/>
        </w:rPr>
        <w:t>总则</w:t>
      </w:r>
    </w:p>
    <w:p>
      <w:pPr>
        <w:pStyle w:val="11"/>
        <w:numPr>
          <w:ilvl w:val="0"/>
          <w:numId w:val="2"/>
        </w:numPr>
        <w:snapToGrid w:val="0"/>
        <w:spacing w:line="360" w:lineRule="auto"/>
        <w:ind w:left="0" w:firstLine="707" w:firstLineChars="221"/>
        <w:jc w:val="both"/>
        <w:textAlignment w:val="baseline"/>
        <w:rPr>
          <w:rFonts w:ascii="仿宋" w:hAnsi="仿宋" w:eastAsia="仿宋" w:cs="仿宋"/>
          <w:sz w:val="32"/>
          <w:szCs w:val="32"/>
        </w:rPr>
      </w:pPr>
      <w:r>
        <w:rPr>
          <w:rFonts w:hint="eastAsia" w:ascii="仿宋" w:hAnsi="仿宋" w:eastAsia="仿宋" w:cs="仿宋"/>
          <w:sz w:val="32"/>
          <w:szCs w:val="32"/>
        </w:rPr>
        <w:t> 为规范证券公司操作风险管理，完善全面风险管理体系，根据《中华人民共和国证券法》《证券公司监督管理条例》《证券公司风险控制指标管理办法》《证券公司全面风险管理规范》等法律法规、监管规定和自律规则，制定本指引。</w:t>
      </w:r>
    </w:p>
    <w:p>
      <w:pPr>
        <w:pStyle w:val="11"/>
        <w:numPr>
          <w:ilvl w:val="0"/>
          <w:numId w:val="2"/>
        </w:numPr>
        <w:snapToGrid w:val="0"/>
        <w:spacing w:line="360" w:lineRule="auto"/>
        <w:ind w:left="0" w:firstLine="707" w:firstLineChars="221"/>
        <w:jc w:val="both"/>
        <w:textAlignment w:val="baseline"/>
        <w:rPr>
          <w:rFonts w:ascii="仿宋" w:hAnsi="仿宋" w:eastAsia="仿宋" w:cs="仿宋"/>
          <w:sz w:val="32"/>
          <w:szCs w:val="32"/>
        </w:rPr>
      </w:pPr>
      <w:r>
        <w:rPr>
          <w:rFonts w:hint="eastAsia" w:ascii="仿宋" w:hAnsi="仿宋" w:eastAsia="仿宋" w:cs="仿宋"/>
          <w:sz w:val="32"/>
          <w:szCs w:val="32"/>
        </w:rPr>
        <w:t xml:space="preserve"> 本指引所称操作风险是指由不完善或有问题的内部程序、人员、信息技术系统，以及外部事件造成损失的风险。本定义所指操作风险包括法律风险，但不包括战略风险和声誉风险。</w:t>
      </w:r>
    </w:p>
    <w:p>
      <w:pPr>
        <w:pStyle w:val="11"/>
        <w:numPr>
          <w:ilvl w:val="0"/>
          <w:numId w:val="2"/>
        </w:numPr>
        <w:snapToGrid w:val="0"/>
        <w:spacing w:line="360" w:lineRule="auto"/>
        <w:ind w:left="0" w:firstLine="707" w:firstLineChars="221"/>
        <w:jc w:val="both"/>
        <w:textAlignment w:val="baseline"/>
        <w:rPr>
          <w:rFonts w:ascii="仿宋" w:hAnsi="仿宋" w:eastAsia="仿宋" w:cs="仿宋"/>
          <w:sz w:val="32"/>
          <w:szCs w:val="32"/>
        </w:rPr>
      </w:pPr>
      <w:r>
        <w:rPr>
          <w:rFonts w:hint="eastAsia" w:ascii="仿宋" w:hAnsi="仿宋" w:eastAsia="仿宋" w:cs="仿宋"/>
          <w:sz w:val="32"/>
          <w:szCs w:val="32"/>
        </w:rPr>
        <w:t xml:space="preserve"> 证券公司</w:t>
      </w:r>
      <w:r>
        <w:rPr>
          <w:rFonts w:ascii="仿宋" w:hAnsi="仿宋" w:eastAsia="仿宋" w:cs="仿宋"/>
          <w:sz w:val="32"/>
          <w:szCs w:val="32"/>
        </w:rPr>
        <w:t>应</w:t>
      </w:r>
      <w:r>
        <w:rPr>
          <w:rFonts w:hint="eastAsia" w:ascii="仿宋" w:hAnsi="仿宋" w:eastAsia="仿宋" w:cs="仿宋"/>
          <w:sz w:val="32"/>
          <w:szCs w:val="32"/>
        </w:rPr>
        <w:t>建立符合监管要求，与自身发展战略、业务特点、规模和复杂程度相适应的操作风险管理体系，将操作风险损失控制在自身可承受的范围内。</w:t>
      </w:r>
    </w:p>
    <w:p>
      <w:pPr>
        <w:pStyle w:val="11"/>
        <w:numPr>
          <w:ilvl w:val="0"/>
          <w:numId w:val="2"/>
        </w:numPr>
        <w:snapToGrid w:val="0"/>
        <w:spacing w:before="0" w:beforeAutospacing="0" w:after="0" w:afterAutospacing="0" w:line="360" w:lineRule="auto"/>
        <w:ind w:left="0" w:firstLine="707" w:firstLineChars="221"/>
        <w:jc w:val="both"/>
        <w:textAlignment w:val="baseline"/>
        <w:rPr>
          <w:rFonts w:ascii="仿宋" w:hAnsi="仿宋" w:eastAsia="仿宋" w:cs="仿宋"/>
          <w:sz w:val="32"/>
          <w:szCs w:val="32"/>
        </w:rPr>
      </w:pPr>
      <w:r>
        <w:rPr>
          <w:rFonts w:hint="eastAsia" w:ascii="仿宋" w:hAnsi="仿宋" w:eastAsia="仿宋" w:cs="仿宋"/>
          <w:sz w:val="32"/>
          <w:szCs w:val="32"/>
        </w:rPr>
        <w:t xml:space="preserve"> 证券公司操作风险管理应遵循以下基本原则：</w:t>
      </w:r>
    </w:p>
    <w:p>
      <w:pPr>
        <w:pStyle w:val="11"/>
        <w:snapToGrid w:val="0"/>
        <w:spacing w:before="0" w:beforeAutospacing="0" w:after="0" w:afterAutospacing="0" w:line="360" w:lineRule="auto"/>
        <w:ind w:firstLine="640" w:firstLineChars="200"/>
        <w:jc w:val="both"/>
        <w:textAlignment w:val="baseline"/>
        <w:rPr>
          <w:rFonts w:ascii="仿宋" w:hAnsi="仿宋" w:eastAsia="仿宋" w:cs="仿宋"/>
          <w:sz w:val="32"/>
          <w:szCs w:val="32"/>
        </w:rPr>
      </w:pPr>
      <w:r>
        <w:rPr>
          <w:rFonts w:hint="eastAsia" w:ascii="仿宋" w:hAnsi="仿宋" w:eastAsia="仿宋" w:cs="仿宋"/>
          <w:sz w:val="32"/>
          <w:szCs w:val="32"/>
        </w:rPr>
        <w:t>（一）全程全员原则。证券公司操作风险管理应覆盖证券公司各部门、分支机构、子公司以及比照子公司管理的各类孙公司（以下简称“子公司”），包含各类岗位、活动、流程、信息系统、产品等，贯穿决策、执行、监督、反馈等各个环节；</w:t>
      </w:r>
    </w:p>
    <w:p>
      <w:pPr>
        <w:pStyle w:val="11"/>
        <w:snapToGrid w:val="0"/>
        <w:spacing w:before="0" w:beforeAutospacing="0" w:after="0" w:afterAutospacing="0" w:line="360" w:lineRule="auto"/>
        <w:ind w:firstLine="640" w:firstLineChars="200"/>
        <w:jc w:val="both"/>
        <w:textAlignment w:val="baseline"/>
        <w:rPr>
          <w:rFonts w:ascii="仿宋" w:hAnsi="仿宋" w:eastAsia="仿宋" w:cs="仿宋"/>
          <w:sz w:val="32"/>
          <w:szCs w:val="32"/>
        </w:rPr>
      </w:pPr>
      <w:r>
        <w:rPr>
          <w:rFonts w:hint="eastAsia" w:ascii="仿宋" w:hAnsi="仿宋" w:eastAsia="仿宋" w:cs="仿宋"/>
          <w:sz w:val="32"/>
          <w:szCs w:val="32"/>
        </w:rPr>
        <w:t>（二）协同管理原则。证券公司操作风险管理应发挥各专业职能部门的作用，根据不同专业领域的特点与分工，有针对性地协同开展风险管理；</w:t>
      </w:r>
    </w:p>
    <w:p>
      <w:pPr>
        <w:pStyle w:val="11"/>
        <w:snapToGrid w:val="0"/>
        <w:spacing w:before="0" w:beforeAutospacing="0" w:after="0" w:afterAutospacing="0" w:line="360" w:lineRule="auto"/>
        <w:ind w:firstLine="640" w:firstLineChars="200"/>
        <w:jc w:val="both"/>
        <w:textAlignment w:val="baseline"/>
        <w:rPr>
          <w:rFonts w:ascii="仿宋" w:hAnsi="仿宋" w:eastAsia="仿宋" w:cs="仿宋"/>
          <w:sz w:val="32"/>
          <w:szCs w:val="32"/>
        </w:rPr>
      </w:pPr>
      <w:r>
        <w:rPr>
          <w:rFonts w:hint="eastAsia" w:ascii="仿宋" w:hAnsi="仿宋" w:eastAsia="仿宋" w:cs="仿宋"/>
          <w:sz w:val="32"/>
          <w:szCs w:val="32"/>
        </w:rPr>
        <w:t>（三）审慎应对原则。证券公司应审慎识别和控制各项经营管理活动的操作风险，对操作风险管理</w:t>
      </w:r>
      <w:r>
        <w:rPr>
          <w:rFonts w:hint="eastAsia" w:ascii="仿宋" w:hAnsi="仿宋" w:eastAsia="仿宋" w:cs="仿宋"/>
          <w:bCs/>
          <w:sz w:val="32"/>
          <w:szCs w:val="32"/>
        </w:rPr>
        <w:t>重点领域和环节加强风险识别、评估、监测与控制，最大程度地防范和减少操作风险事件对公司、行业造成的损失和负面影响；</w:t>
      </w:r>
    </w:p>
    <w:p>
      <w:pPr>
        <w:pStyle w:val="11"/>
        <w:snapToGrid w:val="0"/>
        <w:spacing w:before="0" w:beforeAutospacing="0" w:after="0" w:afterAutospacing="0" w:line="360" w:lineRule="auto"/>
        <w:ind w:firstLine="640" w:firstLineChars="200"/>
        <w:jc w:val="both"/>
        <w:textAlignment w:val="baseline"/>
        <w:rPr>
          <w:rFonts w:ascii="仿宋" w:hAnsi="仿宋" w:eastAsia="仿宋" w:cs="仿宋"/>
          <w:sz w:val="32"/>
          <w:szCs w:val="32"/>
        </w:rPr>
      </w:pPr>
      <w:r>
        <w:rPr>
          <w:rFonts w:hint="eastAsia" w:ascii="仿宋" w:hAnsi="仿宋" w:eastAsia="仿宋" w:cs="仿宋"/>
          <w:sz w:val="32"/>
          <w:szCs w:val="32"/>
        </w:rPr>
        <w:t>（四）防范预见原则。证券公司应充分识别和评估新业务、新产品涉及的操作风险，重视防范已有业务流程和信息系统等可能因新业务、新产品引发的操作风险。</w:t>
      </w:r>
    </w:p>
    <w:p>
      <w:pPr>
        <w:pStyle w:val="11"/>
        <w:numPr>
          <w:ilvl w:val="0"/>
          <w:numId w:val="2"/>
        </w:numPr>
        <w:snapToGrid w:val="0"/>
        <w:spacing w:before="0" w:beforeAutospacing="0" w:line="360" w:lineRule="auto"/>
        <w:ind w:left="0" w:firstLine="707" w:firstLineChars="221"/>
        <w:jc w:val="both"/>
        <w:textAlignment w:val="baseline"/>
        <w:rPr>
          <w:rFonts w:ascii="仿宋" w:hAnsi="仿宋" w:eastAsia="仿宋" w:cs="仿宋"/>
          <w:sz w:val="32"/>
          <w:szCs w:val="32"/>
        </w:rPr>
      </w:pPr>
      <w:r>
        <w:rPr>
          <w:rFonts w:hint="eastAsia" w:ascii="仿宋" w:hAnsi="仿宋" w:eastAsia="仿宋" w:cs="仿宋"/>
          <w:sz w:val="32"/>
          <w:szCs w:val="32"/>
        </w:rPr>
        <w:t xml:space="preserve"> 证券公司操作风险管理体系应当包括健全的组织架构、明晰的管理职责与分工、专业的人才队伍、可靠的信息技术系统、量化的风险指标体系和有效的风险应对机制，并通过可操作的管理制度，规范以上要求的落实与开展。</w:t>
      </w:r>
    </w:p>
    <w:p>
      <w:pPr>
        <w:pStyle w:val="11"/>
        <w:numPr>
          <w:ilvl w:val="0"/>
          <w:numId w:val="2"/>
        </w:numPr>
        <w:snapToGrid w:val="0"/>
        <w:spacing w:line="360" w:lineRule="auto"/>
        <w:ind w:left="0" w:firstLine="707" w:firstLineChars="221"/>
        <w:jc w:val="both"/>
        <w:textAlignment w:val="baseline"/>
        <w:rPr>
          <w:rFonts w:ascii="仿宋" w:hAnsi="仿宋" w:eastAsia="仿宋" w:cs="仿宋"/>
          <w:sz w:val="32"/>
          <w:szCs w:val="32"/>
        </w:rPr>
      </w:pPr>
      <w:r>
        <w:rPr>
          <w:rFonts w:hint="eastAsia" w:ascii="仿宋" w:hAnsi="仿宋" w:eastAsia="仿宋" w:cs="仿宋"/>
          <w:sz w:val="32"/>
          <w:szCs w:val="32"/>
        </w:rPr>
        <w:t xml:space="preserve"> 证券公司应树立全员防控操作风险的管理理念，开展操作风险管理相关培训，确保公司人员获得足够专业技能与风险管理知识，不断提升全员的操作风险管理意识与能力。</w:t>
      </w:r>
    </w:p>
    <w:p>
      <w:pPr>
        <w:pStyle w:val="2"/>
        <w:jc w:val="center"/>
        <w:rPr>
          <w:rFonts w:ascii="仿宋" w:hAnsi="仿宋" w:eastAsia="仿宋" w:cs="仿宋"/>
          <w:sz w:val="32"/>
          <w:szCs w:val="32"/>
        </w:rPr>
      </w:pPr>
      <w:r>
        <w:rPr>
          <w:rFonts w:hint="eastAsia" w:ascii="仿宋" w:hAnsi="仿宋" w:eastAsia="仿宋" w:cs="仿宋"/>
          <w:sz w:val="32"/>
          <w:szCs w:val="32"/>
        </w:rPr>
        <w:t>第二章 操作风险管理职责</w:t>
      </w:r>
    </w:p>
    <w:p>
      <w:pPr>
        <w:pStyle w:val="11"/>
        <w:numPr>
          <w:ilvl w:val="0"/>
          <w:numId w:val="2"/>
        </w:numPr>
        <w:snapToGrid w:val="0"/>
        <w:spacing w:before="0" w:beforeAutospacing="0" w:after="0" w:afterAutospacing="0" w:line="360" w:lineRule="auto"/>
        <w:ind w:left="0" w:firstLine="707" w:firstLineChars="221"/>
        <w:jc w:val="both"/>
        <w:textAlignment w:val="baseline"/>
        <w:rPr>
          <w:rFonts w:ascii="仿宋" w:hAnsi="仿宋" w:eastAsia="仿宋" w:cs="仿宋"/>
          <w:sz w:val="32"/>
          <w:szCs w:val="32"/>
        </w:rPr>
      </w:pPr>
      <w:r>
        <w:rPr>
          <w:rFonts w:hint="eastAsia" w:ascii="仿宋" w:hAnsi="仿宋" w:eastAsia="仿宋" w:cs="仿宋"/>
          <w:sz w:val="32"/>
          <w:szCs w:val="32"/>
        </w:rPr>
        <w:t xml:space="preserve"> 证券公司应建立有效的操作风险管理组织架构，明确董事会、监事会、经理层、各部门、分支机构、子公司在操作风险管理中的职责和报告路线，建立健全有效的考核及问责机制。</w:t>
      </w:r>
    </w:p>
    <w:p>
      <w:pPr>
        <w:pStyle w:val="11"/>
        <w:numPr>
          <w:ilvl w:val="0"/>
          <w:numId w:val="2"/>
        </w:numPr>
        <w:snapToGrid w:val="0"/>
        <w:spacing w:before="0" w:beforeAutospacing="0" w:after="0" w:afterAutospacing="0" w:line="360" w:lineRule="auto"/>
        <w:ind w:left="0" w:firstLine="707" w:firstLineChars="221"/>
        <w:jc w:val="both"/>
        <w:textAlignment w:val="baseline"/>
        <w:rPr>
          <w:rFonts w:ascii="仿宋" w:hAnsi="仿宋" w:eastAsia="仿宋" w:cs="仿宋"/>
          <w:sz w:val="32"/>
          <w:szCs w:val="32"/>
        </w:rPr>
      </w:pPr>
      <w:r>
        <w:rPr>
          <w:rFonts w:hint="eastAsia" w:ascii="仿宋" w:hAnsi="仿宋" w:eastAsia="仿宋" w:cs="仿宋"/>
          <w:sz w:val="32"/>
          <w:szCs w:val="32"/>
        </w:rPr>
        <w:t xml:space="preserve"> 证券公司董事会应将操作风险作为公司面临的一项重要风险，承担操作风险管理的最终责任，履行以下职责：</w:t>
      </w:r>
    </w:p>
    <w:p>
      <w:pPr>
        <w:pStyle w:val="11"/>
        <w:numPr>
          <w:ilvl w:val="0"/>
          <w:numId w:val="3"/>
        </w:numPr>
        <w:snapToGrid w:val="0"/>
        <w:spacing w:before="0" w:beforeAutospacing="0" w:after="0" w:afterAutospacing="0" w:line="360" w:lineRule="auto"/>
        <w:ind w:firstLine="640" w:firstLineChars="200"/>
        <w:jc w:val="both"/>
        <w:textAlignment w:val="baseline"/>
        <w:rPr>
          <w:rFonts w:ascii="仿宋" w:hAnsi="仿宋" w:eastAsia="仿宋" w:cs="仿宋"/>
          <w:sz w:val="32"/>
          <w:szCs w:val="32"/>
        </w:rPr>
      </w:pPr>
      <w:r>
        <w:rPr>
          <w:rFonts w:hint="eastAsia" w:ascii="仿宋" w:hAnsi="仿宋" w:eastAsia="仿宋" w:cs="仿宋"/>
          <w:sz w:val="32"/>
          <w:szCs w:val="32"/>
        </w:rPr>
        <w:t>推进公司操作风险管理文化建设；</w:t>
      </w:r>
    </w:p>
    <w:p>
      <w:pPr>
        <w:pStyle w:val="11"/>
        <w:numPr>
          <w:ilvl w:val="0"/>
          <w:numId w:val="3"/>
        </w:numPr>
        <w:snapToGrid w:val="0"/>
        <w:spacing w:before="0" w:beforeAutospacing="0" w:after="0" w:afterAutospacing="0" w:line="360" w:lineRule="auto"/>
        <w:ind w:firstLine="640" w:firstLineChars="200"/>
        <w:jc w:val="both"/>
        <w:textAlignment w:val="baseline"/>
        <w:rPr>
          <w:rFonts w:ascii="仿宋" w:hAnsi="仿宋" w:eastAsia="仿宋" w:cs="仿宋"/>
          <w:sz w:val="32"/>
          <w:szCs w:val="32"/>
        </w:rPr>
      </w:pPr>
      <w:r>
        <w:rPr>
          <w:rFonts w:hint="eastAsia" w:ascii="仿宋" w:hAnsi="仿宋" w:eastAsia="仿宋" w:cs="仿宋"/>
          <w:sz w:val="32"/>
          <w:szCs w:val="32"/>
        </w:rPr>
        <w:t>确定操作风险管理的总体目标，审议批准涵盖操作风险的公司风险偏好、容忍度等风险管理重大事项；</w:t>
      </w:r>
    </w:p>
    <w:p>
      <w:pPr>
        <w:pStyle w:val="11"/>
        <w:numPr>
          <w:ilvl w:val="0"/>
          <w:numId w:val="3"/>
        </w:numPr>
        <w:snapToGrid w:val="0"/>
        <w:spacing w:before="0" w:beforeAutospacing="0" w:after="0" w:afterAutospacing="0" w:line="360" w:lineRule="auto"/>
        <w:ind w:firstLine="640" w:firstLineChars="200"/>
        <w:jc w:val="both"/>
        <w:textAlignment w:val="baseline"/>
        <w:rPr>
          <w:rFonts w:ascii="仿宋" w:hAnsi="仿宋" w:eastAsia="仿宋" w:cs="仿宋"/>
          <w:sz w:val="32"/>
          <w:szCs w:val="32"/>
        </w:rPr>
      </w:pPr>
      <w:r>
        <w:rPr>
          <w:rFonts w:hint="eastAsia" w:ascii="仿宋" w:hAnsi="仿宋" w:eastAsia="仿宋" w:cs="仿宋"/>
          <w:sz w:val="32"/>
          <w:szCs w:val="32"/>
        </w:rPr>
        <w:t>确保经理层采取必要措施有效地识别、评估、监测、控制或缓释操作风险；</w:t>
      </w:r>
    </w:p>
    <w:p>
      <w:pPr>
        <w:pStyle w:val="11"/>
        <w:numPr>
          <w:ilvl w:val="0"/>
          <w:numId w:val="3"/>
        </w:numPr>
        <w:snapToGrid w:val="0"/>
        <w:spacing w:before="0" w:beforeAutospacing="0" w:after="0" w:afterAutospacing="0" w:line="360" w:lineRule="auto"/>
        <w:ind w:firstLine="640" w:firstLineChars="200"/>
        <w:jc w:val="both"/>
        <w:textAlignment w:val="baseline"/>
        <w:rPr>
          <w:rFonts w:ascii="仿宋" w:hAnsi="仿宋" w:eastAsia="仿宋" w:cs="仿宋"/>
          <w:sz w:val="32"/>
          <w:szCs w:val="32"/>
        </w:rPr>
      </w:pPr>
      <w:r>
        <w:rPr>
          <w:rFonts w:hint="eastAsia" w:ascii="仿宋" w:hAnsi="仿宋" w:eastAsia="仿宋" w:cs="仿宋"/>
          <w:sz w:val="32"/>
          <w:szCs w:val="32"/>
        </w:rPr>
        <w:t>审议经理层提交的操作风险定期报告，持续关注公司整体操作风险状况。</w:t>
      </w:r>
    </w:p>
    <w:p>
      <w:pPr>
        <w:pStyle w:val="11"/>
        <w:numPr>
          <w:ilvl w:val="0"/>
          <w:numId w:val="2"/>
        </w:numPr>
        <w:snapToGrid w:val="0"/>
        <w:spacing w:before="0" w:beforeAutospacing="0" w:after="0" w:afterAutospacing="0" w:line="360" w:lineRule="auto"/>
        <w:ind w:left="0" w:firstLine="707" w:firstLineChars="221"/>
        <w:jc w:val="both"/>
        <w:textAlignment w:val="baseline"/>
        <w:rPr>
          <w:rFonts w:ascii="仿宋" w:hAnsi="仿宋" w:eastAsia="仿宋" w:cs="仿宋"/>
          <w:sz w:val="32"/>
          <w:szCs w:val="32"/>
        </w:rPr>
      </w:pPr>
      <w:r>
        <w:rPr>
          <w:rFonts w:hint="eastAsia" w:ascii="仿宋" w:hAnsi="仿宋" w:eastAsia="仿宋" w:cs="仿宋"/>
          <w:sz w:val="32"/>
          <w:szCs w:val="32"/>
        </w:rPr>
        <w:t xml:space="preserve"> 证券公司监事会承担操作风险管理的监督责任，负责监督检查董事会和经理层在操作风险管理方面的履职尽责情况并督促整改。</w:t>
      </w:r>
    </w:p>
    <w:p>
      <w:pPr>
        <w:pStyle w:val="11"/>
        <w:numPr>
          <w:ilvl w:val="0"/>
          <w:numId w:val="2"/>
        </w:numPr>
        <w:snapToGrid w:val="0"/>
        <w:spacing w:before="0" w:beforeAutospacing="0" w:after="0" w:afterAutospacing="0" w:line="360" w:lineRule="auto"/>
        <w:ind w:left="0" w:firstLine="707" w:firstLineChars="221"/>
        <w:jc w:val="both"/>
        <w:textAlignment w:val="baseline"/>
        <w:rPr>
          <w:rFonts w:ascii="仿宋" w:hAnsi="仿宋" w:eastAsia="仿宋" w:cs="仿宋"/>
          <w:sz w:val="32"/>
          <w:szCs w:val="32"/>
        </w:rPr>
      </w:pPr>
      <w:r>
        <w:rPr>
          <w:rFonts w:hint="eastAsia" w:ascii="仿宋" w:hAnsi="仿宋" w:eastAsia="仿宋" w:cs="仿宋"/>
          <w:sz w:val="32"/>
          <w:szCs w:val="32"/>
        </w:rPr>
        <w:t xml:space="preserve"> 证券公司经理层对操作风险管理承担主要责任，应履行以下职责：</w:t>
      </w:r>
    </w:p>
    <w:p>
      <w:pPr>
        <w:pStyle w:val="11"/>
        <w:numPr>
          <w:ilvl w:val="0"/>
          <w:numId w:val="4"/>
        </w:numPr>
        <w:snapToGrid w:val="0"/>
        <w:spacing w:before="0" w:beforeAutospacing="0" w:after="0" w:afterAutospacing="0" w:line="360" w:lineRule="auto"/>
        <w:ind w:firstLine="640"/>
        <w:jc w:val="both"/>
        <w:textAlignment w:val="baseline"/>
        <w:rPr>
          <w:rFonts w:ascii="仿宋" w:hAnsi="仿宋" w:eastAsia="仿宋" w:cs="仿宋"/>
          <w:sz w:val="32"/>
          <w:szCs w:val="32"/>
        </w:rPr>
      </w:pPr>
      <w:r>
        <w:rPr>
          <w:rFonts w:hint="eastAsia" w:ascii="仿宋" w:hAnsi="仿宋" w:eastAsia="仿宋" w:cs="仿宋"/>
          <w:sz w:val="32"/>
          <w:szCs w:val="32"/>
        </w:rPr>
        <w:t>建立健全操作风险管理相关制度和流程；</w:t>
      </w:r>
    </w:p>
    <w:p>
      <w:pPr>
        <w:pStyle w:val="11"/>
        <w:numPr>
          <w:ilvl w:val="0"/>
          <w:numId w:val="4"/>
        </w:numPr>
        <w:snapToGrid w:val="0"/>
        <w:spacing w:before="0" w:beforeAutospacing="0" w:after="0" w:afterAutospacing="0" w:line="360" w:lineRule="auto"/>
        <w:ind w:firstLine="640"/>
        <w:jc w:val="both"/>
        <w:textAlignment w:val="baseline"/>
        <w:rPr>
          <w:rFonts w:ascii="仿宋" w:hAnsi="仿宋" w:eastAsia="仿宋" w:cs="仿宋"/>
          <w:sz w:val="32"/>
          <w:szCs w:val="32"/>
        </w:rPr>
      </w:pPr>
      <w:r>
        <w:rPr>
          <w:rFonts w:hint="eastAsia" w:ascii="仿宋" w:hAnsi="仿宋" w:eastAsia="仿宋" w:cs="仿宋"/>
          <w:sz w:val="32"/>
          <w:szCs w:val="32"/>
        </w:rPr>
        <w:t>确定操作风险管理组织架构，明确各部门操作风险管理职责并督促其切实履行；</w:t>
      </w:r>
    </w:p>
    <w:p>
      <w:pPr>
        <w:pStyle w:val="11"/>
        <w:numPr>
          <w:ilvl w:val="0"/>
          <w:numId w:val="4"/>
        </w:numPr>
        <w:snapToGrid w:val="0"/>
        <w:spacing w:before="0" w:beforeAutospacing="0" w:after="0" w:afterAutospacing="0" w:line="360" w:lineRule="auto"/>
        <w:ind w:firstLine="640"/>
        <w:jc w:val="both"/>
        <w:textAlignment w:val="baseline"/>
        <w:rPr>
          <w:rFonts w:ascii="仿宋" w:hAnsi="仿宋" w:eastAsia="仿宋" w:cs="仿宋"/>
          <w:sz w:val="32"/>
          <w:szCs w:val="32"/>
        </w:rPr>
      </w:pPr>
      <w:r>
        <w:rPr>
          <w:rFonts w:hint="eastAsia" w:ascii="仿宋" w:hAnsi="仿宋" w:eastAsia="仿宋" w:cs="仿宋"/>
          <w:sz w:val="32"/>
          <w:szCs w:val="32"/>
        </w:rPr>
        <w:t>确保操作风险偏好、容忍度等在公司内部的有效沟通、传达和实施；</w:t>
      </w:r>
    </w:p>
    <w:p>
      <w:pPr>
        <w:pStyle w:val="11"/>
        <w:numPr>
          <w:ilvl w:val="0"/>
          <w:numId w:val="4"/>
        </w:numPr>
        <w:snapToGrid w:val="0"/>
        <w:spacing w:before="0" w:beforeAutospacing="0" w:after="0" w:afterAutospacing="0" w:line="360" w:lineRule="auto"/>
        <w:ind w:firstLine="640"/>
        <w:jc w:val="both"/>
        <w:textAlignment w:val="baseline"/>
        <w:rPr>
          <w:rFonts w:ascii="仿宋" w:hAnsi="仿宋" w:eastAsia="仿宋" w:cs="仿宋"/>
          <w:sz w:val="32"/>
          <w:szCs w:val="32"/>
        </w:rPr>
      </w:pPr>
      <w:r>
        <w:rPr>
          <w:rFonts w:hint="eastAsia" w:ascii="仿宋" w:hAnsi="仿宋" w:eastAsia="仿宋" w:cs="仿宋"/>
          <w:sz w:val="32"/>
          <w:szCs w:val="32"/>
        </w:rPr>
        <w:t>为操作风险管理配备与业务特点、规模和复杂程度相适应的资源</w:t>
      </w:r>
      <w:r>
        <w:rPr>
          <w:rFonts w:hint="eastAsia" w:ascii="仿宋" w:hAnsi="仿宋" w:eastAsia="仿宋" w:cs="仿宋"/>
        </w:rPr>
        <w:t>，</w:t>
      </w:r>
      <w:r>
        <w:rPr>
          <w:rFonts w:hint="eastAsia" w:ascii="仿宋" w:hAnsi="仿宋" w:eastAsia="仿宋" w:cs="仿宋"/>
          <w:sz w:val="32"/>
          <w:szCs w:val="32"/>
        </w:rPr>
        <w:t>包括但不限于经费、岗位、人员、履行职责所必需的权限等，有效开展操作风险管理工作；</w:t>
      </w:r>
    </w:p>
    <w:p>
      <w:pPr>
        <w:pStyle w:val="11"/>
        <w:numPr>
          <w:ilvl w:val="0"/>
          <w:numId w:val="4"/>
        </w:numPr>
        <w:snapToGrid w:val="0"/>
        <w:spacing w:before="0" w:beforeAutospacing="0" w:after="0" w:afterAutospacing="0" w:line="360" w:lineRule="auto"/>
        <w:ind w:firstLine="640"/>
        <w:jc w:val="both"/>
        <w:textAlignment w:val="baseline"/>
        <w:rPr>
          <w:rFonts w:ascii="仿宋" w:hAnsi="仿宋" w:eastAsia="仿宋" w:cs="仿宋"/>
          <w:sz w:val="32"/>
          <w:szCs w:val="32"/>
        </w:rPr>
      </w:pPr>
      <w:r>
        <w:rPr>
          <w:rFonts w:hint="eastAsia" w:ascii="仿宋" w:hAnsi="仿宋" w:eastAsia="仿宋" w:cs="仿宋"/>
          <w:sz w:val="32"/>
          <w:szCs w:val="32"/>
        </w:rPr>
        <w:t>充分了解操作风险水平及其管理状况等，并定期向董事会报告；</w:t>
      </w:r>
    </w:p>
    <w:p>
      <w:pPr>
        <w:pStyle w:val="11"/>
        <w:numPr>
          <w:ilvl w:val="0"/>
          <w:numId w:val="4"/>
        </w:numPr>
        <w:snapToGrid w:val="0"/>
        <w:spacing w:before="0" w:beforeAutospacing="0" w:after="0" w:afterAutospacing="0" w:line="360" w:lineRule="auto"/>
        <w:ind w:firstLine="640"/>
        <w:jc w:val="both"/>
        <w:textAlignment w:val="baseline"/>
        <w:rPr>
          <w:rFonts w:ascii="仿宋" w:hAnsi="仿宋" w:eastAsia="仿宋" w:cs="仿宋"/>
          <w:sz w:val="32"/>
          <w:szCs w:val="32"/>
        </w:rPr>
      </w:pPr>
      <w:r>
        <w:rPr>
          <w:rFonts w:hint="eastAsia" w:ascii="仿宋" w:hAnsi="仿宋" w:eastAsia="仿宋" w:cs="仿宋"/>
          <w:sz w:val="32"/>
          <w:szCs w:val="32"/>
        </w:rPr>
        <w:t>建立健全操作风险管理工作评估、考核与责任追究机制；</w:t>
      </w:r>
    </w:p>
    <w:p>
      <w:pPr>
        <w:pStyle w:val="11"/>
        <w:numPr>
          <w:ilvl w:val="0"/>
          <w:numId w:val="4"/>
        </w:numPr>
        <w:snapToGrid w:val="0"/>
        <w:spacing w:before="0" w:beforeAutospacing="0" w:after="0" w:afterAutospacing="0" w:line="360" w:lineRule="auto"/>
        <w:ind w:firstLine="640"/>
        <w:jc w:val="both"/>
        <w:textAlignment w:val="baseline"/>
        <w:rPr>
          <w:rFonts w:ascii="仿宋" w:hAnsi="仿宋" w:eastAsia="仿宋" w:cs="仿宋"/>
          <w:sz w:val="32"/>
          <w:szCs w:val="32"/>
        </w:rPr>
      </w:pPr>
      <w:r>
        <w:rPr>
          <w:rFonts w:hint="eastAsia" w:ascii="仿宋" w:hAnsi="仿宋" w:eastAsia="仿宋" w:cs="仿宋"/>
          <w:sz w:val="32"/>
          <w:szCs w:val="32"/>
        </w:rPr>
        <w:t>培育全员操作风险意识，制定并督促实施相关培训计划。</w:t>
      </w:r>
    </w:p>
    <w:p>
      <w:pPr>
        <w:pStyle w:val="11"/>
        <w:numPr>
          <w:ilvl w:val="0"/>
          <w:numId w:val="2"/>
        </w:numPr>
        <w:snapToGrid w:val="0"/>
        <w:spacing w:before="0" w:beforeAutospacing="0" w:after="0" w:afterAutospacing="0" w:line="360" w:lineRule="auto"/>
        <w:ind w:left="0" w:firstLine="707" w:firstLineChars="221"/>
        <w:jc w:val="both"/>
        <w:textAlignment w:val="baseline"/>
        <w:rPr>
          <w:rFonts w:ascii="仿宋" w:hAnsi="仿宋" w:eastAsia="仿宋" w:cs="仿宋"/>
          <w:bCs/>
          <w:sz w:val="32"/>
          <w:szCs w:val="32"/>
        </w:rPr>
      </w:pPr>
      <w:r>
        <w:rPr>
          <w:rFonts w:hint="eastAsia" w:ascii="仿宋" w:hAnsi="仿宋" w:eastAsia="仿宋" w:cs="仿宋"/>
          <w:bCs/>
          <w:sz w:val="32"/>
          <w:szCs w:val="32"/>
        </w:rPr>
        <w:t>证券公司首席风险官牵头负责操作风险管理工作。证券公司应当保障首席风险官能够充分履职所必需的知情权和资源配置。</w:t>
      </w:r>
    </w:p>
    <w:p>
      <w:pPr>
        <w:pStyle w:val="11"/>
        <w:numPr>
          <w:ilvl w:val="0"/>
          <w:numId w:val="2"/>
        </w:numPr>
        <w:snapToGrid w:val="0"/>
        <w:spacing w:before="0" w:beforeAutospacing="0" w:after="0" w:afterAutospacing="0" w:line="360" w:lineRule="auto"/>
        <w:ind w:left="5" w:firstLine="633" w:firstLineChars="198"/>
        <w:jc w:val="both"/>
        <w:textAlignment w:val="baseline"/>
        <w:rPr>
          <w:rFonts w:ascii="仿宋" w:hAnsi="仿宋" w:eastAsia="仿宋" w:cs="仿宋"/>
          <w:bCs/>
          <w:sz w:val="32"/>
          <w:szCs w:val="32"/>
        </w:rPr>
      </w:pPr>
      <w:r>
        <w:rPr>
          <w:rFonts w:hint="eastAsia" w:ascii="仿宋" w:hAnsi="仿宋" w:eastAsia="仿宋" w:cs="仿宋"/>
          <w:bCs/>
          <w:sz w:val="32"/>
          <w:szCs w:val="32"/>
        </w:rPr>
        <w:t>证券公司其他高级管理人员负责各自分管领域的操作风险管理，并为首席风险官统筹管理操作风险提供支持。</w:t>
      </w:r>
    </w:p>
    <w:p>
      <w:pPr>
        <w:pStyle w:val="11"/>
        <w:numPr>
          <w:ilvl w:val="0"/>
          <w:numId w:val="2"/>
        </w:numPr>
        <w:snapToGrid w:val="0"/>
        <w:spacing w:before="0" w:beforeAutospacing="0" w:after="0" w:afterAutospacing="0" w:line="360" w:lineRule="auto"/>
        <w:ind w:left="0" w:firstLine="707" w:firstLineChars="221"/>
        <w:jc w:val="both"/>
        <w:textAlignment w:val="baseline"/>
        <w:rPr>
          <w:rFonts w:ascii="仿宋" w:hAnsi="仿宋" w:eastAsia="仿宋" w:cs="仿宋"/>
          <w:sz w:val="32"/>
          <w:szCs w:val="32"/>
        </w:rPr>
      </w:pPr>
      <w:r>
        <w:rPr>
          <w:rFonts w:hint="eastAsia" w:ascii="仿宋" w:hAnsi="仿宋" w:eastAsia="仿宋" w:cs="仿宋"/>
          <w:sz w:val="32"/>
          <w:szCs w:val="32"/>
        </w:rPr>
        <w:t xml:space="preserve"> 证券公司应设立或指定部门，牵头负责以下操作风险管理工作：</w:t>
      </w:r>
    </w:p>
    <w:p>
      <w:pPr>
        <w:pStyle w:val="11"/>
        <w:numPr>
          <w:ilvl w:val="0"/>
          <w:numId w:val="5"/>
        </w:numPr>
        <w:snapToGrid w:val="0"/>
        <w:spacing w:before="0" w:beforeAutospacing="0" w:after="0" w:afterAutospacing="0" w:line="360" w:lineRule="auto"/>
        <w:ind w:firstLine="640" w:firstLineChars="200"/>
        <w:jc w:val="both"/>
        <w:textAlignment w:val="baseline"/>
        <w:rPr>
          <w:rFonts w:ascii="仿宋" w:hAnsi="仿宋" w:eastAsia="仿宋" w:cs="仿宋"/>
          <w:sz w:val="32"/>
          <w:szCs w:val="32"/>
        </w:rPr>
      </w:pPr>
      <w:r>
        <w:rPr>
          <w:rFonts w:hint="eastAsia" w:ascii="仿宋" w:hAnsi="仿宋" w:eastAsia="仿宋" w:cs="仿宋"/>
          <w:sz w:val="32"/>
          <w:szCs w:val="32"/>
        </w:rPr>
        <w:t>拟订操作风险偏好、容忍度等并定期审查；</w:t>
      </w:r>
    </w:p>
    <w:p>
      <w:pPr>
        <w:pStyle w:val="11"/>
        <w:numPr>
          <w:ilvl w:val="0"/>
          <w:numId w:val="5"/>
        </w:numPr>
        <w:snapToGrid w:val="0"/>
        <w:spacing w:before="0" w:beforeAutospacing="0" w:after="0" w:afterAutospacing="0" w:line="360" w:lineRule="auto"/>
        <w:ind w:firstLine="640" w:firstLineChars="200"/>
        <w:jc w:val="both"/>
        <w:textAlignment w:val="baseline"/>
        <w:rPr>
          <w:rFonts w:ascii="仿宋" w:hAnsi="仿宋" w:eastAsia="仿宋" w:cs="仿宋"/>
          <w:sz w:val="32"/>
          <w:szCs w:val="32"/>
        </w:rPr>
      </w:pPr>
      <w:r>
        <w:rPr>
          <w:rFonts w:hint="eastAsia" w:ascii="仿宋" w:hAnsi="仿宋" w:eastAsia="仿宋" w:cs="仿宋"/>
          <w:sz w:val="32"/>
          <w:szCs w:val="32"/>
        </w:rPr>
        <w:t>组织开展操作风险的识别、评估、监控和报告；</w:t>
      </w:r>
    </w:p>
    <w:p>
      <w:pPr>
        <w:pStyle w:val="11"/>
        <w:numPr>
          <w:ilvl w:val="0"/>
          <w:numId w:val="5"/>
        </w:numPr>
        <w:snapToGrid w:val="0"/>
        <w:spacing w:before="0" w:beforeAutospacing="0" w:after="0" w:afterAutospacing="0" w:line="360" w:lineRule="auto"/>
        <w:ind w:firstLine="640" w:firstLineChars="200"/>
        <w:jc w:val="both"/>
        <w:textAlignment w:val="baseline"/>
        <w:rPr>
          <w:rFonts w:ascii="仿宋" w:hAnsi="仿宋" w:eastAsia="仿宋" w:cs="仿宋"/>
          <w:sz w:val="32"/>
          <w:szCs w:val="32"/>
        </w:rPr>
      </w:pPr>
      <w:r>
        <w:rPr>
          <w:rFonts w:hint="eastAsia" w:ascii="仿宋" w:hAnsi="仿宋" w:eastAsia="仿宋" w:cs="仿宋"/>
          <w:sz w:val="32"/>
          <w:szCs w:val="32"/>
        </w:rPr>
        <w:t>协助、指导、检查各部门、分支机构及子公司的操作风险管理工作，落实评估、考核与责任追究机制，定期评价各单位操作风险管理工作开展情况与管理效果；</w:t>
      </w:r>
    </w:p>
    <w:p>
      <w:pPr>
        <w:pStyle w:val="11"/>
        <w:numPr>
          <w:ilvl w:val="0"/>
          <w:numId w:val="5"/>
        </w:numPr>
        <w:snapToGrid w:val="0"/>
        <w:spacing w:before="0" w:beforeAutospacing="0" w:after="0" w:afterAutospacing="0" w:line="360" w:lineRule="auto"/>
        <w:ind w:firstLine="640" w:firstLineChars="200"/>
        <w:jc w:val="both"/>
        <w:textAlignment w:val="baseline"/>
        <w:rPr>
          <w:rFonts w:ascii="仿宋" w:hAnsi="仿宋" w:eastAsia="仿宋" w:cs="仿宋"/>
          <w:sz w:val="32"/>
          <w:szCs w:val="32"/>
        </w:rPr>
      </w:pPr>
      <w:r>
        <w:rPr>
          <w:rFonts w:hint="eastAsia" w:ascii="仿宋" w:hAnsi="仿宋" w:eastAsia="仿宋" w:cs="仿宋"/>
          <w:sz w:val="32"/>
          <w:szCs w:val="32"/>
        </w:rPr>
        <w:t>定期向经理层汇报公司操作风险管理状况及重大变化。</w:t>
      </w:r>
    </w:p>
    <w:p>
      <w:pPr>
        <w:pStyle w:val="11"/>
        <w:numPr>
          <w:ilvl w:val="0"/>
          <w:numId w:val="2"/>
        </w:numPr>
        <w:snapToGrid w:val="0"/>
        <w:spacing w:before="0" w:beforeAutospacing="0" w:after="0" w:afterAutospacing="0" w:line="360" w:lineRule="auto"/>
        <w:ind w:left="0" w:firstLine="707" w:firstLineChars="221"/>
        <w:jc w:val="both"/>
        <w:textAlignment w:val="baseline"/>
        <w:rPr>
          <w:rFonts w:ascii="仿宋" w:hAnsi="仿宋" w:eastAsia="仿宋" w:cs="仿宋"/>
          <w:bCs/>
          <w:sz w:val="32"/>
          <w:szCs w:val="32"/>
        </w:rPr>
      </w:pPr>
      <w:r>
        <w:rPr>
          <w:rFonts w:hint="eastAsia" w:ascii="仿宋" w:hAnsi="仿宋" w:eastAsia="仿宋" w:cs="仿宋"/>
          <w:sz w:val="32"/>
          <w:szCs w:val="32"/>
        </w:rPr>
        <w:t> 证券公司各部门、分支机构、子公司承担本单位操作风险管理的直接责任，</w:t>
      </w:r>
      <w:r>
        <w:rPr>
          <w:rFonts w:hint="eastAsia" w:ascii="仿宋" w:hAnsi="仿宋" w:eastAsia="仿宋" w:cs="仿宋"/>
          <w:bCs/>
          <w:sz w:val="32"/>
          <w:szCs w:val="32"/>
        </w:rPr>
        <w:t>主要职责包括：</w:t>
      </w:r>
    </w:p>
    <w:p>
      <w:pPr>
        <w:pStyle w:val="11"/>
        <w:numPr>
          <w:ilvl w:val="0"/>
          <w:numId w:val="6"/>
        </w:numPr>
        <w:snapToGrid w:val="0"/>
        <w:spacing w:before="0" w:beforeAutospacing="0" w:after="0" w:afterAutospacing="0" w:line="360" w:lineRule="auto"/>
        <w:ind w:firstLine="640" w:firstLineChars="200"/>
        <w:jc w:val="both"/>
        <w:textAlignment w:val="baseline"/>
        <w:rPr>
          <w:rFonts w:ascii="仿宋" w:hAnsi="仿宋" w:eastAsia="仿宋" w:cs="仿宋"/>
          <w:bCs/>
          <w:sz w:val="32"/>
          <w:szCs w:val="32"/>
        </w:rPr>
      </w:pPr>
      <w:r>
        <w:rPr>
          <w:rFonts w:hint="eastAsia" w:ascii="仿宋" w:hAnsi="仿宋" w:eastAsia="仿宋" w:cs="仿宋"/>
          <w:sz w:val="32"/>
          <w:szCs w:val="32"/>
        </w:rPr>
        <w:t>主动识别、评估操作风险，建立健全操作风险监测、控制或缓释、应对措施；</w:t>
      </w:r>
    </w:p>
    <w:p>
      <w:pPr>
        <w:pStyle w:val="11"/>
        <w:numPr>
          <w:ilvl w:val="0"/>
          <w:numId w:val="6"/>
        </w:numPr>
        <w:snapToGrid w:val="0"/>
        <w:spacing w:before="0" w:beforeAutospacing="0" w:after="0" w:afterAutospacing="0" w:line="360" w:lineRule="auto"/>
        <w:ind w:firstLine="640" w:firstLineChars="200"/>
        <w:jc w:val="both"/>
        <w:textAlignment w:val="baseline"/>
        <w:rPr>
          <w:rFonts w:ascii="仿宋" w:hAnsi="仿宋" w:eastAsia="仿宋" w:cs="仿宋"/>
          <w:bCs/>
          <w:sz w:val="32"/>
          <w:szCs w:val="32"/>
        </w:rPr>
      </w:pPr>
      <w:r>
        <w:rPr>
          <w:rFonts w:hint="eastAsia" w:ascii="仿宋" w:hAnsi="仿宋" w:eastAsia="仿宋" w:cs="仿宋"/>
          <w:bCs/>
          <w:sz w:val="32"/>
          <w:szCs w:val="32"/>
        </w:rPr>
        <w:t>建立健全各项业务与管理活动的规章制度和关键业务环节的操作流程；</w:t>
      </w:r>
    </w:p>
    <w:p>
      <w:pPr>
        <w:pStyle w:val="11"/>
        <w:numPr>
          <w:ilvl w:val="0"/>
          <w:numId w:val="6"/>
        </w:numPr>
        <w:snapToGrid w:val="0"/>
        <w:spacing w:before="0" w:beforeAutospacing="0" w:after="0" w:afterAutospacing="0" w:line="360" w:lineRule="auto"/>
        <w:ind w:firstLine="640" w:firstLineChars="200"/>
        <w:jc w:val="both"/>
        <w:textAlignment w:val="baseline"/>
        <w:rPr>
          <w:rFonts w:ascii="仿宋" w:hAnsi="仿宋" w:eastAsia="仿宋" w:cs="仿宋"/>
          <w:bCs/>
          <w:sz w:val="32"/>
          <w:szCs w:val="32"/>
        </w:rPr>
      </w:pPr>
      <w:r>
        <w:rPr>
          <w:rFonts w:hint="eastAsia" w:ascii="仿宋" w:hAnsi="仿宋" w:eastAsia="仿宋" w:cs="仿宋"/>
          <w:bCs/>
          <w:sz w:val="32"/>
          <w:szCs w:val="32"/>
        </w:rPr>
        <w:t>在制定制度、流程，开发新业务、新产品和建设信息系统时，充分体现操作风险管理的要求；</w:t>
      </w:r>
    </w:p>
    <w:p>
      <w:pPr>
        <w:pStyle w:val="11"/>
        <w:numPr>
          <w:ilvl w:val="0"/>
          <w:numId w:val="6"/>
        </w:numPr>
        <w:snapToGrid w:val="0"/>
        <w:spacing w:before="0" w:beforeAutospacing="0" w:after="0" w:afterAutospacing="0" w:line="360" w:lineRule="auto"/>
        <w:ind w:firstLine="640" w:firstLineChars="200"/>
        <w:jc w:val="both"/>
        <w:textAlignment w:val="baseline"/>
        <w:rPr>
          <w:rFonts w:ascii="仿宋" w:hAnsi="仿宋" w:eastAsia="仿宋" w:cs="仿宋"/>
          <w:bCs/>
          <w:sz w:val="32"/>
          <w:szCs w:val="32"/>
        </w:rPr>
      </w:pPr>
      <w:r>
        <w:rPr>
          <w:rFonts w:hint="eastAsia" w:ascii="仿宋" w:hAnsi="仿宋" w:eastAsia="仿宋" w:cs="仿宋"/>
          <w:sz w:val="32"/>
          <w:szCs w:val="32"/>
        </w:rPr>
        <w:t>及时向操作风险管理牵头部门报告操作风险事件，定期报告操作风险管理情况</w:t>
      </w:r>
      <w:r>
        <w:rPr>
          <w:rFonts w:hint="eastAsia" w:ascii="仿宋" w:hAnsi="仿宋" w:eastAsia="仿宋" w:cs="仿宋"/>
          <w:bCs/>
          <w:sz w:val="32"/>
          <w:szCs w:val="32"/>
        </w:rPr>
        <w:t>；</w:t>
      </w:r>
    </w:p>
    <w:p>
      <w:pPr>
        <w:pStyle w:val="11"/>
        <w:numPr>
          <w:ilvl w:val="0"/>
          <w:numId w:val="6"/>
        </w:numPr>
        <w:snapToGrid w:val="0"/>
        <w:spacing w:before="0" w:beforeAutospacing="0" w:after="0" w:afterAutospacing="0" w:line="360" w:lineRule="auto"/>
        <w:ind w:firstLine="640" w:firstLineChars="200"/>
        <w:jc w:val="both"/>
        <w:textAlignment w:val="baseline"/>
        <w:rPr>
          <w:rFonts w:ascii="仿宋" w:hAnsi="仿宋" w:eastAsia="仿宋" w:cs="仿宋"/>
          <w:bCs/>
          <w:sz w:val="32"/>
          <w:szCs w:val="32"/>
        </w:rPr>
      </w:pPr>
      <w:r>
        <w:rPr>
          <w:rFonts w:hint="eastAsia" w:ascii="仿宋" w:hAnsi="仿宋" w:eastAsia="仿宋" w:cs="仿宋"/>
          <w:bCs/>
          <w:sz w:val="32"/>
          <w:szCs w:val="32"/>
        </w:rPr>
        <w:t>配备专职或兼职操作风险管理人员，牵头组织本单位操作风险管理工作。</w:t>
      </w:r>
    </w:p>
    <w:p>
      <w:pPr>
        <w:pStyle w:val="11"/>
        <w:snapToGrid w:val="0"/>
        <w:spacing w:before="0" w:beforeAutospacing="0" w:after="0" w:afterAutospacing="0" w:line="360" w:lineRule="auto"/>
        <w:ind w:firstLine="640" w:firstLineChars="200"/>
        <w:jc w:val="both"/>
        <w:textAlignment w:val="baseline"/>
        <w:rPr>
          <w:rFonts w:ascii="仿宋" w:hAnsi="仿宋" w:eastAsia="仿宋" w:cs="仿宋"/>
          <w:bCs/>
          <w:sz w:val="32"/>
          <w:szCs w:val="32"/>
        </w:rPr>
      </w:pPr>
      <w:r>
        <w:rPr>
          <w:rFonts w:hint="eastAsia" w:ascii="仿宋" w:hAnsi="仿宋" w:eastAsia="仿宋" w:cs="仿宋"/>
          <w:bCs/>
          <w:sz w:val="32"/>
          <w:szCs w:val="32"/>
        </w:rPr>
        <w:t>证券公司风险管理、法律合规、信息科技、财务、结算、人力资源、安全保卫、后勤保障、综合管理等职能部门除履行以上职责外，还应负责管理本职能领域的操作风险，并为操作风险管理牵头部门提供管理支持。</w:t>
      </w:r>
    </w:p>
    <w:p>
      <w:pPr>
        <w:pStyle w:val="11"/>
        <w:numPr>
          <w:ilvl w:val="0"/>
          <w:numId w:val="2"/>
        </w:numPr>
        <w:snapToGrid w:val="0"/>
        <w:spacing w:before="0" w:beforeAutospacing="0" w:after="0" w:afterAutospacing="0" w:line="360" w:lineRule="auto"/>
        <w:ind w:left="0" w:firstLine="707" w:firstLineChars="221"/>
        <w:jc w:val="both"/>
        <w:textAlignment w:val="baseline"/>
        <w:rPr>
          <w:rFonts w:ascii="仿宋" w:hAnsi="仿宋" w:eastAsia="仿宋" w:cs="仿宋"/>
          <w:sz w:val="32"/>
          <w:szCs w:val="32"/>
        </w:rPr>
      </w:pPr>
      <w:r>
        <w:rPr>
          <w:rFonts w:hint="eastAsia" w:ascii="仿宋" w:hAnsi="仿宋" w:eastAsia="仿宋" w:cs="仿宋"/>
          <w:sz w:val="32"/>
          <w:szCs w:val="32"/>
        </w:rPr>
        <w:t>证券公司应将操作风险管理纳入内部审计范畴，对操作风险管理的充分性和有效性进行独立、客观的审查和评价。内部审计发现问题的，应督促责任人及时整改，并跟踪检查整改措施的落实情况。</w:t>
      </w:r>
    </w:p>
    <w:p>
      <w:pPr>
        <w:pStyle w:val="2"/>
        <w:jc w:val="center"/>
        <w:rPr>
          <w:rFonts w:ascii="仿宋" w:hAnsi="仿宋" w:eastAsia="仿宋" w:cs="仿宋"/>
          <w:sz w:val="32"/>
          <w:szCs w:val="32"/>
        </w:rPr>
      </w:pPr>
      <w:r>
        <w:rPr>
          <w:rFonts w:hint="eastAsia" w:ascii="仿宋" w:hAnsi="仿宋" w:eastAsia="仿宋" w:cs="仿宋"/>
          <w:sz w:val="32"/>
          <w:szCs w:val="32"/>
        </w:rPr>
        <w:t>第三章 操作风险管理机制</w:t>
      </w:r>
    </w:p>
    <w:p>
      <w:pPr>
        <w:jc w:val="center"/>
        <w:rPr>
          <w:rFonts w:ascii="仿宋" w:hAnsi="仿宋" w:eastAsia="仿宋" w:cs="仿宋"/>
          <w:b/>
          <w:bCs/>
          <w:kern w:val="44"/>
          <w:sz w:val="32"/>
          <w:szCs w:val="32"/>
        </w:rPr>
      </w:pPr>
      <w:r>
        <w:rPr>
          <w:rFonts w:hint="eastAsia" w:ascii="仿宋" w:hAnsi="仿宋" w:eastAsia="仿宋" w:cs="仿宋"/>
          <w:b/>
          <w:bCs/>
          <w:kern w:val="44"/>
          <w:sz w:val="32"/>
          <w:szCs w:val="32"/>
        </w:rPr>
        <w:t>第一节 操作风险识别与评估</w:t>
      </w:r>
    </w:p>
    <w:p/>
    <w:p/>
    <w:p>
      <w:pPr>
        <w:pStyle w:val="11"/>
        <w:numPr>
          <w:ilvl w:val="0"/>
          <w:numId w:val="2"/>
        </w:numPr>
        <w:snapToGrid w:val="0"/>
        <w:spacing w:before="0" w:beforeAutospacing="0" w:after="0" w:afterAutospacing="0" w:line="360" w:lineRule="auto"/>
        <w:ind w:left="0" w:firstLine="707" w:firstLineChars="221"/>
        <w:jc w:val="both"/>
        <w:textAlignment w:val="baseline"/>
        <w:rPr>
          <w:rFonts w:ascii="仿宋" w:hAnsi="仿宋" w:eastAsia="仿宋" w:cs="仿宋"/>
          <w:sz w:val="32"/>
          <w:szCs w:val="32"/>
        </w:rPr>
      </w:pPr>
      <w:r>
        <w:rPr>
          <w:rFonts w:hint="eastAsia" w:ascii="仿宋" w:hAnsi="仿宋" w:eastAsia="仿宋" w:cs="仿宋"/>
          <w:sz w:val="32"/>
          <w:szCs w:val="32"/>
        </w:rPr>
        <w:t>证券公司应建立操作风险识别与评估机制，充分识别经营管理活动中的内外部操作风险因素，评估风险状况，确定操作风险管理关注的重点领域和环节：</w:t>
      </w:r>
    </w:p>
    <w:p>
      <w:pPr>
        <w:pStyle w:val="11"/>
        <w:numPr>
          <w:ilvl w:val="0"/>
          <w:numId w:val="7"/>
        </w:numPr>
        <w:snapToGrid w:val="0"/>
        <w:spacing w:before="0" w:beforeAutospacing="0" w:after="0" w:afterAutospacing="0" w:line="360" w:lineRule="auto"/>
        <w:ind w:firstLine="640" w:firstLineChars="200"/>
        <w:jc w:val="both"/>
        <w:textAlignment w:val="baseline"/>
        <w:rPr>
          <w:rFonts w:ascii="仿宋" w:hAnsi="仿宋" w:eastAsia="仿宋" w:cs="仿宋"/>
          <w:bCs/>
          <w:sz w:val="32"/>
          <w:szCs w:val="32"/>
        </w:rPr>
      </w:pPr>
      <w:r>
        <w:rPr>
          <w:rFonts w:hint="eastAsia" w:ascii="仿宋" w:hAnsi="仿宋" w:eastAsia="仿宋" w:cs="仿宋"/>
          <w:bCs/>
          <w:sz w:val="32"/>
          <w:szCs w:val="32"/>
        </w:rPr>
        <w:t>建立公司主要业务与管理活动的流程目录并持续更新和完善，并在流程目录的基础上识别操作风险点；</w:t>
      </w:r>
    </w:p>
    <w:p>
      <w:pPr>
        <w:pStyle w:val="11"/>
        <w:numPr>
          <w:ilvl w:val="0"/>
          <w:numId w:val="7"/>
        </w:numPr>
        <w:snapToGrid w:val="0"/>
        <w:spacing w:before="0" w:beforeAutospacing="0" w:after="0" w:afterAutospacing="0" w:line="360" w:lineRule="auto"/>
        <w:ind w:firstLine="640" w:firstLineChars="200"/>
        <w:jc w:val="both"/>
        <w:textAlignment w:val="baseline"/>
        <w:rPr>
          <w:rFonts w:ascii="仿宋" w:hAnsi="仿宋" w:eastAsia="仿宋" w:cs="仿宋"/>
          <w:bCs/>
          <w:sz w:val="32"/>
          <w:szCs w:val="32"/>
        </w:rPr>
      </w:pPr>
      <w:r>
        <w:rPr>
          <w:rFonts w:hint="eastAsia" w:ascii="仿宋" w:hAnsi="仿宋" w:eastAsia="仿宋" w:cs="仿宋"/>
          <w:bCs/>
          <w:sz w:val="32"/>
          <w:szCs w:val="32"/>
        </w:rPr>
        <w:t>定期或不定期开展风险与控制自我评估；</w:t>
      </w:r>
    </w:p>
    <w:p>
      <w:pPr>
        <w:pStyle w:val="11"/>
        <w:snapToGrid w:val="0"/>
        <w:spacing w:before="0" w:beforeAutospacing="0" w:after="0" w:afterAutospacing="0" w:line="360" w:lineRule="auto"/>
        <w:ind w:firstLine="640" w:firstLineChars="200"/>
        <w:jc w:val="both"/>
        <w:textAlignment w:val="baseline"/>
        <w:rPr>
          <w:rFonts w:ascii="仿宋" w:hAnsi="仿宋" w:eastAsia="仿宋" w:cs="仿宋"/>
          <w:bCs/>
          <w:sz w:val="32"/>
          <w:szCs w:val="32"/>
        </w:rPr>
      </w:pPr>
      <w:r>
        <w:rPr>
          <w:rFonts w:hint="eastAsia" w:ascii="仿宋" w:hAnsi="仿宋" w:eastAsia="仿宋" w:cs="仿宋"/>
          <w:bCs/>
          <w:sz w:val="32"/>
          <w:szCs w:val="32"/>
        </w:rPr>
        <w:t>（三）通过分析内外部风险事件开展操作风险识别与评估。在发生重大风险事件时，应开展专项操作风险识别与评估；</w:t>
      </w:r>
    </w:p>
    <w:p>
      <w:pPr>
        <w:pStyle w:val="11"/>
        <w:snapToGrid w:val="0"/>
        <w:spacing w:before="0" w:beforeAutospacing="0" w:after="0" w:afterAutospacing="0" w:line="360" w:lineRule="auto"/>
        <w:ind w:firstLine="640" w:firstLineChars="200"/>
        <w:jc w:val="both"/>
        <w:textAlignment w:val="baseline"/>
        <w:rPr>
          <w:rFonts w:ascii="仿宋" w:hAnsi="仿宋" w:eastAsia="仿宋" w:cs="仿宋"/>
          <w:bCs/>
          <w:sz w:val="32"/>
          <w:szCs w:val="32"/>
        </w:rPr>
      </w:pPr>
      <w:r>
        <w:rPr>
          <w:rFonts w:hint="eastAsia" w:ascii="仿宋" w:hAnsi="仿宋" w:eastAsia="仿宋" w:cs="仿宋"/>
          <w:bCs/>
          <w:sz w:val="32"/>
          <w:szCs w:val="32"/>
        </w:rPr>
        <w:t>（四）建立针对新业务、新产品的判定、评审、验收和回顾等管理流程，充分识别和评估新业务、新产品涉及的操作风险。在业务系统上线等环节，可开展专项操作风险识别与评估；</w:t>
      </w:r>
    </w:p>
    <w:p>
      <w:pPr>
        <w:pStyle w:val="11"/>
        <w:snapToGrid w:val="0"/>
        <w:spacing w:before="0" w:beforeAutospacing="0" w:after="0" w:afterAutospacing="0" w:line="360" w:lineRule="auto"/>
        <w:ind w:firstLine="640" w:firstLineChars="200"/>
        <w:jc w:val="both"/>
        <w:textAlignment w:val="baseline"/>
        <w:rPr>
          <w:rFonts w:ascii="仿宋" w:hAnsi="仿宋" w:eastAsia="仿宋" w:cs="仿宋"/>
          <w:bCs/>
          <w:sz w:val="32"/>
          <w:szCs w:val="32"/>
        </w:rPr>
      </w:pPr>
      <w:r>
        <w:rPr>
          <w:rFonts w:hint="eastAsia" w:ascii="仿宋" w:hAnsi="仿宋" w:eastAsia="仿宋" w:cs="仿宋"/>
          <w:bCs/>
          <w:sz w:val="32"/>
          <w:szCs w:val="32"/>
        </w:rPr>
        <w:t>（五）根据关键风险指标监测结果，评估操作风险状况与操作风险管理措施的执行效果。</w:t>
      </w:r>
    </w:p>
    <w:p>
      <w:pPr>
        <w:spacing w:beforeLines="100" w:afterLines="100"/>
        <w:jc w:val="center"/>
        <w:rPr>
          <w:rFonts w:ascii="仿宋" w:hAnsi="仿宋" w:eastAsia="仿宋" w:cs="仿宋"/>
          <w:b/>
          <w:bCs/>
          <w:kern w:val="44"/>
          <w:sz w:val="32"/>
          <w:szCs w:val="32"/>
        </w:rPr>
      </w:pPr>
      <w:r>
        <w:rPr>
          <w:rFonts w:hint="eastAsia" w:ascii="仿宋" w:hAnsi="仿宋" w:eastAsia="仿宋" w:cs="仿宋"/>
          <w:b/>
          <w:bCs/>
          <w:kern w:val="44"/>
          <w:sz w:val="32"/>
          <w:szCs w:val="32"/>
        </w:rPr>
        <w:t>第二节 操作风险控制与缓释</w:t>
      </w:r>
    </w:p>
    <w:p>
      <w:pPr>
        <w:pStyle w:val="11"/>
        <w:numPr>
          <w:ilvl w:val="0"/>
          <w:numId w:val="2"/>
        </w:numPr>
        <w:snapToGrid w:val="0"/>
        <w:spacing w:before="0" w:beforeAutospacing="0" w:after="0" w:afterAutospacing="0" w:line="360" w:lineRule="auto"/>
        <w:ind w:left="0" w:firstLine="707" w:firstLineChars="221"/>
        <w:jc w:val="both"/>
        <w:textAlignment w:val="baseline"/>
        <w:rPr>
          <w:rFonts w:ascii="仿宋" w:hAnsi="仿宋" w:eastAsia="仿宋" w:cs="仿宋"/>
          <w:sz w:val="32"/>
          <w:szCs w:val="32"/>
        </w:rPr>
      </w:pPr>
      <w:r>
        <w:rPr>
          <w:rFonts w:hint="eastAsia" w:ascii="仿宋" w:hAnsi="仿宋" w:eastAsia="仿宋" w:cs="仿宋"/>
          <w:bCs/>
          <w:sz w:val="32"/>
          <w:szCs w:val="32"/>
        </w:rPr>
        <w:t>证券公司应结合风险识别、评估结果，采取合理的操作风险控制或缓释措施，降低、分散、规避或转移操作风险，并将其</w:t>
      </w:r>
      <w:r>
        <w:rPr>
          <w:rFonts w:hint="eastAsia" w:ascii="仿宋" w:hAnsi="仿宋" w:eastAsia="仿宋" w:cs="仿宋"/>
          <w:sz w:val="32"/>
          <w:szCs w:val="32"/>
        </w:rPr>
        <w:t>控制在</w:t>
      </w:r>
      <w:r>
        <w:rPr>
          <w:rFonts w:hint="eastAsia" w:ascii="仿宋" w:hAnsi="仿宋" w:eastAsia="仿宋" w:cs="仿宋"/>
          <w:bCs/>
          <w:sz w:val="32"/>
          <w:szCs w:val="32"/>
        </w:rPr>
        <w:t>可接受的水平。证券公司操作风险控制与缓释的基本措施包括但不限于：</w:t>
      </w:r>
    </w:p>
    <w:p>
      <w:pPr>
        <w:pStyle w:val="11"/>
        <w:numPr>
          <w:ilvl w:val="0"/>
          <w:numId w:val="8"/>
        </w:numPr>
        <w:tabs>
          <w:tab w:val="left" w:pos="1050"/>
          <w:tab w:val="left" w:pos="1680"/>
        </w:tabs>
        <w:snapToGrid w:val="0"/>
        <w:spacing w:before="0" w:beforeAutospacing="0" w:after="0" w:afterAutospacing="0" w:line="360" w:lineRule="auto"/>
        <w:ind w:firstLine="640" w:firstLineChars="200"/>
        <w:jc w:val="both"/>
        <w:textAlignment w:val="baseline"/>
        <w:rPr>
          <w:rFonts w:ascii="仿宋" w:hAnsi="仿宋" w:eastAsia="仿宋" w:cs="仿宋"/>
          <w:sz w:val="21"/>
          <w:szCs w:val="21"/>
        </w:rPr>
      </w:pPr>
      <w:r>
        <w:rPr>
          <w:rFonts w:hint="eastAsia" w:ascii="仿宋" w:hAnsi="仿宋" w:eastAsia="仿宋" w:cs="仿宋"/>
          <w:bCs/>
          <w:sz w:val="32"/>
          <w:szCs w:val="32"/>
        </w:rPr>
        <w:t>部门、岗位职责分工应明确、合理，不相容职责应当分离，实现相互制衡和有效监督；</w:t>
      </w:r>
    </w:p>
    <w:p>
      <w:pPr>
        <w:pStyle w:val="11"/>
        <w:numPr>
          <w:ilvl w:val="0"/>
          <w:numId w:val="8"/>
        </w:numPr>
        <w:tabs>
          <w:tab w:val="left" w:pos="1050"/>
          <w:tab w:val="left" w:pos="1680"/>
        </w:tabs>
        <w:snapToGrid w:val="0"/>
        <w:spacing w:line="360" w:lineRule="auto"/>
        <w:ind w:firstLine="640"/>
        <w:jc w:val="both"/>
        <w:textAlignment w:val="baseline"/>
        <w:rPr>
          <w:rFonts w:ascii="仿宋" w:hAnsi="仿宋" w:eastAsia="仿宋" w:cs="仿宋"/>
          <w:sz w:val="21"/>
          <w:szCs w:val="21"/>
        </w:rPr>
      </w:pPr>
      <w:r>
        <w:rPr>
          <w:rFonts w:hint="eastAsia" w:ascii="仿宋" w:hAnsi="仿宋" w:eastAsia="仿宋" w:cs="仿宋"/>
          <w:bCs/>
          <w:sz w:val="32"/>
          <w:szCs w:val="32"/>
        </w:rPr>
        <w:t>授权应具体、明确、合理，通过流程设计、系统控制等严格执行。超过授权范围的须经过相应的被授权单位或责任人批准方可开展；</w:t>
      </w:r>
      <w:r>
        <w:rPr>
          <w:rFonts w:ascii="仿宋" w:hAnsi="仿宋" w:eastAsia="仿宋" w:cs="仿宋"/>
          <w:sz w:val="21"/>
          <w:szCs w:val="21"/>
        </w:rPr>
        <w:t xml:space="preserve"> </w:t>
      </w:r>
    </w:p>
    <w:p>
      <w:pPr>
        <w:pStyle w:val="11"/>
        <w:numPr>
          <w:ilvl w:val="0"/>
          <w:numId w:val="8"/>
        </w:numPr>
        <w:tabs>
          <w:tab w:val="left" w:pos="1050"/>
          <w:tab w:val="left" w:pos="1680"/>
        </w:tabs>
        <w:snapToGrid w:val="0"/>
        <w:spacing w:line="360" w:lineRule="auto"/>
        <w:ind w:firstLine="640" w:firstLineChars="200"/>
        <w:jc w:val="both"/>
        <w:textAlignment w:val="baseline"/>
        <w:rPr>
          <w:rFonts w:ascii="仿宋" w:hAnsi="仿宋" w:eastAsia="仿宋" w:cs="仿宋"/>
          <w:bCs/>
          <w:sz w:val="32"/>
          <w:szCs w:val="32"/>
        </w:rPr>
      </w:pPr>
      <w:r>
        <w:rPr>
          <w:rFonts w:hint="eastAsia" w:ascii="仿宋" w:hAnsi="仿宋" w:eastAsia="仿宋" w:cs="仿宋"/>
          <w:bCs/>
          <w:sz w:val="32"/>
          <w:szCs w:val="32"/>
        </w:rPr>
        <w:t>人员上岗前应通过培训等形式确保其熟悉相关管理规范、操作流程、系统功能等；</w:t>
      </w:r>
    </w:p>
    <w:p>
      <w:pPr>
        <w:pStyle w:val="11"/>
        <w:numPr>
          <w:ilvl w:val="0"/>
          <w:numId w:val="8"/>
        </w:numPr>
        <w:tabs>
          <w:tab w:val="left" w:pos="1050"/>
          <w:tab w:val="left" w:pos="1680"/>
        </w:tabs>
        <w:snapToGrid w:val="0"/>
        <w:spacing w:line="360" w:lineRule="auto"/>
        <w:ind w:firstLine="640" w:firstLineChars="200"/>
        <w:jc w:val="both"/>
        <w:textAlignment w:val="baseline"/>
        <w:rPr>
          <w:rFonts w:ascii="仿宋" w:hAnsi="仿宋" w:eastAsia="仿宋" w:cs="仿宋"/>
          <w:sz w:val="21"/>
          <w:szCs w:val="21"/>
        </w:rPr>
      </w:pPr>
      <w:r>
        <w:rPr>
          <w:rFonts w:hint="eastAsia" w:ascii="仿宋" w:hAnsi="仿宋" w:eastAsia="仿宋" w:cs="仿宋"/>
          <w:bCs/>
          <w:sz w:val="32"/>
          <w:szCs w:val="32"/>
        </w:rPr>
        <w:t>关键业务环节双人负责并加强复核，单人单岗业务应加强监控与检查；</w:t>
      </w:r>
    </w:p>
    <w:p>
      <w:pPr>
        <w:pStyle w:val="11"/>
        <w:numPr>
          <w:ilvl w:val="0"/>
          <w:numId w:val="8"/>
        </w:numPr>
        <w:tabs>
          <w:tab w:val="left" w:pos="1050"/>
          <w:tab w:val="left" w:pos="1680"/>
        </w:tabs>
        <w:snapToGrid w:val="0"/>
        <w:spacing w:line="360" w:lineRule="auto"/>
        <w:ind w:firstLine="640" w:firstLineChars="200"/>
        <w:jc w:val="both"/>
        <w:textAlignment w:val="baseline"/>
        <w:rPr>
          <w:rFonts w:ascii="仿宋" w:hAnsi="仿宋" w:eastAsia="仿宋" w:cs="仿宋"/>
          <w:sz w:val="21"/>
          <w:szCs w:val="21"/>
        </w:rPr>
      </w:pPr>
      <w:r>
        <w:rPr>
          <w:rFonts w:hint="eastAsia" w:ascii="仿宋" w:hAnsi="仿宋" w:eastAsia="仿宋" w:cs="仿宋"/>
          <w:bCs/>
          <w:sz w:val="32"/>
          <w:szCs w:val="32"/>
        </w:rPr>
        <w:t>定期或不定期对关键岗位人员进行轮换或强制休假；</w:t>
      </w:r>
    </w:p>
    <w:p>
      <w:pPr>
        <w:pStyle w:val="11"/>
        <w:numPr>
          <w:ilvl w:val="0"/>
          <w:numId w:val="8"/>
        </w:numPr>
        <w:tabs>
          <w:tab w:val="left" w:pos="1050"/>
          <w:tab w:val="left" w:pos="1680"/>
        </w:tabs>
        <w:snapToGrid w:val="0"/>
        <w:spacing w:line="360" w:lineRule="auto"/>
        <w:ind w:firstLine="640" w:firstLineChars="200"/>
        <w:jc w:val="both"/>
        <w:textAlignment w:val="baseline"/>
        <w:rPr>
          <w:rFonts w:ascii="仿宋" w:hAnsi="仿宋" w:eastAsia="仿宋" w:cs="仿宋"/>
          <w:sz w:val="21"/>
          <w:szCs w:val="21"/>
        </w:rPr>
      </w:pPr>
      <w:r>
        <w:rPr>
          <w:rFonts w:hint="eastAsia" w:ascii="仿宋" w:hAnsi="仿宋" w:eastAsia="仿宋" w:cs="仿宋"/>
          <w:bCs/>
          <w:sz w:val="32"/>
          <w:szCs w:val="32"/>
        </w:rPr>
        <w:t>提升各项业务与管理活动的信息化、流程化、自动化水平，通过完善信息系统功能、应用金融科技手段等，减少人工干预；</w:t>
      </w:r>
    </w:p>
    <w:p>
      <w:pPr>
        <w:pStyle w:val="11"/>
        <w:numPr>
          <w:ilvl w:val="0"/>
          <w:numId w:val="8"/>
        </w:numPr>
        <w:tabs>
          <w:tab w:val="left" w:pos="1050"/>
          <w:tab w:val="left" w:pos="1680"/>
        </w:tabs>
        <w:snapToGrid w:val="0"/>
        <w:spacing w:line="360" w:lineRule="auto"/>
        <w:ind w:firstLine="640" w:firstLineChars="200"/>
        <w:jc w:val="both"/>
        <w:textAlignment w:val="baseline"/>
        <w:rPr>
          <w:rFonts w:ascii="仿宋" w:hAnsi="仿宋" w:eastAsia="仿宋" w:cs="仿宋"/>
          <w:sz w:val="21"/>
          <w:szCs w:val="21"/>
        </w:rPr>
      </w:pPr>
      <w:r>
        <w:rPr>
          <w:rFonts w:hint="eastAsia" w:ascii="仿宋" w:hAnsi="仿宋" w:eastAsia="仿宋" w:cs="仿宋"/>
          <w:bCs/>
          <w:sz w:val="32"/>
          <w:szCs w:val="32"/>
        </w:rPr>
        <w:t>信息系统上线前应经过充分的测试；</w:t>
      </w:r>
    </w:p>
    <w:p>
      <w:pPr>
        <w:pStyle w:val="11"/>
        <w:numPr>
          <w:ilvl w:val="0"/>
          <w:numId w:val="8"/>
        </w:numPr>
        <w:tabs>
          <w:tab w:val="left" w:pos="1050"/>
          <w:tab w:val="left" w:pos="1680"/>
        </w:tabs>
        <w:snapToGrid w:val="0"/>
        <w:spacing w:line="360" w:lineRule="auto"/>
        <w:ind w:firstLine="640" w:firstLineChars="200"/>
        <w:jc w:val="both"/>
        <w:textAlignment w:val="baseline"/>
        <w:rPr>
          <w:rFonts w:ascii="仿宋" w:hAnsi="仿宋" w:eastAsia="仿宋" w:cs="仿宋"/>
          <w:bCs/>
          <w:sz w:val="32"/>
          <w:szCs w:val="32"/>
        </w:rPr>
      </w:pPr>
      <w:r>
        <w:rPr>
          <w:rFonts w:hint="eastAsia" w:ascii="仿宋" w:hAnsi="仿宋" w:eastAsia="仿宋" w:cs="仿宋"/>
          <w:bCs/>
          <w:sz w:val="32"/>
          <w:szCs w:val="32"/>
        </w:rPr>
        <w:t>按照最少功能、最小授权和不相容职责分离等原则分配信息系统权限，并定期评估用户权限的合理性；</w:t>
      </w:r>
    </w:p>
    <w:p>
      <w:pPr>
        <w:pStyle w:val="11"/>
        <w:numPr>
          <w:ilvl w:val="0"/>
          <w:numId w:val="8"/>
        </w:numPr>
        <w:tabs>
          <w:tab w:val="left" w:pos="1050"/>
          <w:tab w:val="left" w:pos="1680"/>
        </w:tabs>
        <w:snapToGrid w:val="0"/>
        <w:spacing w:line="360" w:lineRule="auto"/>
        <w:ind w:firstLine="640" w:firstLineChars="200"/>
        <w:jc w:val="both"/>
        <w:textAlignment w:val="baseline"/>
        <w:rPr>
          <w:rFonts w:ascii="仿宋" w:hAnsi="仿宋" w:eastAsia="仿宋" w:cs="仿宋"/>
          <w:bCs/>
          <w:sz w:val="32"/>
          <w:szCs w:val="32"/>
        </w:rPr>
      </w:pPr>
      <w:r>
        <w:rPr>
          <w:rFonts w:hint="eastAsia" w:ascii="仿宋" w:hAnsi="仿宋" w:eastAsia="仿宋" w:cs="仿宋"/>
          <w:bCs/>
          <w:sz w:val="32"/>
          <w:szCs w:val="32"/>
        </w:rPr>
        <w:t>加强交易系统风险指标和参数管理，指标和参数设置应符合业务授权、风险限额等要求。持仓限额、交易额度、风险敞口、压力测试阈值等重要参数的设置、变更应事前与风险管理等相关部门确认，并通过系统控制、流程设计等确保参数设置、变更的准确性和监控的有效性；</w:t>
      </w:r>
    </w:p>
    <w:p>
      <w:pPr>
        <w:pStyle w:val="11"/>
        <w:numPr>
          <w:ilvl w:val="0"/>
          <w:numId w:val="8"/>
        </w:numPr>
        <w:tabs>
          <w:tab w:val="left" w:pos="1050"/>
          <w:tab w:val="left" w:pos="1680"/>
        </w:tabs>
        <w:snapToGrid w:val="0"/>
        <w:spacing w:before="0" w:beforeAutospacing="0" w:after="0" w:afterAutospacing="0" w:line="360" w:lineRule="auto"/>
        <w:ind w:firstLine="640" w:firstLineChars="200"/>
        <w:jc w:val="both"/>
        <w:textAlignment w:val="baseline"/>
        <w:rPr>
          <w:rFonts w:ascii="仿宋" w:hAnsi="仿宋" w:eastAsia="仿宋" w:cs="仿宋"/>
          <w:sz w:val="32"/>
          <w:szCs w:val="32"/>
        </w:rPr>
      </w:pPr>
      <w:r>
        <w:rPr>
          <w:rFonts w:hint="eastAsia" w:ascii="仿宋" w:hAnsi="仿宋" w:eastAsia="仿宋" w:cs="仿宋"/>
          <w:bCs/>
          <w:sz w:val="32"/>
          <w:szCs w:val="32"/>
        </w:rPr>
        <w:t>建立交易差错处理的机制、流程和监控手段，通过流程设置、系统控制等防范交易差错；</w:t>
      </w:r>
    </w:p>
    <w:p>
      <w:pPr>
        <w:pStyle w:val="11"/>
        <w:numPr>
          <w:ilvl w:val="0"/>
          <w:numId w:val="8"/>
        </w:numPr>
        <w:tabs>
          <w:tab w:val="left" w:pos="1050"/>
          <w:tab w:val="left" w:pos="1680"/>
        </w:tabs>
        <w:snapToGrid w:val="0"/>
        <w:spacing w:before="0" w:beforeAutospacing="0" w:after="0" w:afterAutospacing="0" w:line="360" w:lineRule="auto"/>
        <w:ind w:firstLine="640" w:firstLineChars="200"/>
        <w:jc w:val="both"/>
        <w:textAlignment w:val="baseline"/>
        <w:rPr>
          <w:rFonts w:ascii="仿宋" w:hAnsi="仿宋" w:eastAsia="仿宋" w:cs="仿宋"/>
          <w:sz w:val="32"/>
          <w:szCs w:val="32"/>
        </w:rPr>
      </w:pPr>
      <w:r>
        <w:rPr>
          <w:rFonts w:hint="eastAsia" w:ascii="仿宋" w:hAnsi="仿宋" w:eastAsia="仿宋" w:cs="仿宋"/>
          <w:sz w:val="32"/>
          <w:szCs w:val="32"/>
        </w:rPr>
        <w:t>妥善保存和备份交易数据，保证信息完整、有效；</w:t>
      </w:r>
    </w:p>
    <w:p>
      <w:pPr>
        <w:pStyle w:val="37"/>
        <w:numPr>
          <w:ilvl w:val="0"/>
          <w:numId w:val="8"/>
        </w:numPr>
        <w:ind w:firstLine="640" w:firstLineChars="0"/>
        <w:rPr>
          <w:rFonts w:ascii="仿宋" w:hAnsi="仿宋" w:eastAsia="仿宋" w:cs="仿宋"/>
          <w:kern w:val="0"/>
          <w:sz w:val="32"/>
          <w:szCs w:val="32"/>
        </w:rPr>
      </w:pPr>
      <w:r>
        <w:rPr>
          <w:rFonts w:hint="eastAsia" w:ascii="仿宋" w:hAnsi="仿宋" w:eastAsia="仿宋" w:cs="仿宋"/>
          <w:kern w:val="0"/>
          <w:sz w:val="32"/>
          <w:szCs w:val="32"/>
        </w:rPr>
        <w:t>建立健全印章、印鉴管理制度，指定专人保管印章、印鉴，严格用印审批流程，妥善保存用印后的书面合同</w:t>
      </w:r>
      <w:r>
        <w:rPr>
          <w:rFonts w:hint="eastAsia" w:ascii="仿宋" w:hAnsi="仿宋" w:eastAsia="仿宋" w:cs="仿宋"/>
          <w:kern w:val="0"/>
          <w:sz w:val="32"/>
          <w:szCs w:val="32"/>
          <w:lang w:eastAsia="zh-CN"/>
        </w:rPr>
        <w:t>；</w:t>
      </w:r>
    </w:p>
    <w:p>
      <w:pPr>
        <w:pStyle w:val="37"/>
        <w:numPr>
          <w:ilvl w:val="0"/>
          <w:numId w:val="8"/>
        </w:numPr>
        <w:spacing w:after="313" w:afterLines="100"/>
        <w:ind w:firstLine="641" w:firstLineChars="0"/>
        <w:rPr>
          <w:rFonts w:ascii="仿宋" w:hAnsi="仿宋" w:eastAsia="仿宋" w:cs="仿宋"/>
          <w:kern w:val="0"/>
          <w:sz w:val="32"/>
          <w:szCs w:val="32"/>
        </w:rPr>
      </w:pPr>
      <w:r>
        <w:rPr>
          <w:rFonts w:hint="eastAsia" w:ascii="仿宋" w:hAnsi="仿宋" w:eastAsia="仿宋" w:cs="仿宋"/>
          <w:kern w:val="0"/>
          <w:sz w:val="32"/>
          <w:szCs w:val="32"/>
          <w:lang w:eastAsia="zh-CN"/>
        </w:rPr>
        <w:t>信息披露事务应建立健全信息收集、传递、审核、披露和保密管理、档案管理等重要环节的管理制度和流程。</w:t>
      </w:r>
    </w:p>
    <w:p>
      <w:pPr>
        <w:pStyle w:val="11"/>
        <w:numPr>
          <w:ilvl w:val="0"/>
          <w:numId w:val="2"/>
        </w:numPr>
        <w:snapToGrid w:val="0"/>
        <w:spacing w:before="0" w:beforeAutospacing="0" w:after="0" w:afterAutospacing="0" w:line="360" w:lineRule="auto"/>
        <w:ind w:left="0" w:firstLine="707" w:firstLineChars="221"/>
        <w:jc w:val="both"/>
        <w:textAlignment w:val="baseline"/>
        <w:rPr>
          <w:rFonts w:ascii="仿宋" w:hAnsi="仿宋" w:eastAsia="仿宋" w:cs="仿宋"/>
          <w:sz w:val="32"/>
          <w:szCs w:val="32"/>
        </w:rPr>
      </w:pPr>
      <w:r>
        <w:rPr>
          <w:rFonts w:hint="eastAsia" w:ascii="仿宋" w:hAnsi="仿宋" w:eastAsia="仿宋" w:cs="仿宋"/>
          <w:sz w:val="32"/>
          <w:szCs w:val="32"/>
        </w:rPr>
        <w:t>证券公司应针对其主要业务，建立并持续梳理、完善操作风险管理措施，包括但不限于：</w:t>
      </w:r>
    </w:p>
    <w:p>
      <w:pPr>
        <w:pStyle w:val="11"/>
        <w:numPr>
          <w:ilvl w:val="0"/>
          <w:numId w:val="9"/>
        </w:numPr>
        <w:tabs>
          <w:tab w:val="left" w:pos="1050"/>
          <w:tab w:val="left" w:pos="1680"/>
        </w:tabs>
        <w:snapToGrid w:val="0"/>
        <w:spacing w:before="0" w:beforeAutospacing="0" w:after="0" w:afterAutospacing="0" w:line="360" w:lineRule="auto"/>
        <w:ind w:firstLine="641"/>
        <w:jc w:val="both"/>
        <w:textAlignment w:val="baseline"/>
        <w:rPr>
          <w:rFonts w:ascii="仿宋" w:hAnsi="仿宋" w:eastAsia="仿宋" w:cs="仿宋"/>
          <w:sz w:val="32"/>
          <w:szCs w:val="32"/>
        </w:rPr>
      </w:pPr>
      <w:r>
        <w:rPr>
          <w:rFonts w:hint="eastAsia" w:ascii="仿宋" w:hAnsi="仿宋" w:eastAsia="仿宋" w:cs="仿宋"/>
          <w:sz w:val="32"/>
          <w:szCs w:val="32"/>
        </w:rPr>
        <w:t>经纪业务应建立健全</w:t>
      </w:r>
      <w:r>
        <w:rPr>
          <w:rFonts w:hint="eastAsia" w:ascii="仿宋" w:hAnsi="仿宋" w:eastAsia="仿宋" w:cs="仿宋"/>
          <w:sz w:val="32"/>
          <w:szCs w:val="32"/>
          <w:lang w:eastAsia="zh-CN"/>
        </w:rPr>
        <w:t>账户实名制、</w:t>
      </w:r>
      <w:r>
        <w:rPr>
          <w:rFonts w:hint="eastAsia" w:ascii="仿宋" w:hAnsi="仿宋" w:eastAsia="仿宋" w:cs="仿宋"/>
          <w:sz w:val="32"/>
          <w:szCs w:val="32"/>
        </w:rPr>
        <w:t>客户信息保护、</w:t>
      </w:r>
      <w:r>
        <w:rPr>
          <w:rFonts w:hint="eastAsia" w:ascii="仿宋" w:hAnsi="仿宋" w:eastAsia="仿宋" w:cs="仿宋"/>
          <w:sz w:val="32"/>
          <w:szCs w:val="32"/>
          <w:lang w:eastAsia="zh-CN"/>
        </w:rPr>
        <w:t>异常交易监测、大额及可疑交易报告、</w:t>
      </w:r>
      <w:r>
        <w:rPr>
          <w:rFonts w:hint="eastAsia" w:ascii="仿宋" w:hAnsi="仿宋" w:eastAsia="仿宋" w:cs="仿宋"/>
          <w:sz w:val="32"/>
          <w:szCs w:val="32"/>
        </w:rPr>
        <w:t>客户回访、客户投诉处理等制度和流程，及时发现、妥善处理风险事件；</w:t>
      </w:r>
    </w:p>
    <w:p>
      <w:pPr>
        <w:pStyle w:val="11"/>
        <w:numPr>
          <w:ilvl w:val="0"/>
          <w:numId w:val="9"/>
        </w:numPr>
        <w:tabs>
          <w:tab w:val="left" w:pos="1050"/>
          <w:tab w:val="left" w:pos="1680"/>
        </w:tabs>
        <w:snapToGrid w:val="0"/>
        <w:spacing w:before="0" w:beforeAutospacing="0" w:after="0" w:afterAutospacing="0" w:line="360" w:lineRule="auto"/>
        <w:ind w:firstLine="641"/>
        <w:jc w:val="both"/>
        <w:textAlignment w:val="baseline"/>
        <w:rPr>
          <w:rFonts w:ascii="仿宋" w:hAnsi="仿宋" w:eastAsia="仿宋" w:cs="仿宋"/>
          <w:sz w:val="32"/>
          <w:szCs w:val="32"/>
        </w:rPr>
      </w:pPr>
      <w:r>
        <w:rPr>
          <w:rFonts w:hint="eastAsia" w:ascii="仿宋" w:hAnsi="仿宋" w:eastAsia="仿宋" w:cs="仿宋"/>
          <w:sz w:val="32"/>
          <w:szCs w:val="32"/>
        </w:rPr>
        <w:t>自营业务投资决策、交易执行、清算交收和风险监控等关键岗位由专人负责，并加强自营账户的集中管理和权限控制；</w:t>
      </w:r>
    </w:p>
    <w:p>
      <w:pPr>
        <w:pStyle w:val="11"/>
        <w:numPr>
          <w:ilvl w:val="0"/>
          <w:numId w:val="9"/>
        </w:numPr>
        <w:tabs>
          <w:tab w:val="left" w:pos="1050"/>
          <w:tab w:val="left" w:pos="1680"/>
        </w:tabs>
        <w:snapToGrid w:val="0"/>
        <w:spacing w:before="0" w:beforeAutospacing="0" w:after="0" w:afterAutospacing="0" w:line="360" w:lineRule="auto"/>
        <w:ind w:firstLine="640"/>
        <w:jc w:val="both"/>
        <w:textAlignment w:val="baseline"/>
        <w:rPr>
          <w:rFonts w:ascii="仿宋" w:hAnsi="仿宋" w:eastAsia="仿宋" w:cs="仿宋"/>
          <w:sz w:val="32"/>
          <w:szCs w:val="32"/>
        </w:rPr>
      </w:pPr>
      <w:r>
        <w:rPr>
          <w:rFonts w:hint="eastAsia" w:ascii="仿宋" w:hAnsi="仿宋" w:eastAsia="仿宋" w:cs="仿宋"/>
          <w:sz w:val="32"/>
          <w:szCs w:val="32"/>
        </w:rPr>
        <w:t>投资银行类业务应规范尽职调查过程和项目跟踪管理机制，明确项目相关材料、文件的编制要求和签字审批制度，</w:t>
      </w:r>
      <w:r>
        <w:rPr>
          <w:rFonts w:hint="eastAsia" w:ascii="仿宋" w:hAnsi="仿宋" w:eastAsia="仿宋" w:cs="仿宋"/>
          <w:sz w:val="32"/>
          <w:szCs w:val="32"/>
          <w:lang w:eastAsia="zh-CN"/>
        </w:rPr>
        <w:t>强化编制或协助编制信息披露文件内容的复核把关，</w:t>
      </w:r>
      <w:r>
        <w:rPr>
          <w:rFonts w:hint="eastAsia" w:ascii="仿宋" w:hAnsi="仿宋" w:eastAsia="仿宋" w:cs="仿宋"/>
          <w:sz w:val="32"/>
          <w:szCs w:val="32"/>
        </w:rPr>
        <w:t>加强对工作底稿的管理；</w:t>
      </w:r>
    </w:p>
    <w:p>
      <w:pPr>
        <w:pStyle w:val="11"/>
        <w:numPr>
          <w:ilvl w:val="0"/>
          <w:numId w:val="9"/>
        </w:numPr>
        <w:tabs>
          <w:tab w:val="left" w:pos="1050"/>
          <w:tab w:val="left" w:pos="1680"/>
        </w:tabs>
        <w:snapToGrid w:val="0"/>
        <w:spacing w:before="0" w:beforeAutospacing="0" w:after="0" w:afterAutospacing="0" w:line="360" w:lineRule="auto"/>
        <w:ind w:firstLine="640"/>
        <w:jc w:val="both"/>
        <w:textAlignment w:val="baseline"/>
        <w:rPr>
          <w:rFonts w:ascii="仿宋" w:hAnsi="仿宋" w:eastAsia="仿宋" w:cs="仿宋"/>
          <w:sz w:val="32"/>
          <w:szCs w:val="32"/>
        </w:rPr>
      </w:pPr>
      <w:r>
        <w:rPr>
          <w:rFonts w:hint="eastAsia" w:ascii="仿宋" w:hAnsi="仿宋" w:eastAsia="仿宋" w:cs="仿宋"/>
          <w:sz w:val="32"/>
          <w:szCs w:val="32"/>
        </w:rPr>
        <w:t>资产管理业务应当按规定与其他业务严格分离，并按法律法规、自律规则和合同约定</w:t>
      </w:r>
      <w:r>
        <w:rPr>
          <w:rFonts w:hint="eastAsia" w:ascii="仿宋" w:hAnsi="仿宋" w:eastAsia="仿宋" w:cs="仿宋"/>
          <w:sz w:val="32"/>
          <w:szCs w:val="32"/>
          <w:lang w:eastAsia="zh-CN"/>
        </w:rPr>
        <w:t>，</w:t>
      </w:r>
      <w:r>
        <w:rPr>
          <w:rFonts w:hint="eastAsia" w:ascii="仿宋" w:hAnsi="仿宋" w:eastAsia="仿宋" w:cs="仿宋"/>
          <w:sz w:val="32"/>
          <w:szCs w:val="32"/>
        </w:rPr>
        <w:t>分别办理不同资产管理计划份额的登记、估值、核算、收益分配，并及时、准确、完整地向投资者进行信息披露；</w:t>
      </w:r>
    </w:p>
    <w:p>
      <w:pPr>
        <w:pStyle w:val="11"/>
        <w:numPr>
          <w:ilvl w:val="0"/>
          <w:numId w:val="9"/>
        </w:numPr>
        <w:tabs>
          <w:tab w:val="left" w:pos="1050"/>
          <w:tab w:val="left" w:pos="1680"/>
        </w:tabs>
        <w:snapToGrid w:val="0"/>
        <w:spacing w:before="0" w:beforeAutospacing="0" w:after="0" w:afterAutospacing="0" w:line="360" w:lineRule="auto"/>
        <w:ind w:firstLine="640"/>
        <w:jc w:val="both"/>
        <w:textAlignment w:val="baseline"/>
        <w:rPr>
          <w:rFonts w:ascii="仿宋" w:hAnsi="仿宋" w:eastAsia="仿宋" w:cs="仿宋"/>
          <w:sz w:val="32"/>
          <w:szCs w:val="32"/>
        </w:rPr>
      </w:pPr>
      <w:r>
        <w:rPr>
          <w:rFonts w:hint="eastAsia" w:ascii="仿宋" w:hAnsi="仿宋" w:eastAsia="仿宋" w:cs="仿宋"/>
          <w:sz w:val="32"/>
          <w:szCs w:val="32"/>
        </w:rPr>
        <w:t>融资融券、股票质押等融资类业务应建立健全尽职调查、参数设置、指令申报、资金划转、违约处置等方面的管理制度和业务流程，按规定与客户签订合同，并采用适当的方式向客户明确讲解、告知和确认；</w:t>
      </w:r>
    </w:p>
    <w:p>
      <w:pPr>
        <w:pStyle w:val="11"/>
        <w:numPr>
          <w:ilvl w:val="0"/>
          <w:numId w:val="9"/>
        </w:numPr>
        <w:tabs>
          <w:tab w:val="left" w:pos="1050"/>
          <w:tab w:val="left" w:pos="1680"/>
        </w:tabs>
        <w:snapToGrid w:val="0"/>
        <w:spacing w:before="0" w:beforeAutospacing="0" w:after="0" w:afterAutospacing="0" w:line="360" w:lineRule="auto"/>
        <w:ind w:firstLine="640"/>
        <w:jc w:val="both"/>
        <w:textAlignment w:val="baseline"/>
        <w:rPr>
          <w:rFonts w:ascii="仿宋" w:hAnsi="仿宋" w:eastAsia="仿宋" w:cs="仿宋"/>
          <w:sz w:val="32"/>
          <w:szCs w:val="32"/>
        </w:rPr>
      </w:pPr>
      <w:r>
        <w:rPr>
          <w:rFonts w:hint="eastAsia" w:ascii="仿宋" w:hAnsi="仿宋" w:eastAsia="仿宋" w:cs="仿宋"/>
          <w:sz w:val="32"/>
          <w:szCs w:val="32"/>
        </w:rPr>
        <w:t>场外衍生品业务应建立健全客户准入、交易文件的生成和报备、交易确认、交易簿记与复核、估值核算等重要环节的管理制度和流程，对从事衍生品交易的部门和人员应进行分级授权；</w:t>
      </w:r>
    </w:p>
    <w:p>
      <w:pPr>
        <w:pStyle w:val="11"/>
        <w:numPr>
          <w:ilvl w:val="0"/>
          <w:numId w:val="9"/>
        </w:numPr>
        <w:tabs>
          <w:tab w:val="left" w:pos="1050"/>
          <w:tab w:val="left" w:pos="1680"/>
        </w:tabs>
        <w:snapToGrid w:val="0"/>
        <w:spacing w:before="0" w:beforeAutospacing="0" w:after="0" w:afterAutospacing="0" w:line="360" w:lineRule="auto"/>
        <w:ind w:firstLine="640" w:firstLineChars="200"/>
        <w:jc w:val="both"/>
        <w:textAlignment w:val="baseline"/>
        <w:rPr>
          <w:rFonts w:ascii="仿宋" w:hAnsi="仿宋" w:eastAsia="仿宋" w:cs="仿宋"/>
          <w:sz w:val="32"/>
          <w:szCs w:val="32"/>
        </w:rPr>
      </w:pPr>
      <w:r>
        <w:rPr>
          <w:rFonts w:hint="eastAsia" w:ascii="仿宋" w:hAnsi="仿宋" w:eastAsia="仿宋" w:cs="仿宋"/>
          <w:sz w:val="32"/>
          <w:szCs w:val="32"/>
        </w:rPr>
        <w:t>涉及跨境的业务应建立健全涉及境内外业务流程衔接、信息系统或数据对接、敏感信息跨境流动、数据备份等方面的管理流程。</w:t>
      </w:r>
    </w:p>
    <w:p>
      <w:pPr>
        <w:spacing w:beforeLines="100" w:afterLines="100"/>
        <w:jc w:val="center"/>
        <w:rPr>
          <w:rFonts w:ascii="仿宋" w:hAnsi="仿宋" w:eastAsia="仿宋" w:cs="仿宋"/>
          <w:b/>
          <w:bCs/>
          <w:kern w:val="44"/>
          <w:sz w:val="32"/>
          <w:szCs w:val="32"/>
        </w:rPr>
      </w:pPr>
      <w:r>
        <w:rPr>
          <w:rFonts w:hint="eastAsia" w:ascii="仿宋" w:hAnsi="仿宋" w:eastAsia="仿宋" w:cs="仿宋"/>
          <w:b/>
          <w:bCs/>
          <w:kern w:val="44"/>
          <w:sz w:val="32"/>
          <w:szCs w:val="32"/>
        </w:rPr>
        <w:t>第三节 操作风险监测与报告</w:t>
      </w:r>
    </w:p>
    <w:p>
      <w:pPr>
        <w:pStyle w:val="11"/>
        <w:numPr>
          <w:ilvl w:val="0"/>
          <w:numId w:val="2"/>
        </w:numPr>
        <w:snapToGrid w:val="0"/>
        <w:spacing w:before="0" w:beforeAutospacing="0" w:after="0" w:afterAutospacing="0" w:line="360" w:lineRule="auto"/>
        <w:ind w:left="0" w:firstLine="707" w:firstLineChars="221"/>
        <w:jc w:val="both"/>
        <w:textAlignment w:val="baseline"/>
        <w:rPr>
          <w:rFonts w:ascii="仿宋" w:hAnsi="仿宋" w:eastAsia="仿宋" w:cs="仿宋"/>
          <w:bCs/>
          <w:sz w:val="32"/>
          <w:szCs w:val="32"/>
        </w:rPr>
      </w:pPr>
      <w:r>
        <w:rPr>
          <w:rFonts w:hint="eastAsia" w:ascii="仿宋" w:hAnsi="仿宋" w:eastAsia="仿宋" w:cs="仿宋"/>
          <w:bCs/>
          <w:sz w:val="32"/>
          <w:szCs w:val="32"/>
        </w:rPr>
        <w:t>证券公司应建立操作风险监测机制，对各类操作风险相关信息及指标等进行动态、持续监测，分析操作风险状况，及时发现问题并采取有效措施，控制、降低风险：</w:t>
      </w:r>
    </w:p>
    <w:p>
      <w:pPr>
        <w:pStyle w:val="11"/>
        <w:snapToGrid w:val="0"/>
        <w:spacing w:before="0" w:beforeAutospacing="0" w:after="0" w:afterAutospacing="0" w:line="360" w:lineRule="auto"/>
        <w:ind w:firstLine="640" w:firstLineChars="200"/>
        <w:jc w:val="both"/>
        <w:textAlignment w:val="baseline"/>
        <w:rPr>
          <w:rFonts w:ascii="仿宋" w:hAnsi="仿宋" w:eastAsia="仿宋" w:cs="仿宋"/>
          <w:bCs/>
          <w:sz w:val="32"/>
          <w:szCs w:val="32"/>
        </w:rPr>
      </w:pPr>
      <w:r>
        <w:rPr>
          <w:rFonts w:hint="eastAsia" w:ascii="仿宋" w:hAnsi="仿宋" w:eastAsia="仿宋" w:cs="仿宋"/>
          <w:bCs/>
          <w:sz w:val="32"/>
          <w:szCs w:val="32"/>
        </w:rPr>
        <w:t>（一）建立操作风险关键风险指标体系。证券公司应明确关键风险指标的监测分析目的，说明指标数据来源与统计口径，合理设置指标阈值与监测频率，并建立指标监测预警与报告流程。关键风险指标应逐步覆盖各重点关注领域和关键业务流程。关键风险指标可根据监管要求、操作风险识别与评估结果、内外部操作风险损失数据等设立；</w:t>
      </w:r>
    </w:p>
    <w:p>
      <w:pPr>
        <w:pStyle w:val="11"/>
        <w:snapToGrid w:val="0"/>
        <w:spacing w:before="0" w:beforeAutospacing="0" w:after="0" w:afterAutospacing="0" w:line="360" w:lineRule="auto"/>
        <w:ind w:firstLine="640" w:firstLineChars="200"/>
        <w:jc w:val="both"/>
        <w:textAlignment w:val="baseline"/>
        <w:rPr>
          <w:rFonts w:ascii="仿宋" w:hAnsi="仿宋" w:eastAsia="仿宋" w:cs="仿宋"/>
          <w:bCs/>
          <w:sz w:val="32"/>
          <w:szCs w:val="32"/>
        </w:rPr>
      </w:pPr>
      <w:r>
        <w:rPr>
          <w:rFonts w:hint="eastAsia" w:ascii="仿宋" w:hAnsi="仿宋" w:eastAsia="仿宋" w:cs="仿宋"/>
          <w:bCs/>
          <w:sz w:val="32"/>
          <w:szCs w:val="32"/>
        </w:rPr>
        <w:t>（二）持续提升操作风险监测能力。证券公司可通过信息技术手段采集、分析相关数据等方式开展操作风险监测。</w:t>
      </w:r>
    </w:p>
    <w:p>
      <w:pPr>
        <w:pStyle w:val="11"/>
        <w:numPr>
          <w:ilvl w:val="0"/>
          <w:numId w:val="2"/>
        </w:numPr>
        <w:tabs>
          <w:tab w:val="left" w:pos="1050"/>
          <w:tab w:val="left" w:pos="1680"/>
        </w:tabs>
        <w:snapToGrid w:val="0"/>
        <w:spacing w:before="0" w:beforeAutospacing="0" w:after="0" w:afterAutospacing="0" w:line="360" w:lineRule="auto"/>
        <w:ind w:left="42" w:leftChars="20" w:firstLine="595" w:firstLineChars="186"/>
        <w:jc w:val="both"/>
        <w:textAlignment w:val="baseline"/>
        <w:rPr>
          <w:rFonts w:ascii="仿宋" w:hAnsi="仿宋" w:eastAsia="仿宋" w:cs="仿宋"/>
          <w:bCs/>
          <w:sz w:val="32"/>
          <w:szCs w:val="32"/>
        </w:rPr>
      </w:pPr>
      <w:r>
        <w:rPr>
          <w:rFonts w:hint="eastAsia" w:ascii="仿宋" w:hAnsi="仿宋" w:eastAsia="仿宋" w:cs="仿宋"/>
          <w:bCs/>
          <w:sz w:val="32"/>
          <w:szCs w:val="32"/>
        </w:rPr>
        <w:t>证券公司应建立操作风险损失数据收集机制，明确损失数据收集的标准与报告流程，全面、持续地开展操作风险损失数据识别、收集、汇总、分析、报告工作：</w:t>
      </w:r>
    </w:p>
    <w:p>
      <w:pPr>
        <w:pStyle w:val="11"/>
        <w:numPr>
          <w:ilvl w:val="0"/>
          <w:numId w:val="10"/>
        </w:numPr>
        <w:tabs>
          <w:tab w:val="left" w:pos="1050"/>
          <w:tab w:val="left" w:pos="1680"/>
        </w:tabs>
        <w:snapToGrid w:val="0"/>
        <w:spacing w:before="0" w:beforeAutospacing="0" w:after="0" w:afterAutospacing="0" w:line="360" w:lineRule="auto"/>
        <w:ind w:firstLine="640" w:firstLineChars="200"/>
        <w:jc w:val="both"/>
        <w:textAlignment w:val="baseline"/>
        <w:rPr>
          <w:rFonts w:ascii="仿宋" w:hAnsi="仿宋" w:eastAsia="仿宋" w:cs="仿宋"/>
          <w:bCs/>
          <w:sz w:val="32"/>
          <w:szCs w:val="32"/>
        </w:rPr>
      </w:pPr>
      <w:r>
        <w:rPr>
          <w:rFonts w:hint="eastAsia" w:ascii="仿宋" w:hAnsi="仿宋" w:eastAsia="仿宋" w:cs="仿宋"/>
          <w:bCs/>
          <w:sz w:val="32"/>
          <w:szCs w:val="32"/>
        </w:rPr>
        <w:t>损失数据记录应包含事件类型、原因、发生时间、损失金额（或非财务损失情况）、发生单位和重要细节描述等；</w:t>
      </w:r>
    </w:p>
    <w:p>
      <w:pPr>
        <w:pStyle w:val="11"/>
        <w:numPr>
          <w:ilvl w:val="0"/>
          <w:numId w:val="10"/>
        </w:numPr>
        <w:tabs>
          <w:tab w:val="left" w:pos="1050"/>
          <w:tab w:val="left" w:pos="1680"/>
        </w:tabs>
        <w:snapToGrid w:val="0"/>
        <w:spacing w:before="0" w:beforeAutospacing="0" w:after="0" w:afterAutospacing="0" w:line="360" w:lineRule="auto"/>
        <w:ind w:firstLine="640" w:firstLineChars="200"/>
        <w:jc w:val="both"/>
        <w:textAlignment w:val="baseline"/>
        <w:rPr>
          <w:rFonts w:ascii="仿宋" w:hAnsi="仿宋" w:eastAsia="仿宋" w:cs="仿宋"/>
          <w:bCs/>
          <w:sz w:val="32"/>
          <w:szCs w:val="32"/>
        </w:rPr>
      </w:pPr>
      <w:r>
        <w:rPr>
          <w:rFonts w:hint="eastAsia" w:ascii="仿宋" w:hAnsi="仿宋" w:eastAsia="仿宋" w:cs="仿宋"/>
          <w:bCs/>
          <w:sz w:val="32"/>
          <w:szCs w:val="32"/>
        </w:rPr>
        <w:t>通过分析内外部相关信息和内外部检查中发现的操作风险事件等方式，主动收集操作风险损失数据</w:t>
      </w:r>
      <w:r>
        <w:rPr>
          <w:rFonts w:hint="eastAsia" w:ascii="仿宋" w:hAnsi="仿宋" w:eastAsia="仿宋" w:cs="仿宋"/>
          <w:sz w:val="32"/>
          <w:szCs w:val="32"/>
        </w:rPr>
        <w:t>。</w:t>
      </w:r>
    </w:p>
    <w:p>
      <w:pPr>
        <w:pStyle w:val="11"/>
        <w:numPr>
          <w:ilvl w:val="0"/>
          <w:numId w:val="2"/>
        </w:numPr>
        <w:snapToGrid w:val="0"/>
        <w:spacing w:before="0" w:beforeAutospacing="0" w:after="0" w:afterAutospacing="0" w:line="360" w:lineRule="auto"/>
        <w:ind w:left="0" w:firstLine="707" w:firstLineChars="221"/>
        <w:jc w:val="both"/>
        <w:textAlignment w:val="baseline"/>
        <w:rPr>
          <w:rFonts w:ascii="仿宋" w:hAnsi="仿宋" w:eastAsia="仿宋" w:cs="仿宋"/>
          <w:bCs/>
          <w:sz w:val="32"/>
          <w:szCs w:val="32"/>
        </w:rPr>
      </w:pPr>
      <w:r>
        <w:rPr>
          <w:rFonts w:hint="eastAsia" w:ascii="仿宋" w:hAnsi="仿宋" w:eastAsia="仿宋" w:cs="仿宋"/>
          <w:bCs/>
          <w:sz w:val="32"/>
          <w:szCs w:val="32"/>
        </w:rPr>
        <w:t>证券公司应建立操作风险报告机制，明确需要报告的情形、报告主体、报告路径和时限等要求，规范事件报告流程。</w:t>
      </w:r>
    </w:p>
    <w:p>
      <w:pPr>
        <w:pStyle w:val="11"/>
        <w:snapToGrid w:val="0"/>
        <w:spacing w:before="0" w:beforeAutospacing="0" w:after="0" w:afterAutospacing="0" w:line="360" w:lineRule="auto"/>
        <w:ind w:firstLine="640" w:firstLineChars="200"/>
        <w:jc w:val="both"/>
        <w:textAlignment w:val="baseline"/>
        <w:rPr>
          <w:rFonts w:ascii="仿宋" w:hAnsi="仿宋" w:eastAsia="仿宋" w:cs="仿宋"/>
          <w:bCs/>
          <w:sz w:val="32"/>
          <w:szCs w:val="32"/>
        </w:rPr>
      </w:pPr>
      <w:r>
        <w:rPr>
          <w:rFonts w:hint="eastAsia" w:ascii="仿宋" w:hAnsi="仿宋" w:eastAsia="仿宋" w:cs="仿宋"/>
          <w:bCs/>
          <w:sz w:val="32"/>
          <w:szCs w:val="32"/>
        </w:rPr>
        <w:t>证券公司应根据监管部门或其派出机构等的要求报送与重大操作风险事件有关的报告。</w:t>
      </w:r>
    </w:p>
    <w:p>
      <w:pPr>
        <w:pStyle w:val="11"/>
        <w:numPr>
          <w:ilvl w:val="0"/>
          <w:numId w:val="2"/>
        </w:numPr>
        <w:snapToGrid w:val="0"/>
        <w:spacing w:before="0" w:beforeAutospacing="0" w:after="0" w:afterAutospacing="0" w:line="360" w:lineRule="auto"/>
        <w:ind w:left="0" w:firstLine="707" w:firstLineChars="221"/>
        <w:jc w:val="both"/>
        <w:textAlignment w:val="baseline"/>
        <w:rPr>
          <w:rFonts w:ascii="仿宋" w:hAnsi="仿宋" w:eastAsia="仿宋" w:cs="仿宋"/>
          <w:bCs/>
          <w:sz w:val="32"/>
          <w:szCs w:val="32"/>
        </w:rPr>
      </w:pPr>
      <w:bookmarkStart w:id="0" w:name="OLE_LINK9"/>
      <w:r>
        <w:rPr>
          <w:rFonts w:hint="eastAsia" w:ascii="仿宋" w:hAnsi="仿宋" w:eastAsia="仿宋" w:cs="仿宋"/>
          <w:bCs/>
          <w:sz w:val="32"/>
          <w:szCs w:val="32"/>
        </w:rPr>
        <w:t>证券公司应建立操作风险有关问题的整改追踪机制，明确整改责任单位、整改措施、完成时间等要素，并建立内部信息共享与协同整改机制，持续监控、报告整改状况。</w:t>
      </w:r>
    </w:p>
    <w:p>
      <w:pPr>
        <w:pStyle w:val="11"/>
        <w:snapToGrid w:val="0"/>
        <w:spacing w:beforeLines="100" w:beforeAutospacing="0" w:afterLines="100" w:afterAutospacing="0" w:line="360" w:lineRule="auto"/>
        <w:ind w:left="464" w:leftChars="221"/>
        <w:jc w:val="center"/>
        <w:textAlignment w:val="baseline"/>
        <w:rPr>
          <w:rFonts w:ascii="仿宋" w:hAnsi="仿宋" w:eastAsia="仿宋" w:cs="仿宋"/>
          <w:b/>
          <w:sz w:val="32"/>
          <w:szCs w:val="32"/>
        </w:rPr>
      </w:pPr>
      <w:r>
        <w:rPr>
          <w:rFonts w:hint="eastAsia" w:ascii="仿宋" w:hAnsi="仿宋" w:eastAsia="仿宋" w:cs="仿宋"/>
          <w:b/>
          <w:sz w:val="32"/>
          <w:szCs w:val="32"/>
        </w:rPr>
        <w:t>第四章 专项领域的操作风险管理</w:t>
      </w:r>
    </w:p>
    <w:bookmarkEnd w:id="0"/>
    <w:p>
      <w:pPr>
        <w:pStyle w:val="11"/>
        <w:numPr>
          <w:ilvl w:val="0"/>
          <w:numId w:val="2"/>
        </w:numPr>
        <w:snapToGrid w:val="0"/>
        <w:spacing w:line="360" w:lineRule="auto"/>
        <w:ind w:left="0" w:firstLine="707" w:firstLineChars="221"/>
        <w:jc w:val="both"/>
        <w:textAlignment w:val="baseline"/>
        <w:rPr>
          <w:rFonts w:ascii="仿宋" w:hAnsi="仿宋" w:eastAsia="仿宋" w:cs="仿宋"/>
          <w:sz w:val="21"/>
          <w:szCs w:val="21"/>
        </w:rPr>
      </w:pPr>
      <w:r>
        <w:rPr>
          <w:rFonts w:hint="eastAsia" w:ascii="仿宋" w:hAnsi="仿宋" w:eastAsia="仿宋" w:cs="仿宋"/>
          <w:bCs/>
          <w:sz w:val="32"/>
          <w:szCs w:val="32"/>
        </w:rPr>
        <w:t>证券公司应将发生操作风险突发事件的场景纳入突发事件应急处理机制，制定和完善应急预案，落实操作风险突发事件的处置职责，最大程度减少操作风险损失。</w:t>
      </w:r>
    </w:p>
    <w:p>
      <w:pPr>
        <w:pStyle w:val="11"/>
        <w:numPr>
          <w:ilvl w:val="0"/>
          <w:numId w:val="2"/>
        </w:numPr>
        <w:snapToGrid w:val="0"/>
        <w:spacing w:before="0" w:beforeAutospacing="0" w:after="0" w:afterAutospacing="0" w:line="360" w:lineRule="auto"/>
        <w:ind w:left="0" w:firstLine="640" w:firstLineChars="200"/>
        <w:jc w:val="both"/>
        <w:textAlignment w:val="baseline"/>
        <w:rPr>
          <w:rFonts w:ascii="仿宋" w:hAnsi="仿宋" w:eastAsia="仿宋" w:cs="仿宋"/>
          <w:bCs/>
          <w:sz w:val="32"/>
          <w:szCs w:val="32"/>
        </w:rPr>
      </w:pPr>
      <w:bookmarkStart w:id="1" w:name="OLE_LINK2"/>
      <w:bookmarkStart w:id="2" w:name="OLE_LINK3"/>
      <w:r>
        <w:rPr>
          <w:rFonts w:hint="eastAsia" w:ascii="仿宋" w:hAnsi="仿宋" w:eastAsia="仿宋" w:cs="仿宋"/>
          <w:bCs/>
          <w:sz w:val="32"/>
          <w:szCs w:val="32"/>
        </w:rPr>
        <w:t>证券公司应建立和完善保障业务连续运行的管理机制，确定重要业务恢复目标，建立业务连续性计划和配置必要资源，并定期开展演练与持续改进，有效降低或消除业务中断造成的影响和损失</w:t>
      </w:r>
      <w:bookmarkEnd w:id="1"/>
      <w:bookmarkEnd w:id="2"/>
      <w:r>
        <w:rPr>
          <w:rFonts w:hint="eastAsia" w:ascii="仿宋" w:hAnsi="仿宋" w:eastAsia="仿宋" w:cs="仿宋"/>
          <w:bCs/>
          <w:sz w:val="32"/>
          <w:szCs w:val="32"/>
        </w:rPr>
        <w:t>。</w:t>
      </w:r>
    </w:p>
    <w:p>
      <w:pPr>
        <w:pStyle w:val="11"/>
        <w:numPr>
          <w:ilvl w:val="0"/>
          <w:numId w:val="2"/>
        </w:numPr>
        <w:snapToGrid w:val="0"/>
        <w:spacing w:before="0" w:beforeAutospacing="0" w:after="0" w:afterAutospacing="0" w:line="360" w:lineRule="auto"/>
        <w:ind w:left="0" w:firstLine="640" w:firstLineChars="200"/>
        <w:jc w:val="both"/>
        <w:textAlignment w:val="baseline"/>
        <w:rPr>
          <w:rFonts w:ascii="仿宋" w:hAnsi="仿宋" w:eastAsia="仿宋" w:cs="仿宋"/>
          <w:bCs/>
          <w:sz w:val="32"/>
          <w:szCs w:val="32"/>
        </w:rPr>
      </w:pPr>
      <w:r>
        <w:rPr>
          <w:rFonts w:hint="eastAsia" w:ascii="仿宋" w:hAnsi="仿宋" w:eastAsia="仿宋" w:cs="仿宋"/>
          <w:bCs/>
          <w:sz w:val="32"/>
          <w:szCs w:val="32"/>
        </w:rPr>
        <w:t>证券公司应评估外包活动可能导致的业务中断、敏感信息泄漏等风险，确保外包服务有严谨的合同和服务协议，明确合同各方的责任义务。证券公司应明确各相关部门的外包风险管理职责，监控和管理外包实施过程的风险。</w:t>
      </w:r>
    </w:p>
    <w:p>
      <w:pPr>
        <w:pStyle w:val="11"/>
        <w:numPr>
          <w:ilvl w:val="0"/>
          <w:numId w:val="2"/>
        </w:numPr>
        <w:snapToGrid w:val="0"/>
        <w:spacing w:before="0" w:beforeAutospacing="0" w:after="0" w:afterAutospacing="0" w:line="360" w:lineRule="auto"/>
        <w:ind w:left="0" w:firstLine="640" w:firstLineChars="200"/>
        <w:jc w:val="both"/>
        <w:textAlignment w:val="baseline"/>
        <w:rPr>
          <w:rFonts w:ascii="仿宋" w:hAnsi="仿宋" w:eastAsia="仿宋" w:cs="仿宋"/>
          <w:bCs/>
          <w:sz w:val="32"/>
          <w:szCs w:val="32"/>
        </w:rPr>
      </w:pPr>
      <w:r>
        <w:rPr>
          <w:rFonts w:hint="eastAsia" w:ascii="仿宋" w:hAnsi="仿宋" w:eastAsia="仿宋" w:cs="仿宋"/>
          <w:bCs/>
          <w:sz w:val="32"/>
          <w:szCs w:val="32"/>
        </w:rPr>
        <w:t>证券公司应高度重视聘用人员的诚信记录，建立和完善公司人员行为管理机制，有效防范公司人员行为不当导致的操作风险。</w:t>
      </w:r>
      <w:r>
        <w:rPr>
          <w:rFonts w:hint="eastAsia" w:ascii="仿宋" w:hAnsi="仿宋" w:eastAsia="仿宋" w:cs="仿宋"/>
          <w:sz w:val="21"/>
          <w:szCs w:val="21"/>
        </w:rPr>
        <w:t xml:space="preserve"> </w:t>
      </w:r>
    </w:p>
    <w:p>
      <w:pPr>
        <w:pStyle w:val="11"/>
        <w:numPr>
          <w:ilvl w:val="0"/>
          <w:numId w:val="2"/>
        </w:numPr>
        <w:snapToGrid w:val="0"/>
        <w:spacing w:before="0" w:beforeAutospacing="0" w:after="0" w:afterAutospacing="0" w:line="360" w:lineRule="auto"/>
        <w:ind w:left="0" w:firstLine="707" w:firstLineChars="221"/>
        <w:jc w:val="both"/>
        <w:textAlignment w:val="baseline"/>
        <w:rPr>
          <w:rFonts w:ascii="仿宋" w:hAnsi="仿宋" w:eastAsia="仿宋" w:cs="仿宋"/>
          <w:bCs/>
          <w:sz w:val="32"/>
          <w:szCs w:val="32"/>
        </w:rPr>
      </w:pPr>
      <w:r>
        <w:rPr>
          <w:rFonts w:hint="eastAsia" w:ascii="仿宋" w:hAnsi="仿宋" w:eastAsia="仿宋" w:cs="仿宋"/>
          <w:bCs/>
          <w:sz w:val="32"/>
          <w:szCs w:val="32"/>
        </w:rPr>
        <w:t>证券公司应将加强内部控制措施的落实作为操作风险管理的重要手段，在公司内部协同开展风险识别与评估、控制活动设计与实施、检查与评价等工作。</w:t>
      </w:r>
    </w:p>
    <w:p>
      <w:pPr>
        <w:pStyle w:val="11"/>
        <w:snapToGrid w:val="0"/>
        <w:spacing w:beforeLines="100" w:beforeAutospacing="0" w:afterLines="100" w:afterAutospacing="0" w:line="360" w:lineRule="auto"/>
        <w:ind w:left="464" w:leftChars="221"/>
        <w:jc w:val="center"/>
        <w:textAlignment w:val="baseline"/>
        <w:rPr>
          <w:rFonts w:ascii="仿宋" w:hAnsi="仿宋" w:eastAsia="仿宋" w:cs="仿宋"/>
          <w:b/>
          <w:sz w:val="32"/>
          <w:szCs w:val="32"/>
        </w:rPr>
      </w:pPr>
      <w:r>
        <w:rPr>
          <w:rFonts w:hint="eastAsia" w:ascii="仿宋" w:hAnsi="仿宋" w:eastAsia="仿宋" w:cs="仿宋"/>
          <w:b/>
          <w:sz w:val="32"/>
          <w:szCs w:val="32"/>
        </w:rPr>
        <w:t>第五章 系统、数据及其他管理要求</w:t>
      </w:r>
    </w:p>
    <w:p>
      <w:pPr>
        <w:pStyle w:val="11"/>
        <w:numPr>
          <w:ilvl w:val="0"/>
          <w:numId w:val="2"/>
        </w:numPr>
        <w:snapToGrid w:val="0"/>
        <w:spacing w:before="0" w:beforeAutospacing="0" w:after="0" w:afterAutospacing="0" w:line="360" w:lineRule="auto"/>
        <w:ind w:left="0" w:firstLine="707" w:firstLineChars="221"/>
        <w:jc w:val="both"/>
        <w:textAlignment w:val="baseline"/>
        <w:rPr>
          <w:rFonts w:ascii="仿宋" w:hAnsi="仿宋" w:eastAsia="仿宋" w:cs="仿宋"/>
          <w:bCs/>
          <w:sz w:val="32"/>
          <w:szCs w:val="32"/>
        </w:rPr>
      </w:pPr>
      <w:r>
        <w:rPr>
          <w:rFonts w:hint="eastAsia" w:ascii="仿宋" w:hAnsi="仿宋" w:eastAsia="仿宋" w:cs="仿宋"/>
          <w:bCs/>
          <w:sz w:val="32"/>
          <w:szCs w:val="32"/>
        </w:rPr>
        <w:t>证券公司应建立完善的操作风险管理信息系统或相关系统功能，记录与操作风险损失相关的数据和操作风险事件信息，支持操作风险评估、监测、报告等工作。</w:t>
      </w:r>
    </w:p>
    <w:p>
      <w:pPr>
        <w:pStyle w:val="11"/>
        <w:numPr>
          <w:ilvl w:val="0"/>
          <w:numId w:val="2"/>
        </w:numPr>
        <w:snapToGrid w:val="0"/>
        <w:spacing w:before="0" w:beforeAutospacing="0" w:after="0" w:afterAutospacing="0" w:line="360" w:lineRule="auto"/>
        <w:ind w:left="0" w:firstLine="707" w:firstLineChars="221"/>
        <w:jc w:val="both"/>
        <w:textAlignment w:val="baseline"/>
        <w:rPr>
          <w:rFonts w:ascii="仿宋" w:hAnsi="仿宋" w:eastAsia="仿宋" w:cs="仿宋"/>
          <w:bCs/>
          <w:sz w:val="32"/>
          <w:szCs w:val="32"/>
        </w:rPr>
      </w:pPr>
      <w:r>
        <w:rPr>
          <w:rFonts w:hint="eastAsia" w:ascii="仿宋" w:hAnsi="仿宋" w:eastAsia="仿宋" w:cs="仿宋"/>
          <w:bCs/>
          <w:sz w:val="32"/>
          <w:szCs w:val="32"/>
        </w:rPr>
        <w:t>证券公司应建立并逐步完善公司范围内有关操作风险的统一数据分类标准，分类标准可涵盖业务流程目录、操作风险事件类型、风险等级划分等方面。</w:t>
      </w:r>
    </w:p>
    <w:p>
      <w:pPr>
        <w:pStyle w:val="11"/>
        <w:snapToGrid w:val="0"/>
        <w:spacing w:before="0" w:beforeAutospacing="0" w:after="0" w:afterAutospacing="0" w:line="360" w:lineRule="auto"/>
        <w:ind w:firstLine="640" w:firstLineChars="200"/>
        <w:jc w:val="both"/>
        <w:textAlignment w:val="baseline"/>
        <w:rPr>
          <w:rFonts w:ascii="仿宋" w:hAnsi="仿宋" w:eastAsia="仿宋" w:cs="仿宋"/>
          <w:bCs/>
          <w:sz w:val="32"/>
          <w:szCs w:val="32"/>
        </w:rPr>
      </w:pPr>
      <w:r>
        <w:rPr>
          <w:rFonts w:hint="eastAsia" w:ascii="仿宋" w:hAnsi="仿宋" w:eastAsia="仿宋" w:cs="仿宋"/>
          <w:bCs/>
          <w:sz w:val="32"/>
          <w:szCs w:val="32"/>
        </w:rPr>
        <w:t>证券公司应建立健全数据治理和质量控制机制，为操作风险管理提供数据支撑。</w:t>
      </w:r>
    </w:p>
    <w:p>
      <w:pPr>
        <w:pStyle w:val="11"/>
        <w:numPr>
          <w:ilvl w:val="0"/>
          <w:numId w:val="2"/>
        </w:numPr>
        <w:snapToGrid w:val="0"/>
        <w:spacing w:before="0" w:beforeAutospacing="0" w:after="0" w:afterAutospacing="0" w:line="360" w:lineRule="auto"/>
        <w:ind w:left="0" w:firstLine="707" w:firstLineChars="221"/>
        <w:jc w:val="both"/>
        <w:textAlignment w:val="baseline"/>
        <w:rPr>
          <w:rFonts w:ascii="仿宋" w:hAnsi="仿宋" w:eastAsia="仿宋" w:cs="仿宋"/>
          <w:bCs/>
          <w:sz w:val="32"/>
          <w:szCs w:val="32"/>
        </w:rPr>
      </w:pPr>
      <w:r>
        <w:rPr>
          <w:rFonts w:hint="eastAsia" w:ascii="仿宋" w:hAnsi="仿宋" w:eastAsia="仿宋" w:cs="仿宋"/>
          <w:bCs/>
          <w:sz w:val="32"/>
          <w:szCs w:val="32"/>
        </w:rPr>
        <w:t>证券公司应将操作风险情景纳入压力测试体系并逐步完善，在开展压力测试时应考虑人员重大操作失误、信息系统重大故障、业务流程设计失效、外部事件造成重大损失等因素。证券公司应当根据压力测试结果反映的风险情况，及时采取适当的应对措施。</w:t>
      </w:r>
    </w:p>
    <w:p>
      <w:pPr>
        <w:pStyle w:val="11"/>
        <w:numPr>
          <w:ilvl w:val="0"/>
          <w:numId w:val="2"/>
        </w:numPr>
        <w:tabs>
          <w:tab w:val="left" w:pos="1050"/>
          <w:tab w:val="left" w:pos="1680"/>
        </w:tabs>
        <w:snapToGrid w:val="0"/>
        <w:spacing w:before="0" w:beforeAutospacing="0" w:after="0" w:afterAutospacing="0" w:line="360" w:lineRule="auto"/>
        <w:ind w:left="42" w:leftChars="20" w:firstLine="595" w:firstLineChars="186"/>
        <w:jc w:val="both"/>
        <w:textAlignment w:val="baseline"/>
        <w:rPr>
          <w:rFonts w:ascii="仿宋" w:hAnsi="仿宋" w:eastAsia="仿宋" w:cs="仿宋"/>
          <w:bCs/>
          <w:sz w:val="32"/>
          <w:szCs w:val="32"/>
        </w:rPr>
      </w:pPr>
      <w:r>
        <w:rPr>
          <w:rFonts w:hint="eastAsia" w:ascii="仿宋" w:hAnsi="仿宋" w:eastAsia="仿宋" w:cs="仿宋"/>
          <w:bCs/>
          <w:sz w:val="32"/>
          <w:szCs w:val="32"/>
        </w:rPr>
        <w:t>证券公司可建立操作风险计量模型，提升对操作风险的量化管理能力。</w:t>
      </w:r>
    </w:p>
    <w:p>
      <w:pPr>
        <w:pStyle w:val="2"/>
        <w:jc w:val="center"/>
        <w:rPr>
          <w:rFonts w:ascii="仿宋" w:hAnsi="仿宋" w:eastAsia="仿宋" w:cs="仿宋"/>
          <w:sz w:val="32"/>
          <w:szCs w:val="32"/>
        </w:rPr>
      </w:pPr>
      <w:r>
        <w:rPr>
          <w:rFonts w:hint="eastAsia" w:ascii="仿宋" w:hAnsi="仿宋" w:eastAsia="仿宋" w:cs="仿宋"/>
          <w:sz w:val="32"/>
          <w:szCs w:val="32"/>
        </w:rPr>
        <w:t>第六章 自律管理</w:t>
      </w:r>
    </w:p>
    <w:p>
      <w:pPr>
        <w:pStyle w:val="11"/>
        <w:numPr>
          <w:ilvl w:val="0"/>
          <w:numId w:val="2"/>
        </w:numPr>
        <w:snapToGrid w:val="0"/>
        <w:spacing w:before="0" w:beforeAutospacing="0" w:after="0" w:afterAutospacing="0" w:line="360" w:lineRule="auto"/>
        <w:ind w:left="0" w:firstLine="707" w:firstLineChars="221"/>
        <w:jc w:val="both"/>
        <w:textAlignment w:val="baseline"/>
        <w:rPr>
          <w:rFonts w:ascii="仿宋" w:hAnsi="仿宋" w:eastAsia="仿宋" w:cs="仿宋"/>
          <w:bCs/>
          <w:sz w:val="32"/>
          <w:szCs w:val="32"/>
        </w:rPr>
      </w:pPr>
      <w:r>
        <w:rPr>
          <w:rFonts w:ascii="仿宋" w:hAnsi="仿宋" w:eastAsia="仿宋" w:cs="仿宋"/>
          <w:bCs/>
          <w:sz w:val="32"/>
          <w:szCs w:val="32"/>
        </w:rPr>
        <w:t>证券公司应在重大操作风险事件发生当日，向</w:t>
      </w:r>
      <w:r>
        <w:rPr>
          <w:rFonts w:hint="eastAsia" w:ascii="仿宋" w:hAnsi="仿宋" w:eastAsia="仿宋" w:cs="仿宋"/>
          <w:bCs/>
          <w:sz w:val="32"/>
          <w:szCs w:val="32"/>
        </w:rPr>
        <w:t>中国证券业</w:t>
      </w:r>
      <w:r>
        <w:rPr>
          <w:rFonts w:ascii="仿宋" w:hAnsi="仿宋" w:eastAsia="仿宋" w:cs="仿宋"/>
          <w:bCs/>
          <w:sz w:val="32"/>
          <w:szCs w:val="32"/>
        </w:rPr>
        <w:t>协会</w:t>
      </w:r>
      <w:r>
        <w:rPr>
          <w:rFonts w:hint="eastAsia" w:ascii="仿宋" w:hAnsi="仿宋" w:eastAsia="仿宋" w:cs="仿宋"/>
          <w:bCs/>
          <w:sz w:val="32"/>
          <w:szCs w:val="32"/>
        </w:rPr>
        <w:t>（以下简称“协会”）</w:t>
      </w:r>
      <w:r>
        <w:rPr>
          <w:rFonts w:ascii="仿宋" w:hAnsi="仿宋" w:eastAsia="仿宋" w:cs="仿宋"/>
          <w:bCs/>
          <w:sz w:val="32"/>
          <w:szCs w:val="32"/>
        </w:rPr>
        <w:t>报告</w:t>
      </w:r>
      <w:r>
        <w:rPr>
          <w:rFonts w:hint="eastAsia" w:ascii="仿宋" w:hAnsi="仿宋" w:eastAsia="仿宋" w:cs="仿宋"/>
          <w:bCs/>
          <w:sz w:val="32"/>
          <w:szCs w:val="32"/>
        </w:rPr>
        <w:t>事件主要情况、影响和应对措施，并在十个工作日内向协会书面报告处理结果。证券公司对引发重大操作风险事件的人员进行内部问责的，相关问责信息应按照</w:t>
      </w:r>
      <w:r>
        <w:rPr>
          <w:rFonts w:hint="eastAsia" w:ascii="仿宋" w:hAnsi="仿宋" w:eastAsia="仿宋" w:cs="仿宋"/>
          <w:bCs/>
          <w:sz w:val="32"/>
          <w:szCs w:val="32"/>
          <w:lang w:eastAsia="zh-CN"/>
        </w:rPr>
        <w:t>《证券行业执业声誉信息管理办法》</w:t>
      </w:r>
      <w:r>
        <w:rPr>
          <w:rFonts w:hint="eastAsia" w:ascii="仿宋" w:hAnsi="仿宋" w:eastAsia="仿宋" w:cs="仿宋"/>
          <w:bCs/>
          <w:sz w:val="32"/>
          <w:szCs w:val="32"/>
        </w:rPr>
        <w:t>有关规定报送至协会。</w:t>
      </w:r>
      <w:bookmarkStart w:id="3" w:name="_GoBack"/>
      <w:bookmarkEnd w:id="3"/>
    </w:p>
    <w:p>
      <w:pPr>
        <w:pStyle w:val="11"/>
        <w:snapToGrid w:val="0"/>
        <w:spacing w:before="0" w:beforeAutospacing="0" w:after="0" w:afterAutospacing="0" w:line="360" w:lineRule="auto"/>
        <w:ind w:firstLine="640" w:firstLineChars="200"/>
        <w:jc w:val="both"/>
        <w:textAlignment w:val="baseline"/>
        <w:rPr>
          <w:rFonts w:ascii="仿宋" w:hAnsi="仿宋" w:eastAsia="仿宋" w:cs="仿宋"/>
          <w:bCs/>
          <w:sz w:val="32"/>
          <w:szCs w:val="32"/>
        </w:rPr>
      </w:pPr>
      <w:r>
        <w:rPr>
          <w:rFonts w:hint="eastAsia" w:ascii="仿宋" w:hAnsi="仿宋" w:eastAsia="仿宋" w:cs="仿宋"/>
          <w:bCs/>
          <w:sz w:val="32"/>
          <w:szCs w:val="32"/>
        </w:rPr>
        <w:t>重大操作风险事件包括但不限于：</w:t>
      </w:r>
    </w:p>
    <w:p>
      <w:pPr>
        <w:pStyle w:val="11"/>
        <w:numPr>
          <w:ilvl w:val="0"/>
          <w:numId w:val="11"/>
        </w:numPr>
        <w:tabs>
          <w:tab w:val="left" w:pos="1050"/>
          <w:tab w:val="left" w:pos="1680"/>
        </w:tabs>
        <w:snapToGrid w:val="0"/>
        <w:spacing w:before="0" w:beforeAutospacing="0" w:after="0" w:afterAutospacing="0" w:line="360" w:lineRule="auto"/>
        <w:ind w:firstLine="739" w:firstLineChars="231"/>
        <w:jc w:val="both"/>
        <w:textAlignment w:val="baseline"/>
        <w:rPr>
          <w:rFonts w:ascii="仿宋" w:hAnsi="仿宋" w:eastAsia="仿宋" w:cs="仿宋"/>
          <w:bCs/>
          <w:sz w:val="32"/>
          <w:szCs w:val="32"/>
        </w:rPr>
      </w:pPr>
      <w:r>
        <w:rPr>
          <w:rFonts w:hint="eastAsia" w:ascii="仿宋" w:hAnsi="仿宋" w:eastAsia="仿宋" w:cs="仿宋"/>
          <w:bCs/>
          <w:sz w:val="32"/>
          <w:szCs w:val="32"/>
        </w:rPr>
        <w:t>直接经济损失金额1000万元（含）以上或损失金额超过上年末本公司净资本千分之一（含）的操作风险事件；</w:t>
      </w:r>
    </w:p>
    <w:p>
      <w:pPr>
        <w:pStyle w:val="11"/>
        <w:numPr>
          <w:ilvl w:val="0"/>
          <w:numId w:val="11"/>
        </w:numPr>
        <w:tabs>
          <w:tab w:val="left" w:pos="1050"/>
          <w:tab w:val="left" w:pos="1680"/>
        </w:tabs>
        <w:snapToGrid w:val="0"/>
        <w:spacing w:before="0" w:beforeAutospacing="0" w:after="0" w:afterAutospacing="0" w:line="360" w:lineRule="auto"/>
        <w:ind w:firstLine="739" w:firstLineChars="231"/>
        <w:jc w:val="both"/>
        <w:textAlignment w:val="baseline"/>
        <w:rPr>
          <w:rFonts w:ascii="仿宋" w:hAnsi="仿宋" w:eastAsia="仿宋" w:cs="仿宋"/>
          <w:bCs/>
          <w:sz w:val="32"/>
          <w:szCs w:val="32"/>
        </w:rPr>
      </w:pPr>
      <w:r>
        <w:rPr>
          <w:rFonts w:hint="eastAsia" w:ascii="仿宋" w:hAnsi="仿宋" w:eastAsia="仿宋" w:cs="仿宋"/>
          <w:bCs/>
          <w:sz w:val="32"/>
          <w:szCs w:val="32"/>
        </w:rPr>
        <w:t>董事、监事、高级管理人员被采取监察调查措施、刑事强制措施或者承担刑事法律责任的事件，以及被证监会采取行政处罚、市场禁入措施或者被采取认定为不适当人选的行政监管措施；</w:t>
      </w:r>
    </w:p>
    <w:p>
      <w:pPr>
        <w:pStyle w:val="11"/>
        <w:numPr>
          <w:ilvl w:val="0"/>
          <w:numId w:val="11"/>
        </w:numPr>
        <w:tabs>
          <w:tab w:val="left" w:pos="1050"/>
          <w:tab w:val="left" w:pos="1680"/>
        </w:tabs>
        <w:snapToGrid w:val="0"/>
        <w:spacing w:before="0" w:beforeAutospacing="0" w:after="0" w:afterAutospacing="0" w:line="360" w:lineRule="auto"/>
        <w:ind w:firstLine="739" w:firstLineChars="231"/>
        <w:jc w:val="both"/>
        <w:textAlignment w:val="baseline"/>
        <w:rPr>
          <w:rFonts w:ascii="仿宋" w:hAnsi="仿宋" w:eastAsia="仿宋" w:cs="仿宋"/>
          <w:bCs/>
          <w:sz w:val="32"/>
          <w:szCs w:val="32"/>
        </w:rPr>
      </w:pPr>
      <w:r>
        <w:rPr>
          <w:rFonts w:hint="eastAsia" w:ascii="仿宋" w:hAnsi="仿宋" w:eastAsia="仿宋" w:cs="仿宋"/>
          <w:bCs/>
          <w:sz w:val="32"/>
          <w:szCs w:val="32"/>
        </w:rPr>
        <w:t>挪用客户资产、违规代客理财等严重损害客户合法权益的违法违规行为；</w:t>
      </w:r>
    </w:p>
    <w:p>
      <w:pPr>
        <w:pStyle w:val="11"/>
        <w:numPr>
          <w:ilvl w:val="0"/>
          <w:numId w:val="11"/>
        </w:numPr>
        <w:tabs>
          <w:tab w:val="left" w:pos="1050"/>
          <w:tab w:val="left" w:pos="1680"/>
        </w:tabs>
        <w:snapToGrid w:val="0"/>
        <w:spacing w:before="0" w:beforeAutospacing="0" w:after="0" w:afterAutospacing="0" w:line="360" w:lineRule="auto"/>
        <w:ind w:firstLine="739" w:firstLineChars="231"/>
        <w:jc w:val="both"/>
        <w:textAlignment w:val="baseline"/>
        <w:rPr>
          <w:rFonts w:ascii="仿宋" w:hAnsi="仿宋" w:eastAsia="仿宋" w:cs="仿宋"/>
          <w:bCs/>
          <w:sz w:val="32"/>
          <w:szCs w:val="32"/>
        </w:rPr>
      </w:pPr>
      <w:r>
        <w:rPr>
          <w:rFonts w:hint="eastAsia" w:ascii="仿宋" w:hAnsi="仿宋" w:eastAsia="仿宋" w:cs="仿宋"/>
          <w:bCs/>
          <w:sz w:val="32"/>
          <w:szCs w:val="32"/>
        </w:rPr>
        <w:t>其他对国家金融安全、市场秩序、客户合法权益造成重大影响的事件；</w:t>
      </w:r>
    </w:p>
    <w:p>
      <w:pPr>
        <w:pStyle w:val="11"/>
        <w:numPr>
          <w:ilvl w:val="0"/>
          <w:numId w:val="11"/>
        </w:numPr>
        <w:tabs>
          <w:tab w:val="left" w:pos="1050"/>
          <w:tab w:val="left" w:pos="1680"/>
        </w:tabs>
        <w:snapToGrid w:val="0"/>
        <w:spacing w:before="0" w:beforeAutospacing="0" w:after="0" w:afterAutospacing="0" w:line="360" w:lineRule="auto"/>
        <w:ind w:firstLine="739" w:firstLineChars="231"/>
        <w:jc w:val="both"/>
        <w:textAlignment w:val="baseline"/>
        <w:rPr>
          <w:rFonts w:ascii="仿宋" w:hAnsi="仿宋" w:eastAsia="仿宋" w:cs="仿宋"/>
          <w:bCs/>
          <w:sz w:val="32"/>
          <w:szCs w:val="32"/>
        </w:rPr>
      </w:pPr>
      <w:r>
        <w:rPr>
          <w:rFonts w:ascii="仿宋" w:hAnsi="仿宋" w:eastAsia="仿宋" w:cs="仿宋"/>
          <w:bCs/>
          <w:sz w:val="32"/>
          <w:szCs w:val="32"/>
        </w:rPr>
        <w:t>协会</w:t>
      </w:r>
      <w:r>
        <w:rPr>
          <w:rFonts w:hint="eastAsia" w:ascii="仿宋" w:hAnsi="仿宋" w:eastAsia="仿宋" w:cs="仿宋"/>
          <w:bCs/>
          <w:sz w:val="32"/>
          <w:szCs w:val="32"/>
        </w:rPr>
        <w:t>规定的其他需要报告的事项。</w:t>
      </w:r>
    </w:p>
    <w:p>
      <w:pPr>
        <w:pStyle w:val="11"/>
        <w:numPr>
          <w:ilvl w:val="0"/>
          <w:numId w:val="2"/>
        </w:numPr>
        <w:snapToGrid w:val="0"/>
        <w:spacing w:before="0" w:beforeAutospacing="0" w:after="0" w:afterAutospacing="0" w:line="360" w:lineRule="auto"/>
        <w:ind w:left="0" w:firstLine="707" w:firstLineChars="221"/>
        <w:jc w:val="both"/>
        <w:textAlignment w:val="baseline"/>
        <w:rPr>
          <w:rFonts w:ascii="仿宋" w:hAnsi="仿宋" w:eastAsia="仿宋" w:cs="仿宋"/>
          <w:bCs/>
          <w:sz w:val="32"/>
          <w:szCs w:val="32"/>
        </w:rPr>
      </w:pPr>
      <w:r>
        <w:rPr>
          <w:rFonts w:hint="eastAsia" w:ascii="仿宋" w:hAnsi="仿宋" w:eastAsia="仿宋" w:cs="仿宋"/>
          <w:bCs/>
          <w:sz w:val="32"/>
          <w:szCs w:val="32"/>
        </w:rPr>
        <w:t>协会对证券公司操作风险管理工作实施自律管理，对操作风险管理落实执行情况进行评估和检查，证券公司应予以配合，如实提供有关资料。</w:t>
      </w:r>
    </w:p>
    <w:p>
      <w:pPr>
        <w:pStyle w:val="11"/>
        <w:numPr>
          <w:ilvl w:val="0"/>
          <w:numId w:val="2"/>
        </w:numPr>
        <w:snapToGrid w:val="0"/>
        <w:spacing w:line="360" w:lineRule="auto"/>
        <w:ind w:left="0" w:firstLine="707" w:firstLineChars="221"/>
        <w:jc w:val="both"/>
        <w:textAlignment w:val="baseline"/>
        <w:rPr>
          <w:rFonts w:ascii="仿宋" w:hAnsi="仿宋" w:eastAsia="仿宋" w:cs="仿宋"/>
          <w:bCs/>
          <w:sz w:val="32"/>
          <w:szCs w:val="32"/>
        </w:rPr>
      </w:pPr>
      <w:r>
        <w:rPr>
          <w:rFonts w:hint="eastAsia" w:ascii="仿宋" w:hAnsi="仿宋" w:eastAsia="仿宋" w:cs="仿宋"/>
          <w:bCs/>
          <w:sz w:val="32"/>
          <w:szCs w:val="32"/>
        </w:rPr>
        <w:t>证券公司违反本指引的，协会依据《中国证券业协会自律措施实施办法》对公司及责任人采取自律管理措施或纪律处分。  </w:t>
      </w:r>
    </w:p>
    <w:p>
      <w:pPr>
        <w:tabs>
          <w:tab w:val="left" w:pos="2843"/>
        </w:tabs>
        <w:rPr>
          <w:rFonts w:ascii="仿宋" w:hAnsi="仿宋" w:eastAsia="仿宋" w:cs="仿宋"/>
          <w:b/>
          <w:bCs/>
          <w:kern w:val="44"/>
          <w:sz w:val="32"/>
          <w:szCs w:val="32"/>
        </w:rPr>
      </w:pPr>
      <w:r>
        <w:rPr>
          <w:rFonts w:hint="eastAsia"/>
        </w:rPr>
        <w:tab/>
      </w:r>
      <w:r>
        <w:rPr>
          <w:rFonts w:hint="eastAsia" w:ascii="仿宋" w:hAnsi="仿宋" w:eastAsia="仿宋" w:cs="仿宋"/>
          <w:b/>
          <w:bCs/>
          <w:kern w:val="44"/>
          <w:sz w:val="32"/>
          <w:szCs w:val="32"/>
        </w:rPr>
        <w:t>第七章 附则</w:t>
      </w:r>
    </w:p>
    <w:p>
      <w:pPr>
        <w:pStyle w:val="11"/>
        <w:numPr>
          <w:ilvl w:val="0"/>
          <w:numId w:val="2"/>
        </w:numPr>
        <w:snapToGrid w:val="0"/>
        <w:spacing w:line="360" w:lineRule="auto"/>
        <w:ind w:left="0" w:firstLine="707" w:firstLineChars="221"/>
        <w:jc w:val="both"/>
        <w:textAlignment w:val="baseline"/>
        <w:rPr>
          <w:rFonts w:ascii="仿宋" w:hAnsi="仿宋" w:eastAsia="仿宋" w:cs="仿宋"/>
          <w:bCs/>
          <w:sz w:val="32"/>
          <w:szCs w:val="32"/>
        </w:rPr>
      </w:pPr>
      <w:r>
        <w:rPr>
          <w:rFonts w:hint="eastAsia" w:ascii="仿宋" w:hAnsi="仿宋" w:eastAsia="仿宋" w:cs="仿宋"/>
          <w:bCs/>
          <w:sz w:val="32"/>
          <w:szCs w:val="32"/>
        </w:rPr>
        <w:t>本指引未尽事宜依照法律、法规、规章及其他相关业务规则执行。</w:t>
      </w:r>
    </w:p>
    <w:p>
      <w:pPr>
        <w:pStyle w:val="11"/>
        <w:numPr>
          <w:ilvl w:val="0"/>
          <w:numId w:val="2"/>
        </w:numPr>
        <w:snapToGrid w:val="0"/>
        <w:spacing w:line="360" w:lineRule="auto"/>
        <w:ind w:left="0" w:firstLine="707" w:firstLineChars="221"/>
        <w:jc w:val="both"/>
        <w:textAlignment w:val="baseline"/>
        <w:rPr>
          <w:rFonts w:ascii="仿宋" w:hAnsi="仿宋" w:eastAsia="仿宋" w:cs="仿宋"/>
          <w:bCs/>
          <w:sz w:val="32"/>
          <w:szCs w:val="32"/>
        </w:rPr>
      </w:pPr>
      <w:r>
        <w:rPr>
          <w:rFonts w:hint="eastAsia" w:ascii="仿宋" w:hAnsi="仿宋" w:eastAsia="仿宋" w:cs="仿宋"/>
          <w:bCs/>
          <w:sz w:val="32"/>
          <w:szCs w:val="32"/>
        </w:rPr>
        <w:t>本指引所称人员是指与公司建立劳动关系的公司人员、与公司签署委托协议的经纪人、劳务派遣至公司的客服人员等。</w:t>
      </w:r>
    </w:p>
    <w:p>
      <w:pPr>
        <w:pStyle w:val="11"/>
        <w:numPr>
          <w:ilvl w:val="0"/>
          <w:numId w:val="2"/>
        </w:numPr>
        <w:snapToGrid w:val="0"/>
        <w:spacing w:line="360" w:lineRule="auto"/>
        <w:ind w:left="0" w:firstLine="707" w:firstLineChars="221"/>
        <w:jc w:val="both"/>
        <w:textAlignment w:val="baseline"/>
        <w:rPr>
          <w:rFonts w:ascii="仿宋" w:hAnsi="仿宋" w:eastAsia="仿宋" w:cs="仿宋"/>
          <w:bCs/>
          <w:sz w:val="32"/>
          <w:szCs w:val="32"/>
        </w:rPr>
      </w:pPr>
      <w:r>
        <w:rPr>
          <w:rFonts w:hint="eastAsia" w:ascii="仿宋" w:hAnsi="仿宋" w:eastAsia="仿宋" w:cs="仿宋"/>
          <w:bCs/>
          <w:sz w:val="32"/>
          <w:szCs w:val="32"/>
        </w:rPr>
        <w:t>本指引由协会负责解释，自发布之日起施行。</w:t>
      </w:r>
    </w:p>
    <w:p>
      <w:pPr>
        <w:rPr>
          <w:rFonts w:ascii="仿宋" w:hAnsi="仿宋" w:eastAsia="仿宋" w:cs="仿宋"/>
          <w:bCs/>
          <w:sz w:val="32"/>
          <w:szCs w:val="32"/>
        </w:rPr>
      </w:pP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仿宋">
    <w:panose1 w:val="02010609060101010101"/>
    <w:charset w:val="86"/>
    <w:family w:val="modern"/>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Nimbus Roman No9 L">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方正宋体S-超大字符集">
    <w:panose1 w:val="02000000000000000000"/>
    <w:charset w:val="86"/>
    <w:family w:val="auto"/>
    <w:pitch w:val="default"/>
    <w:sig w:usb0="00000001" w:usb1="08000000" w:usb2="00000000" w:usb3="00000000" w:csb0="00040000" w:csb1="00000000"/>
  </w:font>
  <w:font w:name="Arial">
    <w:altName w:val="Nimbus Roman No9 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right"/>
      <w:rPr>
        <w:rFonts w:ascii="Times New Roman" w:hAnsi="Times New Roman"/>
        <w:sz w:val="28"/>
        <w:szCs w:val="28"/>
      </w:rPr>
    </w:pPr>
    <w:r>
      <w:rPr>
        <w:rFonts w:ascii="Times New Roman" w:hAnsi="Times New Roman"/>
        <w:sz w:val="28"/>
        <w:szCs w:val="28"/>
      </w:rPr>
      <w:fldChar w:fldCharType="begin"/>
    </w:r>
    <w:r>
      <w:rPr>
        <w:rFonts w:ascii="Times New Roman" w:hAnsi="Times New Roman"/>
        <w:sz w:val="28"/>
        <w:szCs w:val="28"/>
      </w:rPr>
      <w:instrText xml:space="preserve">PAGE   \* MERGEFORMAT</w:instrText>
    </w:r>
    <w:r>
      <w:rPr>
        <w:rFonts w:ascii="Times New Roman" w:hAnsi="Times New Roman"/>
        <w:sz w:val="28"/>
        <w:szCs w:val="28"/>
      </w:rPr>
      <w:fldChar w:fldCharType="separate"/>
    </w:r>
    <w:r>
      <w:rPr>
        <w:rFonts w:ascii="Times New Roman" w:hAnsi="Times New Roman"/>
        <w:sz w:val="28"/>
        <w:szCs w:val="28"/>
        <w:lang w:val="zh-CN"/>
      </w:rPr>
      <w:t>10</w:t>
    </w:r>
    <w:r>
      <w:rPr>
        <w:rFonts w:ascii="Times New Roman" w:hAnsi="Times New Roman"/>
        <w:sz w:val="28"/>
        <w:szCs w:val="28"/>
      </w:rPr>
      <w:fldChar w:fldCharType="end"/>
    </w:r>
  </w:p>
  <w:p>
    <w:pPr>
      <w:pStyle w:val="8"/>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AC8606"/>
    <w:multiLevelType w:val="singleLevel"/>
    <w:tmpl w:val="97AC8606"/>
    <w:lvl w:ilvl="0" w:tentative="0">
      <w:start w:val="1"/>
      <w:numFmt w:val="chineseCounting"/>
      <w:suff w:val="nothing"/>
      <w:lvlText w:val="（%1）"/>
      <w:lvlJc w:val="left"/>
      <w:rPr>
        <w:rFonts w:hint="eastAsia"/>
      </w:rPr>
    </w:lvl>
  </w:abstractNum>
  <w:abstractNum w:abstractNumId="1">
    <w:nsid w:val="97BE3576"/>
    <w:multiLevelType w:val="singleLevel"/>
    <w:tmpl w:val="97BE3576"/>
    <w:lvl w:ilvl="0" w:tentative="0">
      <w:start w:val="1"/>
      <w:numFmt w:val="chineseCounting"/>
      <w:suff w:val="nothing"/>
      <w:lvlText w:val="（%1）"/>
      <w:lvlJc w:val="left"/>
      <w:rPr>
        <w:rFonts w:hint="eastAsia"/>
      </w:rPr>
    </w:lvl>
  </w:abstractNum>
  <w:abstractNum w:abstractNumId="2">
    <w:nsid w:val="B8F632F2"/>
    <w:multiLevelType w:val="singleLevel"/>
    <w:tmpl w:val="B8F632F2"/>
    <w:lvl w:ilvl="0" w:tentative="0">
      <w:start w:val="1"/>
      <w:numFmt w:val="chineseCounting"/>
      <w:suff w:val="space"/>
      <w:lvlText w:val="（%1）"/>
      <w:lvlJc w:val="left"/>
      <w:rPr>
        <w:rFonts w:hint="eastAsia" w:ascii="仿宋" w:hAnsi="仿宋" w:eastAsia="仿宋" w:cs="仿宋"/>
        <w:sz w:val="32"/>
        <w:szCs w:val="32"/>
      </w:rPr>
    </w:lvl>
  </w:abstractNum>
  <w:abstractNum w:abstractNumId="3">
    <w:nsid w:val="2617A9D3"/>
    <w:multiLevelType w:val="singleLevel"/>
    <w:tmpl w:val="2617A9D3"/>
    <w:lvl w:ilvl="0" w:tentative="0">
      <w:start w:val="1"/>
      <w:numFmt w:val="chineseCounting"/>
      <w:suff w:val="nothing"/>
      <w:lvlText w:val="（%1）"/>
      <w:lvlJc w:val="left"/>
      <w:rPr>
        <w:rFonts w:hint="eastAsia"/>
      </w:rPr>
    </w:lvl>
  </w:abstractNum>
  <w:abstractNum w:abstractNumId="4">
    <w:nsid w:val="29CB0437"/>
    <w:multiLevelType w:val="singleLevel"/>
    <w:tmpl w:val="29CB0437"/>
    <w:lvl w:ilvl="0" w:tentative="0">
      <w:start w:val="1"/>
      <w:numFmt w:val="chineseCounting"/>
      <w:suff w:val="space"/>
      <w:lvlText w:val="（%1）"/>
      <w:lvlJc w:val="left"/>
      <w:rPr>
        <w:rFonts w:hint="eastAsia" w:ascii="仿宋" w:hAnsi="仿宋" w:eastAsia="仿宋" w:cs="仿宋"/>
        <w:sz w:val="32"/>
        <w:szCs w:val="32"/>
      </w:rPr>
    </w:lvl>
  </w:abstractNum>
  <w:abstractNum w:abstractNumId="5">
    <w:nsid w:val="2A110FA9"/>
    <w:multiLevelType w:val="singleLevel"/>
    <w:tmpl w:val="2A110FA9"/>
    <w:lvl w:ilvl="0" w:tentative="0">
      <w:start w:val="1"/>
      <w:numFmt w:val="chineseCounting"/>
      <w:suff w:val="nothing"/>
      <w:lvlText w:val="（%1）"/>
      <w:lvlJc w:val="left"/>
      <w:rPr>
        <w:rFonts w:hint="eastAsia"/>
      </w:rPr>
    </w:lvl>
  </w:abstractNum>
  <w:abstractNum w:abstractNumId="6">
    <w:nsid w:val="2A874B1D"/>
    <w:multiLevelType w:val="singleLevel"/>
    <w:tmpl w:val="2A874B1D"/>
    <w:lvl w:ilvl="0" w:tentative="0">
      <w:start w:val="1"/>
      <w:numFmt w:val="chineseCounting"/>
      <w:suff w:val="nothing"/>
      <w:lvlText w:val="（%1）"/>
      <w:lvlJc w:val="left"/>
      <w:rPr>
        <w:rFonts w:hint="eastAsia"/>
      </w:rPr>
    </w:lvl>
  </w:abstractNum>
  <w:abstractNum w:abstractNumId="7">
    <w:nsid w:val="2D4B57D3"/>
    <w:multiLevelType w:val="multilevel"/>
    <w:tmpl w:val="2D4B57D3"/>
    <w:lvl w:ilvl="0" w:tentative="0">
      <w:start w:val="1"/>
      <w:numFmt w:val="japaneseCounting"/>
      <w:lvlText w:val="第%1条"/>
      <w:lvlJc w:val="left"/>
      <w:pPr>
        <w:ind w:left="885" w:hanging="885"/>
      </w:pPr>
      <w:rPr>
        <w:rFonts w:hint="eastAsia" w:ascii="仿宋" w:hAnsi="仿宋" w:eastAsia="仿宋"/>
        <w:b/>
        <w:color w:val="auto"/>
        <w:sz w:val="32"/>
        <w:szCs w:val="32"/>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3DD79F6C"/>
    <w:multiLevelType w:val="singleLevel"/>
    <w:tmpl w:val="3DD79F6C"/>
    <w:lvl w:ilvl="0" w:tentative="0">
      <w:start w:val="1"/>
      <w:numFmt w:val="chineseCounting"/>
      <w:suff w:val="nothing"/>
      <w:lvlText w:val="（%1）"/>
      <w:lvlJc w:val="left"/>
      <w:rPr>
        <w:rFonts w:hint="eastAsia"/>
      </w:rPr>
    </w:lvl>
  </w:abstractNum>
  <w:abstractNum w:abstractNumId="9">
    <w:nsid w:val="53E41FF1"/>
    <w:multiLevelType w:val="multilevel"/>
    <w:tmpl w:val="53E41FF1"/>
    <w:lvl w:ilvl="0" w:tentative="0">
      <w:start w:val="1"/>
      <w:numFmt w:val="japaneseCounting"/>
      <w:lvlText w:val="第%1章"/>
      <w:lvlJc w:val="left"/>
      <w:pPr>
        <w:ind w:left="1120" w:hanging="11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5BC96FC0"/>
    <w:multiLevelType w:val="singleLevel"/>
    <w:tmpl w:val="5BC96FC0"/>
    <w:lvl w:ilvl="0" w:tentative="0">
      <w:start w:val="1"/>
      <w:numFmt w:val="chineseCounting"/>
      <w:suff w:val="nothing"/>
      <w:lvlText w:val="（%1）"/>
      <w:lvlJc w:val="left"/>
      <w:pPr>
        <w:ind w:left="-10"/>
      </w:pPr>
      <w:rPr>
        <w:rFonts w:hint="eastAsia"/>
      </w:rPr>
    </w:lvl>
  </w:abstractNum>
  <w:num w:numId="1">
    <w:abstractNumId w:val="9"/>
  </w:num>
  <w:num w:numId="2">
    <w:abstractNumId w:val="7"/>
  </w:num>
  <w:num w:numId="3">
    <w:abstractNumId w:val="0"/>
  </w:num>
  <w:num w:numId="4">
    <w:abstractNumId w:val="10"/>
  </w:num>
  <w:num w:numId="5">
    <w:abstractNumId w:val="6"/>
  </w:num>
  <w:num w:numId="6">
    <w:abstractNumId w:val="3"/>
  </w:num>
  <w:num w:numId="7">
    <w:abstractNumId w:val="8"/>
  </w:num>
  <w:num w:numId="8">
    <w:abstractNumId w:val="2"/>
  </w:num>
  <w:num w:numId="9">
    <w:abstractNumId w:val="4"/>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true"/>
  <w:documentProtection w:edit="trackedChanges" w:formatting="1" w:enforcement="0"/>
  <w:defaultTabStop w:val="420"/>
  <w:drawingGridVerticalSpacing w:val="156"/>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MDg5YTliZjI4ZjZmYTU4ZWYxMmMwZGNjMGY0OWNkZmUifQ=="/>
  </w:docVars>
  <w:rsids>
    <w:rsidRoot w:val="00C13FC9"/>
    <w:rsid w:val="00000019"/>
    <w:rsid w:val="00314A10"/>
    <w:rsid w:val="003233E2"/>
    <w:rsid w:val="003618BE"/>
    <w:rsid w:val="003B695F"/>
    <w:rsid w:val="004B6ED6"/>
    <w:rsid w:val="00567823"/>
    <w:rsid w:val="00716510"/>
    <w:rsid w:val="00786A75"/>
    <w:rsid w:val="00943A43"/>
    <w:rsid w:val="00985AAF"/>
    <w:rsid w:val="00A05150"/>
    <w:rsid w:val="00A31E9E"/>
    <w:rsid w:val="00B0329A"/>
    <w:rsid w:val="00B60DC0"/>
    <w:rsid w:val="00BA12E6"/>
    <w:rsid w:val="00BF256A"/>
    <w:rsid w:val="00C13FC9"/>
    <w:rsid w:val="00C57FEC"/>
    <w:rsid w:val="00D87C71"/>
    <w:rsid w:val="00F03B41"/>
    <w:rsid w:val="00FA38CE"/>
    <w:rsid w:val="04842AA6"/>
    <w:rsid w:val="07254F6C"/>
    <w:rsid w:val="078D7EC3"/>
    <w:rsid w:val="07F75170"/>
    <w:rsid w:val="07FA437F"/>
    <w:rsid w:val="0D7E5D43"/>
    <w:rsid w:val="107B5820"/>
    <w:rsid w:val="134B5AB7"/>
    <w:rsid w:val="154F1789"/>
    <w:rsid w:val="174817BF"/>
    <w:rsid w:val="185C3885"/>
    <w:rsid w:val="1F652E3D"/>
    <w:rsid w:val="1FDA10CB"/>
    <w:rsid w:val="1FDB5196"/>
    <w:rsid w:val="1FF2724C"/>
    <w:rsid w:val="21AF101E"/>
    <w:rsid w:val="238002CA"/>
    <w:rsid w:val="23B7EC25"/>
    <w:rsid w:val="24233357"/>
    <w:rsid w:val="284A1528"/>
    <w:rsid w:val="2A2A61BA"/>
    <w:rsid w:val="2C585676"/>
    <w:rsid w:val="2EE4E1E9"/>
    <w:rsid w:val="2EFB6FAA"/>
    <w:rsid w:val="2FC00CAD"/>
    <w:rsid w:val="30B8300C"/>
    <w:rsid w:val="30C91E49"/>
    <w:rsid w:val="326844C0"/>
    <w:rsid w:val="35102F74"/>
    <w:rsid w:val="39BFC3BD"/>
    <w:rsid w:val="3CFE32AD"/>
    <w:rsid w:val="3DAC503D"/>
    <w:rsid w:val="3EBF6FAD"/>
    <w:rsid w:val="3EFDDEB5"/>
    <w:rsid w:val="3F79A4CC"/>
    <w:rsid w:val="3FB72AE5"/>
    <w:rsid w:val="3FCD4CB7"/>
    <w:rsid w:val="3FE7C020"/>
    <w:rsid w:val="400F22A9"/>
    <w:rsid w:val="40524017"/>
    <w:rsid w:val="45D81E35"/>
    <w:rsid w:val="47B0742C"/>
    <w:rsid w:val="47E6B5AE"/>
    <w:rsid w:val="49ED225A"/>
    <w:rsid w:val="4FFB0EFB"/>
    <w:rsid w:val="4FFF7B18"/>
    <w:rsid w:val="56DFB87C"/>
    <w:rsid w:val="572D3B16"/>
    <w:rsid w:val="57420238"/>
    <w:rsid w:val="59EC10DD"/>
    <w:rsid w:val="5B9104C7"/>
    <w:rsid w:val="5BDB67AE"/>
    <w:rsid w:val="5DABF65B"/>
    <w:rsid w:val="5EEF5C38"/>
    <w:rsid w:val="5F3EC5AD"/>
    <w:rsid w:val="5FBF51F9"/>
    <w:rsid w:val="5FDF72C3"/>
    <w:rsid w:val="5FEFAED9"/>
    <w:rsid w:val="5FF01B5E"/>
    <w:rsid w:val="62194B7D"/>
    <w:rsid w:val="6B5DB271"/>
    <w:rsid w:val="6C501D6F"/>
    <w:rsid w:val="6DC51D1A"/>
    <w:rsid w:val="6E731A48"/>
    <w:rsid w:val="6F3FA4A2"/>
    <w:rsid w:val="6F520BDF"/>
    <w:rsid w:val="6FD76CEB"/>
    <w:rsid w:val="6FF70113"/>
    <w:rsid w:val="73FD7457"/>
    <w:rsid w:val="763F0025"/>
    <w:rsid w:val="77BD4604"/>
    <w:rsid w:val="77DF85B9"/>
    <w:rsid w:val="77FFAB5D"/>
    <w:rsid w:val="79D708BE"/>
    <w:rsid w:val="7A6D730D"/>
    <w:rsid w:val="7B9F5A34"/>
    <w:rsid w:val="7B9FFAAA"/>
    <w:rsid w:val="7D5336C3"/>
    <w:rsid w:val="7D78F4F1"/>
    <w:rsid w:val="7E372D8F"/>
    <w:rsid w:val="7E6FCD7D"/>
    <w:rsid w:val="7EA9AB34"/>
    <w:rsid w:val="7EFD8DAA"/>
    <w:rsid w:val="7F7FA462"/>
    <w:rsid w:val="7FE79E32"/>
    <w:rsid w:val="87DB3C79"/>
    <w:rsid w:val="8FFF7DCD"/>
    <w:rsid w:val="99FD45EF"/>
    <w:rsid w:val="9EF903CF"/>
    <w:rsid w:val="9FBC3A09"/>
    <w:rsid w:val="9FE79198"/>
    <w:rsid w:val="A9FF6D2D"/>
    <w:rsid w:val="ADD7771E"/>
    <w:rsid w:val="AFE5556C"/>
    <w:rsid w:val="AFF4481C"/>
    <w:rsid w:val="B5B20EB1"/>
    <w:rsid w:val="B6FB06AC"/>
    <w:rsid w:val="B7B6FF69"/>
    <w:rsid w:val="B7FFEB95"/>
    <w:rsid w:val="BCAF04BA"/>
    <w:rsid w:val="BCF56E24"/>
    <w:rsid w:val="BEF92678"/>
    <w:rsid w:val="BFF72E50"/>
    <w:rsid w:val="CBFD0EE8"/>
    <w:rsid w:val="CFFDB5B3"/>
    <w:rsid w:val="D6984E8F"/>
    <w:rsid w:val="D7C950B6"/>
    <w:rsid w:val="DBD1700C"/>
    <w:rsid w:val="DBEFF590"/>
    <w:rsid w:val="DFE8E939"/>
    <w:rsid w:val="E0DE35FE"/>
    <w:rsid w:val="EBFDD57E"/>
    <w:rsid w:val="EBFE0FD9"/>
    <w:rsid w:val="EDDE4358"/>
    <w:rsid w:val="EEBE67CB"/>
    <w:rsid w:val="EF7F98AC"/>
    <w:rsid w:val="EFEB244F"/>
    <w:rsid w:val="F43FD241"/>
    <w:rsid w:val="F5D9E138"/>
    <w:rsid w:val="F6EE27B8"/>
    <w:rsid w:val="F73BD5BE"/>
    <w:rsid w:val="F7BF39FC"/>
    <w:rsid w:val="F7E1EDD6"/>
    <w:rsid w:val="F7FBE1AD"/>
    <w:rsid w:val="F7FD92AB"/>
    <w:rsid w:val="F8AC86CC"/>
    <w:rsid w:val="FADFFE51"/>
    <w:rsid w:val="FBDB79E1"/>
    <w:rsid w:val="FBF3C492"/>
    <w:rsid w:val="FDEF5335"/>
    <w:rsid w:val="FEFCB201"/>
    <w:rsid w:val="FF5E8F82"/>
    <w:rsid w:val="FF73A86D"/>
    <w:rsid w:val="FF7CC8CA"/>
    <w:rsid w:val="FF7E0D9F"/>
    <w:rsid w:val="FF7F2E41"/>
    <w:rsid w:val="FFB34438"/>
    <w:rsid w:val="FFB5F87A"/>
    <w:rsid w:val="FFDC5133"/>
    <w:rsid w:val="FFDE2BA8"/>
    <w:rsid w:val="FFFA05D9"/>
    <w:rsid w:val="FFFF1FF1"/>
    <w:rsid w:val="FFFF48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qFormat="1" w:uiPriority="99" w:semiHidden="0"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0"/>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spacing w:beforeAutospacing="1" w:afterAutospacing="1"/>
      <w:jc w:val="left"/>
      <w:outlineLvl w:val="1"/>
    </w:pPr>
    <w:rPr>
      <w:rFonts w:hint="eastAsia" w:ascii="宋体" w:hAnsi="宋体"/>
      <w:b/>
      <w:kern w:val="0"/>
      <w:sz w:val="36"/>
      <w:szCs w:val="36"/>
    </w:rPr>
  </w:style>
  <w:style w:type="paragraph" w:styleId="4">
    <w:name w:val="heading 3"/>
    <w:basedOn w:val="1"/>
    <w:next w:val="1"/>
    <w:unhideWhenUsed/>
    <w:qFormat/>
    <w:uiPriority w:val="9"/>
    <w:pPr>
      <w:spacing w:beforeAutospacing="1" w:afterAutospacing="1"/>
      <w:jc w:val="left"/>
      <w:outlineLvl w:val="2"/>
    </w:pPr>
    <w:rPr>
      <w:rFonts w:hint="eastAsia" w:ascii="宋体" w:hAnsi="宋体"/>
      <w:b/>
      <w:kern w:val="0"/>
      <w:sz w:val="27"/>
      <w:szCs w:val="27"/>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1"/>
    <w:unhideWhenUsed/>
    <w:qFormat/>
    <w:uiPriority w:val="99"/>
    <w:pPr>
      <w:jc w:val="left"/>
    </w:pPr>
  </w:style>
  <w:style w:type="paragraph" w:styleId="6">
    <w:name w:val="Body Text"/>
    <w:basedOn w:val="1"/>
    <w:qFormat/>
    <w:uiPriority w:val="1"/>
    <w:pPr>
      <w:ind w:left="247" w:firstLine="640"/>
    </w:pPr>
    <w:rPr>
      <w:sz w:val="32"/>
      <w:szCs w:val="32"/>
    </w:rPr>
  </w:style>
  <w:style w:type="paragraph" w:styleId="7">
    <w:name w:val="Balloon Text"/>
    <w:basedOn w:val="1"/>
    <w:link w:val="22"/>
    <w:unhideWhenUsed/>
    <w:qFormat/>
    <w:uiPriority w:val="99"/>
    <w:rPr>
      <w:sz w:val="18"/>
      <w:szCs w:val="18"/>
    </w:rPr>
  </w:style>
  <w:style w:type="paragraph" w:styleId="8">
    <w:name w:val="footer"/>
    <w:basedOn w:val="1"/>
    <w:link w:val="23"/>
    <w:unhideWhenUsed/>
    <w:qFormat/>
    <w:uiPriority w:val="99"/>
    <w:pPr>
      <w:tabs>
        <w:tab w:val="center" w:pos="4153"/>
        <w:tab w:val="right" w:pos="8306"/>
      </w:tabs>
      <w:snapToGrid w:val="0"/>
      <w:jc w:val="left"/>
    </w:pPr>
    <w:rPr>
      <w:sz w:val="18"/>
      <w:szCs w:val="18"/>
    </w:rPr>
  </w:style>
  <w:style w:type="paragraph" w:styleId="9">
    <w:name w:val="header"/>
    <w:basedOn w:val="1"/>
    <w:link w:val="24"/>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HTML Preformatted"/>
    <w:basedOn w:val="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szCs w:val="24"/>
    </w:rPr>
  </w:style>
  <w:style w:type="paragraph" w:styleId="11">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paragraph" w:styleId="12">
    <w:name w:val="annotation subject"/>
    <w:basedOn w:val="5"/>
    <w:next w:val="5"/>
    <w:link w:val="25"/>
    <w:unhideWhenUsed/>
    <w:qFormat/>
    <w:uiPriority w:val="99"/>
    <w:rPr>
      <w:b/>
      <w:bCs/>
    </w:rPr>
  </w:style>
  <w:style w:type="table" w:styleId="14">
    <w:name w:val="Table Grid"/>
    <w:basedOn w:val="1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6">
    <w:name w:val="Strong"/>
    <w:basedOn w:val="15"/>
    <w:qFormat/>
    <w:uiPriority w:val="22"/>
    <w:rPr>
      <w:b/>
      <w:bCs/>
    </w:rPr>
  </w:style>
  <w:style w:type="character" w:styleId="17">
    <w:name w:val="Hyperlink"/>
    <w:basedOn w:val="15"/>
    <w:unhideWhenUsed/>
    <w:qFormat/>
    <w:uiPriority w:val="99"/>
    <w:rPr>
      <w:color w:val="0563C1"/>
      <w:u w:val="single"/>
    </w:rPr>
  </w:style>
  <w:style w:type="character" w:styleId="18">
    <w:name w:val="annotation reference"/>
    <w:basedOn w:val="15"/>
    <w:unhideWhenUsed/>
    <w:qFormat/>
    <w:uiPriority w:val="99"/>
    <w:rPr>
      <w:sz w:val="21"/>
      <w:szCs w:val="21"/>
    </w:rPr>
  </w:style>
  <w:style w:type="character" w:styleId="19">
    <w:name w:val="HTML Cite"/>
    <w:basedOn w:val="15"/>
    <w:unhideWhenUsed/>
    <w:qFormat/>
    <w:uiPriority w:val="99"/>
    <w:rPr>
      <w:i/>
    </w:rPr>
  </w:style>
  <w:style w:type="character" w:customStyle="1" w:styleId="20">
    <w:name w:val="标题 1 Char"/>
    <w:basedOn w:val="15"/>
    <w:link w:val="2"/>
    <w:qFormat/>
    <w:uiPriority w:val="9"/>
    <w:rPr>
      <w:b/>
      <w:bCs/>
      <w:kern w:val="44"/>
      <w:sz w:val="44"/>
      <w:szCs w:val="44"/>
    </w:rPr>
  </w:style>
  <w:style w:type="character" w:customStyle="1" w:styleId="21">
    <w:name w:val="批注文字 Char"/>
    <w:basedOn w:val="15"/>
    <w:link w:val="5"/>
    <w:qFormat/>
    <w:uiPriority w:val="99"/>
  </w:style>
  <w:style w:type="character" w:customStyle="1" w:styleId="22">
    <w:name w:val="批注框文本 Char"/>
    <w:basedOn w:val="15"/>
    <w:link w:val="7"/>
    <w:semiHidden/>
    <w:qFormat/>
    <w:uiPriority w:val="99"/>
    <w:rPr>
      <w:sz w:val="18"/>
      <w:szCs w:val="18"/>
    </w:rPr>
  </w:style>
  <w:style w:type="character" w:customStyle="1" w:styleId="23">
    <w:name w:val="页脚 Char"/>
    <w:basedOn w:val="15"/>
    <w:link w:val="8"/>
    <w:qFormat/>
    <w:uiPriority w:val="99"/>
    <w:rPr>
      <w:sz w:val="18"/>
      <w:szCs w:val="18"/>
    </w:rPr>
  </w:style>
  <w:style w:type="character" w:customStyle="1" w:styleId="24">
    <w:name w:val="页眉 Char"/>
    <w:basedOn w:val="15"/>
    <w:link w:val="9"/>
    <w:qFormat/>
    <w:uiPriority w:val="99"/>
    <w:rPr>
      <w:sz w:val="18"/>
      <w:szCs w:val="18"/>
    </w:rPr>
  </w:style>
  <w:style w:type="character" w:customStyle="1" w:styleId="25">
    <w:name w:val="批注主题 Char"/>
    <w:basedOn w:val="21"/>
    <w:link w:val="12"/>
    <w:semiHidden/>
    <w:qFormat/>
    <w:uiPriority w:val="99"/>
    <w:rPr>
      <w:b/>
      <w:bCs/>
    </w:rPr>
  </w:style>
  <w:style w:type="paragraph" w:customStyle="1" w:styleId="26">
    <w:name w:val="列出段落1"/>
    <w:basedOn w:val="1"/>
    <w:qFormat/>
    <w:uiPriority w:val="34"/>
    <w:pPr>
      <w:ind w:firstLine="420" w:firstLineChars="200"/>
    </w:pPr>
  </w:style>
  <w:style w:type="character" w:customStyle="1" w:styleId="27">
    <w:name w:val="md-plain"/>
    <w:basedOn w:val="15"/>
    <w:qFormat/>
    <w:uiPriority w:val="0"/>
  </w:style>
  <w:style w:type="character" w:customStyle="1" w:styleId="28">
    <w:name w:val="md-expand"/>
    <w:basedOn w:val="15"/>
    <w:qFormat/>
    <w:uiPriority w:val="0"/>
  </w:style>
  <w:style w:type="paragraph" w:customStyle="1" w:styleId="29">
    <w:name w:val="ke-editor-inner-p"/>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30">
    <w:name w:val="related"/>
    <w:basedOn w:val="15"/>
    <w:qFormat/>
    <w:uiPriority w:val="0"/>
  </w:style>
  <w:style w:type="paragraph" w:customStyle="1" w:styleId="31">
    <w:name w:val="修订1"/>
    <w:semiHidden/>
    <w:qFormat/>
    <w:uiPriority w:val="99"/>
    <w:rPr>
      <w:rFonts w:ascii="Calibri" w:hAnsi="Calibri" w:eastAsia="宋体" w:cs="Times New Roman"/>
      <w:kern w:val="2"/>
      <w:sz w:val="21"/>
      <w:szCs w:val="22"/>
      <w:lang w:val="en-US" w:eastAsia="zh-CN" w:bidi="ar-SA"/>
    </w:rPr>
  </w:style>
  <w:style w:type="paragraph" w:customStyle="1" w:styleId="32">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33">
    <w:name w:val="style2"/>
    <w:basedOn w:val="1"/>
    <w:qFormat/>
    <w:uiPriority w:val="99"/>
    <w:pPr>
      <w:widowControl/>
      <w:spacing w:before="100" w:beforeAutospacing="1" w:after="100" w:afterAutospacing="1"/>
      <w:jc w:val="left"/>
    </w:pPr>
    <w:rPr>
      <w:rFonts w:ascii="宋体" w:hAnsi="宋体" w:cs="宋体"/>
      <w:kern w:val="0"/>
      <w:sz w:val="24"/>
      <w:szCs w:val="24"/>
    </w:rPr>
  </w:style>
  <w:style w:type="character" w:customStyle="1" w:styleId="34">
    <w:name w:val="批注文字 Char1"/>
    <w:basedOn w:val="15"/>
    <w:semiHidden/>
    <w:qFormat/>
    <w:locked/>
    <w:uiPriority w:val="99"/>
  </w:style>
  <w:style w:type="paragraph" w:customStyle="1" w:styleId="35">
    <w:name w:val="修订2"/>
    <w:semiHidden/>
    <w:qFormat/>
    <w:uiPriority w:val="99"/>
    <w:rPr>
      <w:rFonts w:ascii="Calibri" w:hAnsi="Calibri" w:eastAsia="宋体" w:cs="Times New Roman"/>
      <w:kern w:val="2"/>
      <w:sz w:val="21"/>
      <w:szCs w:val="22"/>
      <w:lang w:val="en-US" w:eastAsia="zh-CN" w:bidi="ar-SA"/>
    </w:rPr>
  </w:style>
  <w:style w:type="paragraph" w:customStyle="1" w:styleId="36">
    <w:name w:val="列出段落2"/>
    <w:basedOn w:val="1"/>
    <w:qFormat/>
    <w:uiPriority w:val="34"/>
    <w:pPr>
      <w:ind w:firstLine="420" w:firstLineChars="200"/>
    </w:pPr>
  </w:style>
  <w:style w:type="paragraph" w:styleId="37">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刘双红</Company>
  <Pages>14</Pages>
  <Words>841</Words>
  <Characters>4796</Characters>
  <Lines>39</Lines>
  <Paragraphs>11</Paragraphs>
  <TotalTime>41</TotalTime>
  <ScaleCrop>false</ScaleCrop>
  <LinksUpToDate>false</LinksUpToDate>
  <CharactersWithSpaces>5626</CharactersWithSpaces>
  <Application>WPS Office_11.8.2.10290_F1E327BC-269C-435d-A152-05C5408002CA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2023-11-03T06:06:00Z</dcterms:created>
  <dc:creator>SH Liu</dc:creator>
  <cp:lastModifiedBy> </cp:lastModifiedBy>
  <cp:lastPrinted>2023-11-30T16:17:25Z</cp:lastPrinted>
  <dcterms:modified xsi:type="dcterms:W3CDTF">2023-11-30T16:22:58Z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2052-11.8.2.10290</vt:lpwstr>
  </property>
  <property fmtid="{D5CDD505-2E9C-101B-9397-08002B2CF9AE}" pid="3" name="ICV">
    <vt:lpwstr>D9AAF53D7791425C8056D916F7E705E5_13</vt:lpwstr>
  </property>
</Properties>
</file>