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8C8303" w14:textId="77777777" w:rsidR="0097742D" w:rsidRDefault="0097742D" w:rsidP="0097742D">
      <w:pPr>
        <w:pStyle w:val="a3"/>
        <w:spacing w:before="0" w:beforeAutospacing="0" w:after="300" w:afterAutospacing="0"/>
        <w:ind w:firstLine="480"/>
        <w:jc w:val="center"/>
        <w:rPr>
          <w:rFonts w:ascii="微软雅黑" w:eastAsia="微软雅黑" w:hAnsi="微软雅黑"/>
          <w:color w:val="404040"/>
          <w:sz w:val="27"/>
          <w:szCs w:val="27"/>
        </w:rPr>
      </w:pPr>
      <w:r>
        <w:rPr>
          <w:rFonts w:ascii="微软雅黑" w:eastAsia="微软雅黑" w:hAnsi="微软雅黑" w:hint="eastAsia"/>
          <w:color w:val="404040"/>
          <w:sz w:val="27"/>
          <w:szCs w:val="27"/>
        </w:rPr>
        <w:t>第一章 总  则</w:t>
      </w:r>
    </w:p>
    <w:p w14:paraId="398AF863"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第一条  为建立多层次的养老保险制度，推动企业年金发展，更好地保障职工退休后的生活，根据《中华人民共和国劳动法》、《中华人民共和国劳动合同法》、《中华人民共和国社会保险法》、《中华人民共和国信托法》和国务院有关规定，制定本办法。</w:t>
      </w:r>
    </w:p>
    <w:p w14:paraId="2367AFD4"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第二条  本办法所称企业年金，是指企业及其职工在依法参加基本养老保险的基础上，自主建立的补充养老保险制度。国家鼓励企业建立企业年金。建立企业年金，应当按照本办法执行。</w:t>
      </w:r>
    </w:p>
    <w:p w14:paraId="5BD124E4"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第三条  企业年金所需费用由企业和职工个人共同缴纳。企业年金基金实行完全积累，为每个参加企业年金的职工建立个人账户，按照国家有关规定投资运营。企业年金基金投资运营收益并入企业年金基金。</w:t>
      </w:r>
    </w:p>
    <w:p w14:paraId="0181269C"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第四条  企业年金有关税收和财务管理，按照国家有关规定执行。</w:t>
      </w:r>
    </w:p>
    <w:p w14:paraId="52B2D1BD"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第五条  企业和职工建立企业年金，应当确定企业年金受托人，由企业代表委托人与受托人签订受托管理合同。受托人可以是符合国家规定的法人受托机构，也可以是企业按照国家有关规定成立的企业年金理事会。</w:t>
      </w:r>
    </w:p>
    <w:p w14:paraId="312519CD" w14:textId="77777777" w:rsidR="0097742D" w:rsidRDefault="0097742D" w:rsidP="0097742D">
      <w:pPr>
        <w:pStyle w:val="a3"/>
        <w:spacing w:before="0" w:beforeAutospacing="0" w:after="300" w:afterAutospacing="0"/>
        <w:ind w:firstLine="480"/>
        <w:jc w:val="center"/>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第二章  企业年金方案的订立、变更和终止</w:t>
      </w:r>
    </w:p>
    <w:p w14:paraId="775BA01E"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第六条  企业和职工建立企业年金，应当依法参加基本养老保险并履行缴费义务，企业具有相应的经济负担能力。</w:t>
      </w:r>
    </w:p>
    <w:p w14:paraId="111A8627"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第七条  建立企业年金，企业应当与职工一方通过集体协商确定，并制定企业年金方案。企业年金方案应当提交职工代表大会或者全体职工讨论通过。</w:t>
      </w:r>
    </w:p>
    <w:p w14:paraId="4199452F"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第八条  企业年金方案应当包括以下内容：</w:t>
      </w:r>
    </w:p>
    <w:p w14:paraId="2FFFECB3"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（一）参加人员；</w:t>
      </w:r>
    </w:p>
    <w:p w14:paraId="08285397"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（二）资金筹集与分配的比例和办法；</w:t>
      </w:r>
    </w:p>
    <w:p w14:paraId="0E1B830D"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（三）账户管理；</w:t>
      </w:r>
    </w:p>
    <w:p w14:paraId="507F503B"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（四）权益归属；</w:t>
      </w:r>
    </w:p>
    <w:p w14:paraId="3F35BE5A"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（五）基金管理；</w:t>
      </w:r>
    </w:p>
    <w:p w14:paraId="0BD45126"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（六）待遇计发和支付方式；</w:t>
      </w:r>
    </w:p>
    <w:p w14:paraId="6B39D919"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（七）方案的变更和终止；</w:t>
      </w:r>
    </w:p>
    <w:p w14:paraId="254A7A10"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（八）组织管理和监督方式；</w:t>
      </w:r>
    </w:p>
    <w:p w14:paraId="35397388"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（九）双方约定的其他事项。</w:t>
      </w:r>
    </w:p>
    <w:p w14:paraId="7811F953"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企业年金方案适用于企业试用期满的职工。</w:t>
      </w:r>
    </w:p>
    <w:p w14:paraId="6496EBF2"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第九条  企业应当将企业年金方案报送所在地县级以上人民政府人力资源社会保障行政部门。</w:t>
      </w:r>
    </w:p>
    <w:p w14:paraId="0CE69A6E"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中央所属企业的企业年金方案报送人力资源社会保障部。</w:t>
      </w:r>
    </w:p>
    <w:p w14:paraId="05BF1693"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跨省企业的企业年金方案报送其总部所在地省级人民政府人力资源社会保障行政部门。</w:t>
      </w:r>
    </w:p>
    <w:p w14:paraId="0ED1CA1D"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省内跨地区企业的企业年金方案报送其总部所在地设区的市级以上人民政府人力资源社会保障行政部门。</w:t>
      </w:r>
    </w:p>
    <w:p w14:paraId="214383AB"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第十条  人力资源社会保障行政部门自收到企业年金方案文本之日起15日内未提出异议的，企业年金方案即行生效。</w:t>
      </w:r>
    </w:p>
    <w:p w14:paraId="361EF563"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第十一条  企业与职工一方可以根据本企业情况，按照国家政策规定，经协商一致，变更企业年金方案。变更后的企业年金方案应当经职工代表大会或者全体职工讨论通过，并重新报送人力资源社会保障行政部门。</w:t>
      </w:r>
    </w:p>
    <w:p w14:paraId="5CB8AEA1"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第十二条  有下列情形之一的，企业年金方案终止：</w:t>
      </w:r>
    </w:p>
    <w:p w14:paraId="34104442"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（一）企业因依法解散、被依法撤销或者被依法宣告破产等原因，致使企业年金方案无法履行的；</w:t>
      </w:r>
    </w:p>
    <w:p w14:paraId="6F1775C9"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（二）因不可抗力等原因致使企业年金方案无法履行的；</w:t>
      </w:r>
    </w:p>
    <w:p w14:paraId="720E89BE"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（三）企业年金方案约定的其他终止条件出现的。</w:t>
      </w:r>
    </w:p>
    <w:p w14:paraId="32C72341"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第十三条  企业应当在企业年金方案变更或者终止后10日内报告人力资源社会保障行政部门，并通知受托人。企业应当在企业年金方案终止后，按国家有关规定对企业年金基金进行清算，并按照本办法第四章相关规定处理。</w:t>
      </w:r>
    </w:p>
    <w:p w14:paraId="1CA03760" w14:textId="77777777" w:rsidR="0097742D" w:rsidRDefault="0097742D" w:rsidP="0097742D">
      <w:pPr>
        <w:pStyle w:val="a3"/>
        <w:spacing w:before="0" w:beforeAutospacing="0" w:after="300" w:afterAutospacing="0"/>
        <w:ind w:firstLine="480"/>
        <w:jc w:val="center"/>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第三章  企业年金基金筹集</w:t>
      </w:r>
    </w:p>
    <w:p w14:paraId="497931A5"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第十四条  企业年金基金由下列各项组成：</w:t>
      </w:r>
    </w:p>
    <w:p w14:paraId="497263A1"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（一）企业缴费；</w:t>
      </w:r>
    </w:p>
    <w:p w14:paraId="4464E56A"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（二）职工个人缴费；</w:t>
      </w:r>
    </w:p>
    <w:p w14:paraId="6DC1E9BF"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（三）企业年金基金投资运营收益。</w:t>
      </w:r>
    </w:p>
    <w:p w14:paraId="43314736"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第十五条  企业缴费每年不超过本企业职工工资总额的8%。企业和职工个人缴费合计不超过本企业职工工资总额的12%。具体所需费用，由企业和职工一方协商确定。</w:t>
      </w:r>
    </w:p>
    <w:p w14:paraId="5485C200"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职工个人缴费由企业从职工个人工资中代扣代缴。</w:t>
      </w:r>
    </w:p>
    <w:p w14:paraId="2A705C9B"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第十六条  实行企业年金后，企业如遇到经营亏损、重组并购等当期不能继续缴费的情况，经与职工一方协商，可以中止缴费。不能继续缴费的情况消失后，企业和职工恢复缴费，并可以根据本企业实际情况，按照中止缴费时的企业年金方案予以补缴。补缴的年限和金额不得超过实际中止缴费的年限和金额。</w:t>
      </w:r>
    </w:p>
    <w:p w14:paraId="339D81A6" w14:textId="77777777" w:rsidR="0097742D" w:rsidRDefault="0097742D" w:rsidP="0097742D">
      <w:pPr>
        <w:pStyle w:val="a3"/>
        <w:spacing w:before="0" w:beforeAutospacing="0" w:after="300" w:afterAutospacing="0"/>
        <w:ind w:firstLine="480"/>
        <w:jc w:val="center"/>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第四章  账户管理</w:t>
      </w:r>
    </w:p>
    <w:p w14:paraId="3C8380E4"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第十七条  企业缴费应当按照企业年金方案确定的比例和办法计入职工企业年金个人账户，职工个人缴费计入本人企业年金个人账户。</w:t>
      </w:r>
    </w:p>
    <w:p w14:paraId="1BF47E87"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第十八条  企业应当合理确定本单位当期缴费计入职工企业年金个人账户的最高额与平均额的差距。企业当期缴费计入职工企业年金个人账户的最高额与平均额不得超过5倍。</w:t>
      </w:r>
    </w:p>
    <w:p w14:paraId="0DA6B067"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第十九条  职工企业年金个人账户中个人缴费及其投资收益自始归属于职工个人。</w:t>
      </w:r>
    </w:p>
    <w:p w14:paraId="4ECA0B1A"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职工企业年金个人账户中企业缴费及其投资收益，企业可以与职工一方约定其自始归属于职工个人，也可以约定随着职工在本企业工作年限的增加逐步归属于职工个人，完全归属于职工个人的期限最长不超过8年。</w:t>
      </w:r>
    </w:p>
    <w:p w14:paraId="3818BA50"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第二十条  有下列情形之一的，职工企业年金个人账户中企业缴费及其投资收益完全归属于职工个人：</w:t>
      </w:r>
    </w:p>
    <w:p w14:paraId="27B06F0C"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（一）职工达到法定退休年龄、完全丧失劳动能力或者死亡的；</w:t>
      </w:r>
    </w:p>
    <w:p w14:paraId="36A0ECFC"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（二）有本办法第十二条规定的企业年金方案终止情形之一的；</w:t>
      </w:r>
    </w:p>
    <w:p w14:paraId="56B06047"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（三）非因职工过错企业解除劳动合同的，或者因企业违反法律规定职工解除劳动合同的；</w:t>
      </w:r>
    </w:p>
    <w:p w14:paraId="476A70BD"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（四）劳动合同期满，由于企业原因不再续订劳动合同的；</w:t>
      </w:r>
    </w:p>
    <w:p w14:paraId="5973E08B"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（五）企业年金方案约定的其他情形。</w:t>
      </w:r>
    </w:p>
    <w:p w14:paraId="4D7A2530"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第二十一条  企业年金暂时未分配至职工企业年金个人账户的企业缴费及其投资收益，以及职工企业年金个人账户中未归属于职工个人的企业缴费及其投资收益，计入企业年金企业账户。</w:t>
      </w:r>
    </w:p>
    <w:p w14:paraId="61F18378"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企业年金企业账户中的企业缴费及其投资收益应当按照企业年金方案确定的比例和办法计入职工企业年金个人账户。</w:t>
      </w:r>
    </w:p>
    <w:p w14:paraId="094D750E"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第二十二条  职工变动工作单位时，新就业单位已经建立企业年金或者职业年金的，原企业年金个人账户权益应当随同转入新就业单位企业年金或者职业年金。</w:t>
      </w:r>
    </w:p>
    <w:p w14:paraId="7B90411F"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职工新就业单位没有建立企业年金或者职业年金的，或者职工升学、参军、失业期间，原企业年金个人账户可以暂时由原管理机构继续管理，也可以由法人受托机构发起的集合计划设置的保留账户暂时管理；原受托人是企业年金理事会的，由企业与职工协商选择法人受托机构管理。</w:t>
      </w:r>
    </w:p>
    <w:p w14:paraId="681F3473"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第二十三条  企业年金方案终止后，职工原企业年金个人账户由法人受托机构发起的集合计划设置的保留账户暂时管理；原受托人是企业年金理事会的，由企业与职工一方协商选择法人受托机构管理。</w:t>
      </w:r>
    </w:p>
    <w:p w14:paraId="102C1917" w14:textId="77777777" w:rsidR="0097742D" w:rsidRDefault="0097742D" w:rsidP="0097742D">
      <w:pPr>
        <w:pStyle w:val="a3"/>
        <w:spacing w:before="0" w:beforeAutospacing="0" w:after="300" w:afterAutospacing="0"/>
        <w:ind w:firstLine="480"/>
        <w:jc w:val="center"/>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第五章  企业年金待遇</w:t>
      </w:r>
    </w:p>
    <w:p w14:paraId="06CB3DC2"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第二十四条  符合下列条件之一的，可以领取企业年金：</w:t>
      </w:r>
    </w:p>
    <w:p w14:paraId="3E0CEA02"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一）职工在达到国家规定的退休年龄或者完全丧失劳动能力时，可以从本人企业年金个人账户中按月、分次或者一次性领取企业年金，也可以将本人企业年金个人账户资金全部或者部分购买商业养老保险产品，依据保险合同领取待遇并享受相应的继承权；</w:t>
      </w:r>
    </w:p>
    <w:p w14:paraId="107A20DA"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（二）出国（境）定居人员的企业年金个人账户资金，可以根据本人要求一次性支付给本人；</w:t>
      </w:r>
    </w:p>
    <w:p w14:paraId="384B01AB"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（三）职工或者退休人员死亡后，其企业年金个人账户余额可以继承。</w:t>
      </w:r>
    </w:p>
    <w:p w14:paraId="308BD8FC"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第二十五条  未达到上述企业年金领取条件之一的，不得从企业年金个人账户中提前提取资金。</w:t>
      </w:r>
    </w:p>
    <w:p w14:paraId="0010098D" w14:textId="77777777" w:rsidR="0097742D" w:rsidRDefault="0097742D" w:rsidP="0097742D">
      <w:pPr>
        <w:pStyle w:val="a3"/>
        <w:spacing w:before="0" w:beforeAutospacing="0" w:after="300" w:afterAutospacing="0"/>
        <w:ind w:firstLine="480"/>
        <w:jc w:val="center"/>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第六章  管理监督</w:t>
      </w:r>
    </w:p>
    <w:p w14:paraId="024B1D13"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第二十六条  企业成立企业年金理事会作为受托人的，企业年金理事会应当由企业和职工代表组成，也可以聘请企业以外的专业人员参加，其中职工代表应不少于三分之一。</w:t>
      </w:r>
    </w:p>
    <w:p w14:paraId="16A713E2"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企业年金理事会除管理本企业的企业年金事务之外，不得从事其他任何形式的营业性活动。</w:t>
      </w:r>
    </w:p>
    <w:p w14:paraId="22B28C28"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第二十七条  受托人应当委托具有企业年金管理资格的账户管理人、投资管理人和托管人，负责企业年金基金的账户管理、投资运营和托管。</w:t>
      </w:r>
    </w:p>
    <w:p w14:paraId="36B78DA7"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第二十八条  企业年金基金应当与委托人、受托人、账户管理人、投资管理人、托管人和其他为企业年金基金管理提供服务的自然人、法人或者其他组织的自有资产或者其他资产分开管理，不得挪作其他用途。</w:t>
      </w:r>
    </w:p>
    <w:p w14:paraId="3AC20D08"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企业年金基金管理应当执行国家有关规定。</w:t>
      </w:r>
    </w:p>
    <w:p w14:paraId="417AC778"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第二十九条  县级以上人民政府人力资源社会保障行政部门负责对本办法的执行情况进行监督检查。对违反本办法的，由人力资源社会保障行政部门予以警告，责令改正。</w:t>
      </w:r>
    </w:p>
    <w:p w14:paraId="1E431F16"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第三十条  因订立或者履行企业年金方案发生争议的，按照国家有关集体合同的规定执行。</w:t>
      </w:r>
    </w:p>
    <w:p w14:paraId="100C5654"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因履行企业年金基金管理合同发生争议的，当事人可以依法申请仲裁或者提起诉讼。</w:t>
      </w:r>
    </w:p>
    <w:p w14:paraId="445884FF" w14:textId="77777777" w:rsidR="0097742D" w:rsidRDefault="0097742D" w:rsidP="0097742D">
      <w:pPr>
        <w:pStyle w:val="a3"/>
        <w:spacing w:before="0" w:beforeAutospacing="0" w:after="300" w:afterAutospacing="0"/>
        <w:ind w:firstLine="480"/>
        <w:jc w:val="center"/>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第七章  附  则</w:t>
      </w:r>
    </w:p>
    <w:p w14:paraId="12F2F21F"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第三十一条  参加企业职工基本养老保险的其他用人单位及其职工建立补充养老保险的，参照本办法执行。</w:t>
      </w:r>
    </w:p>
    <w:p w14:paraId="0D3F4DAE"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第三十二条  本办法自2018年2月1日起施行。原劳动和社会保障部2004年1月6日发布的《企业年金试行办法》同时废止。</w:t>
      </w:r>
    </w:p>
    <w:p w14:paraId="5093CB73" w14:textId="77777777" w:rsidR="0097742D" w:rsidRDefault="0097742D" w:rsidP="0097742D">
      <w:pPr>
        <w:pStyle w:val="a3"/>
        <w:spacing w:before="0" w:beforeAutospacing="0" w:after="300" w:afterAutospacing="0"/>
        <w:ind w:firstLine="48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本办法施行之日已经生效的企业年金方案，与本办法规定不一致的，应当在本办法施行之日起1年内变更。</w:t>
      </w:r>
    </w:p>
    <w:p w14:paraId="2C078E63" w14:textId="77777777" w:rsidR="00E54EF0" w:rsidRDefault="00E54EF0">
      <w:pPr>
        <w:rPr>
          <w:lang w:eastAsia="zh-CN"/>
        </w:rPr>
      </w:pPr>
    </w:p>
    <w:sectPr w:rsidR="00E54E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EF0"/>
    <w:rsid w:val="009675FB"/>
    <w:rsid w:val="0097742D"/>
    <w:rsid w:val="00E54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7742D"/>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500</Words>
  <Characters>2856</Characters>
  <Application>Microsoft Office Word</Application>
  <DocSecurity>0</DocSecurity>
  <Lines>23</Lines>
  <Paragraphs>6</Paragraphs>
  <ScaleCrop>false</ScaleCrop>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2026-07-24T02:44:00Z</dcterms:modified>
</cp:coreProperties>
</file>