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5CE7F7" w14:textId="77777777" w:rsidR="006007BF" w:rsidRDefault="006007BF" w:rsidP="006007BF">
      <w:pPr>
        <w:pStyle w:val="a3"/>
        <w:shd w:val="clear" w:color="auto" w:fill="FEFEFE"/>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Style w:val="a4"/>
          <w:rFonts w:ascii="微软雅黑" w:eastAsia="微软雅黑" w:hAnsi="微软雅黑" w:hint="eastAsia"/>
          <w:color w:val="333333"/>
          <w:sz w:val="21"/>
          <w:szCs w:val="21"/>
        </w:rPr>
        <w:t>第一章 总 则</w:t>
      </w:r>
    </w:p>
    <w:p w14:paraId="493BAEC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第一条</w:t>
      </w:r>
      <w:r>
        <w:rPr>
          <w:rFonts w:ascii="微软雅黑" w:eastAsia="微软雅黑" w:hAnsi="微软雅黑" w:hint="eastAsia"/>
          <w:color w:val="333333"/>
          <w:sz w:val="21"/>
          <w:szCs w:val="21"/>
        </w:rPr>
        <w:t> 为规范保险资金境外投资运作行为，防范投资管理风险，实现保险资产保值增值，根据《保险资金境外投资管理暂行办法》（以下简称《办法》），制定本细则。</w:t>
      </w:r>
    </w:p>
    <w:p w14:paraId="11AD873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第二条</w:t>
      </w:r>
      <w:r>
        <w:rPr>
          <w:rFonts w:ascii="微软雅黑" w:eastAsia="微软雅黑" w:hAnsi="微软雅黑" w:hint="eastAsia"/>
          <w:color w:val="333333"/>
          <w:sz w:val="21"/>
          <w:szCs w:val="21"/>
        </w:rPr>
        <w:t> 保险资金境外投资当事人，应当根据《办法》和本细则规定，充分研判拟投资国家或者地区的政治、经济和法律等风险，审慎开展境外投资。</w:t>
      </w:r>
    </w:p>
    <w:p w14:paraId="4928871E"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第三条</w:t>
      </w:r>
      <w:r>
        <w:rPr>
          <w:rFonts w:ascii="微软雅黑" w:eastAsia="微软雅黑" w:hAnsi="微软雅黑" w:hint="eastAsia"/>
          <w:color w:val="333333"/>
          <w:sz w:val="21"/>
          <w:szCs w:val="21"/>
        </w:rPr>
        <w:t> 中国保监会依法对保险资金境外投资当事人的管理能力进行持续评估和监管。</w:t>
      </w:r>
    </w:p>
    <w:p w14:paraId="32D470B4" w14:textId="77777777" w:rsidR="006007BF" w:rsidRDefault="006007BF" w:rsidP="006007BF">
      <w:pPr>
        <w:pStyle w:val="a3"/>
        <w:shd w:val="clear" w:color="auto" w:fill="FEFEFE"/>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Style w:val="a4"/>
          <w:rFonts w:ascii="微软雅黑" w:eastAsia="微软雅黑" w:hAnsi="微软雅黑" w:hint="eastAsia"/>
          <w:color w:val="333333"/>
          <w:sz w:val="21"/>
          <w:szCs w:val="21"/>
        </w:rPr>
        <w:t xml:space="preserve">　第二章 资质条件</w:t>
      </w:r>
    </w:p>
    <w:p w14:paraId="1AF464F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第四条</w:t>
      </w:r>
      <w:r>
        <w:rPr>
          <w:rFonts w:ascii="微软雅黑" w:eastAsia="微软雅黑" w:hAnsi="微软雅黑" w:hint="eastAsia"/>
          <w:color w:val="333333"/>
          <w:sz w:val="21"/>
          <w:szCs w:val="21"/>
        </w:rPr>
        <w:t> 委托人除符合《办法》第九条规定外，还应当满足下列条件：</w:t>
      </w:r>
    </w:p>
    <w:p w14:paraId="2CD1F45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（一）设置境外投资相关岗位，境外投资专业人员不少于3人，其中具有3年以上境外证券市场投资管理经验人员不少于2人；</w:t>
      </w:r>
    </w:p>
    <w:p w14:paraId="0D980960"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（二）投资时上季度末偿付能力充足率不低于120%；</w:t>
      </w:r>
    </w:p>
    <w:p w14:paraId="1CAC51D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（三）投资境外未上市企业股权、不动产及相关金融产品，投资管理能力应当符合有关规定。</w:t>
      </w:r>
    </w:p>
    <w:p w14:paraId="19CC4DC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第五条</w:t>
      </w:r>
      <w:r>
        <w:rPr>
          <w:rFonts w:ascii="微软雅黑" w:eastAsia="微软雅黑" w:hAnsi="微软雅黑" w:hint="eastAsia"/>
          <w:color w:val="333333"/>
          <w:sz w:val="21"/>
          <w:szCs w:val="21"/>
        </w:rPr>
        <w:t> 境内受托人除符合《办法》第十条规定外，还应当满足下列条件：</w:t>
      </w:r>
    </w:p>
    <w:p w14:paraId="4DD1306C"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（一）具有3年以上保险资产管理经验；</w:t>
      </w:r>
    </w:p>
    <w:p w14:paraId="6D3B8A9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（二）最近一个会计年度受托管理资产规模不低于100亿元人民币；</w:t>
      </w:r>
    </w:p>
    <w:p w14:paraId="20414150"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（三）境外投资专业人员不少于5人，其中具有5年以上境外证券市场投资管理经验人员不少于3人， 3年以上境外证券市场投资管理经验人员不少于2人。</w:t>
      </w:r>
    </w:p>
    <w:p w14:paraId="02736E3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境内受托人受托管理保险资金，限于投资香港市场。</w:t>
      </w:r>
    </w:p>
    <w:p w14:paraId="2157C06C"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第六条</w:t>
      </w:r>
      <w:r>
        <w:rPr>
          <w:rFonts w:ascii="微软雅黑" w:eastAsia="微软雅黑" w:hAnsi="微软雅黑" w:hint="eastAsia"/>
          <w:color w:val="333333"/>
          <w:sz w:val="21"/>
          <w:szCs w:val="21"/>
        </w:rPr>
        <w:t> 境外受托人除符合《办法》第十一条规定外，还应当满足下列条件：</w:t>
      </w:r>
    </w:p>
    <w:p w14:paraId="3E7DA88F"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（一）具有5年以上国际资产管理经验，以及3年以上养老金或者保险资产管理经验；</w:t>
      </w:r>
    </w:p>
    <w:p w14:paraId="75B83EB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（二）最近一个会计年度实收资本或者净资产不低于3000万美元或者等值可自由兑换货币；</w:t>
      </w:r>
    </w:p>
    <w:p w14:paraId="384A678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（三）最近一年平均管理资产规模不低于300亿美元或者等值可自由兑换货币；管理非关联方资产不低于管理资产总规模的50%，或者不低于300亿美元或者等值可自由兑换货币；</w:t>
      </w:r>
    </w:p>
    <w:p w14:paraId="1973056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（四）投资团队符合所在国家或地区从业资格要求，且平均从业经验5年以上，其中主要投资管理人员从业经验8年以上；</w:t>
      </w:r>
    </w:p>
    <w:p w14:paraId="6CA32C50"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（五）具有良好的过往投资业绩。</w:t>
      </w:r>
    </w:p>
    <w:p w14:paraId="4AE7E87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受托人母公司或者其集团内所属资产管理机构管理的资产规模可以合并计算，但不包括投资顾问、投资银行等管理或者涉及的资产。</w:t>
      </w:r>
    </w:p>
    <w:p w14:paraId="3DCE946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受托人从事专项资产管理，符合下列条件的，可以不受第一款第（三）项管理资产规模的限制：</w:t>
      </w:r>
    </w:p>
    <w:p w14:paraId="3920AFA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（一）管理资产规模在50亿美元或者等值可自由兑换货币以上；</w:t>
      </w:r>
    </w:p>
    <w:p w14:paraId="35FE766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（二）管理专项资产不低于管理资产总规模的70%；</w:t>
      </w:r>
    </w:p>
    <w:p w14:paraId="7E1108C2"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（三）拥有市场公认的专业声誉和评价，管理团队在专项资产管理领域表现卓越。</w:t>
      </w:r>
    </w:p>
    <w:p w14:paraId="6E89F54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境内保险机构在香港设立资产管理机构未达到本条规定的，受托管理境内保险资金限于投资香港市场。</w:t>
      </w:r>
    </w:p>
    <w:p w14:paraId="3D93C04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第七条</w:t>
      </w:r>
      <w:r>
        <w:rPr>
          <w:rFonts w:ascii="微软雅黑" w:eastAsia="微软雅黑" w:hAnsi="微软雅黑" w:hint="eastAsia"/>
          <w:color w:val="333333"/>
          <w:sz w:val="21"/>
          <w:szCs w:val="21"/>
        </w:rPr>
        <w:t> 保险资金投资股权投资基金，发起并管理该基金的股权投资机构，应当符合下列条件：</w:t>
      </w:r>
    </w:p>
    <w:p w14:paraId="6843ED4F"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（一）实收（缴）资本或者净资产不低于1500万美元或者等值可自由兑换货币;</w:t>
      </w:r>
    </w:p>
    <w:p w14:paraId="10F3CC2A"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（二）累计管理资产规模不低于10亿美元或者等值可自由兑换货币，且过往业绩优秀,商业信誉良好。</w:t>
      </w:r>
    </w:p>
    <w:p w14:paraId="73EC2047"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第八条</w:t>
      </w:r>
      <w:r>
        <w:rPr>
          <w:rFonts w:ascii="微软雅黑" w:eastAsia="微软雅黑" w:hAnsi="微软雅黑" w:hint="eastAsia"/>
          <w:color w:val="333333"/>
          <w:sz w:val="21"/>
          <w:szCs w:val="21"/>
        </w:rPr>
        <w:t> 托管人除符合《办法》第十二条规定条件外，还应当满足下列条件：</w:t>
      </w:r>
    </w:p>
    <w:p w14:paraId="449F266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（一）最近一个会计年度末实收资本或者净资产不低于300亿元人民币，托管资产规模不低于2000亿元人民币；</w:t>
      </w:r>
    </w:p>
    <w:p w14:paraId="2890F26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（二）托管人为外商独资银行或者外国银行分行，其母（总）公司满足第（一）项规定条件，且能够为托管人履行托管协议承担连带责任的，实收资本或者净资产和托管规模可以按其母（总）公司计算；</w:t>
      </w:r>
    </w:p>
    <w:p w14:paraId="5BAFD04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（三）长期信用评级在A级或者相当于A级以上；外国银行分行的资本充足率、核心资本充足率、信用级别按其母（总）公司计算；</w:t>
      </w:r>
    </w:p>
    <w:p w14:paraId="02D6077E"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（四）从事保险资产托管业务的专业人员不少于6人。</w:t>
      </w:r>
    </w:p>
    <w:p w14:paraId="67EA1C20"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第九条</w:t>
      </w:r>
      <w:r>
        <w:rPr>
          <w:rFonts w:ascii="微软雅黑" w:eastAsia="微软雅黑" w:hAnsi="微软雅黑" w:hint="eastAsia"/>
          <w:color w:val="333333"/>
          <w:sz w:val="21"/>
          <w:szCs w:val="21"/>
        </w:rPr>
        <w:t> 商业银行与委托人有下列关系之一的，不得担任该委托人的托管人或托管代理人：</w:t>
      </w:r>
    </w:p>
    <w:p w14:paraId="1B45F00A"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（一）一方直接或者间接持有另一方股份超过10%的；</w:t>
      </w:r>
    </w:p>
    <w:p w14:paraId="6516762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（二）两方被同一方直接或者间接持有股份超过10%的；</w:t>
      </w:r>
    </w:p>
    <w:p w14:paraId="29BF19FF"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（三）中国保监会认定的其他关联关系。</w:t>
      </w:r>
    </w:p>
    <w:p w14:paraId="23551A17"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托管人（或者托管代理人）与受托人有前款关系之一的，应当建立有效的风险隔离机制，不得从事内幕交易和利益输送。</w:t>
      </w:r>
    </w:p>
    <w:p w14:paraId="12D69EA7"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第十条</w:t>
      </w:r>
      <w:r>
        <w:rPr>
          <w:rFonts w:ascii="微软雅黑" w:eastAsia="微软雅黑" w:hAnsi="微软雅黑" w:hint="eastAsia"/>
          <w:color w:val="333333"/>
          <w:sz w:val="21"/>
          <w:szCs w:val="21"/>
        </w:rPr>
        <w:t> 保险资金境外投资当事人申请开展业务，应当向中国保监会报告，并承诺接受中国保监会有关保险资金境外投资的质询。委托人变更受托人和托管人，应当重新提交材料。</w:t>
      </w:r>
    </w:p>
    <w:p w14:paraId="4E912C48" w14:textId="77777777" w:rsidR="006007BF" w:rsidRDefault="006007BF" w:rsidP="006007BF">
      <w:pPr>
        <w:pStyle w:val="a3"/>
        <w:shd w:val="clear" w:color="auto" w:fill="FEFEFE"/>
        <w:spacing w:before="0" w:beforeAutospacing="0" w:after="0" w:afterAutospacing="0"/>
        <w:jc w:val="center"/>
        <w:rPr>
          <w:rFonts w:ascii="微软雅黑" w:eastAsia="微软雅黑" w:hAnsi="微软雅黑"/>
          <w:color w:val="333333"/>
          <w:sz w:val="21"/>
          <w:szCs w:val="21"/>
        </w:rPr>
      </w:pPr>
      <w:r>
        <w:rPr>
          <w:rStyle w:val="a4"/>
          <w:rFonts w:ascii="微软雅黑" w:eastAsia="微软雅黑" w:hAnsi="微软雅黑" w:hint="eastAsia"/>
          <w:color w:val="333333"/>
          <w:sz w:val="21"/>
          <w:szCs w:val="21"/>
        </w:rPr>
        <w:t xml:space="preserve">　　第三章 投资规范</w:t>
      </w:r>
    </w:p>
    <w:p w14:paraId="325CA82A"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第十一条</w:t>
      </w:r>
      <w:r>
        <w:rPr>
          <w:rFonts w:ascii="微软雅黑" w:eastAsia="微软雅黑" w:hAnsi="微软雅黑" w:hint="eastAsia"/>
          <w:color w:val="333333"/>
          <w:sz w:val="21"/>
          <w:szCs w:val="21"/>
        </w:rPr>
        <w:t> 保险资金境外投资应当选择附件1所列国家或者地区的金融市场，且投资下列品种：</w:t>
      </w:r>
    </w:p>
    <w:p w14:paraId="27AC1D37"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（一）货币市场类</w:t>
      </w:r>
    </w:p>
    <w:p w14:paraId="10E9852D"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包括期限不超过1年的商业票据、银行票据、大额可转让存单、逆回购协议、短期政府债券和隔夜拆出等货币市场工具或者产品。</w:t>
      </w:r>
    </w:p>
    <w:p w14:paraId="69A6B9AE"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货币市场类工具（包括逆回购协议用于抵押的证券）的发行主体应当获得A级或者相当于A级以上的信用评级。</w:t>
      </w:r>
    </w:p>
    <w:p w14:paraId="3C2E3A1A"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（二）固定收益类</w:t>
      </w:r>
    </w:p>
    <w:p w14:paraId="5477D4E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包括银行存款、政府债券、政府支持性债券、国际金融组织债券、公司债券、可转换债券等固定收益产品。</w:t>
      </w:r>
    </w:p>
    <w:p w14:paraId="142EA8FD"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债券应当以国际主要流通货币计价，且发行人和债项均获得国际公认评级机构BBB级或者相当于BBB级以上的评级。按照规定免于信用评级要求的，其发行人应当具有不低于该债券评级要求的信用级别。中国政府在境外发行的债券可不受信用级别限制。可转换债券应当在附件1所列国家或者地区证券交易所主板市场挂牌交易。</w:t>
      </w:r>
    </w:p>
    <w:p w14:paraId="5D159EF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（三）权益类</w:t>
      </w:r>
    </w:p>
    <w:p w14:paraId="217F63C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包括普通股、优先股、全球存托凭证、美国存托凭证、未上市企业股权等权益类工具或者产品。</w:t>
      </w:r>
    </w:p>
    <w:p w14:paraId="2F22EC02"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股票以及存托凭证应当在附件1所列国家或者地区证券交易所主板市场挂牌交易。</w:t>
      </w:r>
    </w:p>
    <w:p w14:paraId="69C4DD1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直接投资的未上市企业股权，限于金融、养老、医疗、能源、资源、汽车服务和现代农业等企业股权。</w:t>
      </w:r>
    </w:p>
    <w:p w14:paraId="4062CFCA"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（四）不动产</w:t>
      </w:r>
    </w:p>
    <w:p w14:paraId="29CA4BB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直接投资的不动产，限于位于附件1所列发达市场主要城市的核心地段，且具有稳定收益的成熟商业不动产和办公不动产。</w:t>
      </w:r>
    </w:p>
    <w:p w14:paraId="50C711A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第十二条</w:t>
      </w:r>
      <w:r>
        <w:rPr>
          <w:rFonts w:ascii="微软雅黑" w:eastAsia="微软雅黑" w:hAnsi="微软雅黑" w:hint="eastAsia"/>
          <w:color w:val="333333"/>
          <w:sz w:val="21"/>
          <w:szCs w:val="21"/>
        </w:rPr>
        <w:t> 保险资金投资的境外基金，应当满足下列条件：</w:t>
      </w:r>
    </w:p>
    <w:p w14:paraId="7FFC342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（一）证券投资基金</w:t>
      </w:r>
    </w:p>
    <w:p w14:paraId="09691D1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经附件1所列国家或者地区证券监督管理机构认可，或者登记注册；基金管理人符合第六条规定；可供追溯的过往业绩不少于3年；结构简单明确，基础资产清晰且符合第十一条第（一）、（二）、（三）项规定；货币市场基金还应当获得AAA级或者相当于AAA级的评级；</w:t>
      </w:r>
    </w:p>
    <w:p w14:paraId="208D2D3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（二）股权投资基金</w:t>
      </w:r>
    </w:p>
    <w:p w14:paraId="630C12C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投资标的处于成长期、成熟期或者具有较高并购价值，不受附件1所列国家和地区的限制；认缴资金规模不低于3亿美元或者等值可自由兑换货币，且实缴资金按认缴规模配比到位；</w:t>
      </w:r>
    </w:p>
    <w:p w14:paraId="61397C4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拥有10名以上具有股权投资和相关经验的专业人员；高级管理人员中,具有8年以上相关经验的不少于2名，且具有完整的基金募集、管理和退出经验，主导并退出的项目不少于5个（母基金除外）；至少有3名主要专业人员共同工作满3年；具有完善的治理结构、有效的激励约束机制和利益保护机制；设定关键人条款，能够确保管理团队的专属性。</w:t>
      </w:r>
    </w:p>
    <w:p w14:paraId="2788513B" w14:textId="1809B996" w:rsidR="006007BF" w:rsidRDefault="006007BF" w:rsidP="006007BF">
      <w:pPr>
        <w:pStyle w:val="a3"/>
        <w:shd w:val="clear" w:color="auto" w:fill="FEFEFE"/>
        <w:spacing w:before="0" w:beforeAutospacing="0" w:after="0" w:afterAutospacing="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保险资金可以投资以符合前款规定的股权投资基金为标的的母基金。母基金的交易结构应当简单明晰，不得包括其他母基金。</w:t>
      </w:r>
    </w:p>
    <w:p w14:paraId="33A1182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（三）房地产信托投资基金（REITs）</w:t>
      </w:r>
    </w:p>
    <w:p w14:paraId="46277FB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在附件1所列国家或者地区交易所挂牌交易。</w:t>
      </w:r>
    </w:p>
    <w:p w14:paraId="745B14CC"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第十三条</w:t>
      </w:r>
      <w:r>
        <w:rPr>
          <w:rFonts w:ascii="微软雅黑" w:eastAsia="微软雅黑" w:hAnsi="微软雅黑" w:hint="eastAsia"/>
          <w:color w:val="333333"/>
          <w:sz w:val="21"/>
          <w:szCs w:val="21"/>
        </w:rPr>
        <w:t> 同一投资标的在同一会计核算期间，具有两家以上信用评级机构信用评级的，应当采用孰低原则确认信用级别。</w:t>
      </w:r>
    </w:p>
    <w:p w14:paraId="6539D257"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第十四条</w:t>
      </w:r>
      <w:r>
        <w:rPr>
          <w:rFonts w:ascii="微软雅黑" w:eastAsia="微软雅黑" w:hAnsi="微软雅黑" w:hint="eastAsia"/>
          <w:color w:val="333333"/>
          <w:sz w:val="21"/>
          <w:szCs w:val="21"/>
        </w:rPr>
        <w:t> 保险机构境外投资余额不超过上年末总资产的15%，投资附件1所列新兴市场余额不超过上年末总资产的10%。</w:t>
      </w:r>
    </w:p>
    <w:p w14:paraId="7647339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保险机构应当合并计算境内和境外各类投资品种比例，单项投资比例参照境内同类品种执行。</w:t>
      </w:r>
    </w:p>
    <w:p w14:paraId="2492F57C"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第十五条</w:t>
      </w:r>
      <w:r>
        <w:rPr>
          <w:rFonts w:ascii="微软雅黑" w:eastAsia="微软雅黑" w:hAnsi="微软雅黑" w:hint="eastAsia"/>
          <w:color w:val="333333"/>
          <w:sz w:val="21"/>
          <w:szCs w:val="21"/>
        </w:rPr>
        <w:t> 保险资金境外投资应当控制短期资金融出或者融入，并遵守下列规定：</w:t>
      </w:r>
    </w:p>
    <w:p w14:paraId="34E0506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（一）逆回购交易及隔夜拆出融出的资金，不超过上年末总资产的1%；</w:t>
      </w:r>
    </w:p>
    <w:p w14:paraId="1C79DF7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（二）因交易清算目的拆入资金，不超过上年末总资产的1%，且拆入资金期限不得超过5个工作日。</w:t>
      </w:r>
    </w:p>
    <w:p w14:paraId="0A7E430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第十六条</w:t>
      </w:r>
      <w:r>
        <w:rPr>
          <w:rFonts w:ascii="微软雅黑" w:eastAsia="微软雅黑" w:hAnsi="微软雅黑" w:hint="eastAsia"/>
          <w:color w:val="333333"/>
          <w:sz w:val="21"/>
          <w:szCs w:val="21"/>
        </w:rPr>
        <w:t> 保险资金境外投资不得有下列行为：</w:t>
      </w:r>
    </w:p>
    <w:p w14:paraId="28DE2DE0"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（一）投资实物商品、贵重金属或者代表贵重金属的凭证和商品类衍生工具；</w:t>
      </w:r>
    </w:p>
    <w:p w14:paraId="6E92A50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（二）利用证券经营机构融资，购买证券及参与未持有基础资产的卖空交易；</w:t>
      </w:r>
    </w:p>
    <w:p w14:paraId="0AD2797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（三）除为交易清算目的拆入资金外，以其他任何形式借入资金。</w:t>
      </w:r>
    </w:p>
    <w:p w14:paraId="478A248B" w14:textId="77777777" w:rsidR="006007BF" w:rsidRDefault="006007BF" w:rsidP="006007BF">
      <w:pPr>
        <w:pStyle w:val="a3"/>
        <w:shd w:val="clear" w:color="auto" w:fill="FEFEFE"/>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Style w:val="a4"/>
          <w:rFonts w:ascii="微软雅黑" w:eastAsia="微软雅黑" w:hAnsi="微软雅黑" w:hint="eastAsia"/>
          <w:color w:val="333333"/>
          <w:sz w:val="21"/>
          <w:szCs w:val="21"/>
        </w:rPr>
        <w:t xml:space="preserve">　第四章 风险控制</w:t>
      </w:r>
    </w:p>
    <w:p w14:paraId="19A8B45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第十七条</w:t>
      </w:r>
      <w:r>
        <w:rPr>
          <w:rFonts w:ascii="微软雅黑" w:eastAsia="微软雅黑" w:hAnsi="微软雅黑" w:hint="eastAsia"/>
          <w:color w:val="333333"/>
          <w:sz w:val="21"/>
          <w:szCs w:val="21"/>
        </w:rPr>
        <w:t> 委托人应当建立覆盖境内外市场的信息管理系统，实时监控投资市场、投资品种、投资比例、交易对手集中度和衍生品风险敞口等指标，确保依规合法运作。</w:t>
      </w:r>
    </w:p>
    <w:p w14:paraId="781AA71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第十八条</w:t>
      </w:r>
      <w:r>
        <w:rPr>
          <w:rFonts w:ascii="微软雅黑" w:eastAsia="微软雅黑" w:hAnsi="微软雅黑" w:hint="eastAsia"/>
          <w:color w:val="333333"/>
          <w:sz w:val="21"/>
          <w:szCs w:val="21"/>
        </w:rPr>
        <w:t> 委托人上季度末偿付能力充足率低于监管规定的，应当及时调整境外投资策略，不得继续投资或者增持无担保债券、权益类工具、不动产或者相关金融产品。</w:t>
      </w:r>
    </w:p>
    <w:p w14:paraId="318946D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第十九条</w:t>
      </w:r>
      <w:r>
        <w:rPr>
          <w:rFonts w:ascii="微软雅黑" w:eastAsia="微软雅黑" w:hAnsi="微软雅黑" w:hint="eastAsia"/>
          <w:color w:val="333333"/>
          <w:sz w:val="21"/>
          <w:szCs w:val="21"/>
        </w:rPr>
        <w:t> 委托人应当自行或者聘请投资咨询顾问，对受托人和托管人进行尽职调查，充分了解托管人选择的托管代理人，关注相关风险。</w:t>
      </w:r>
    </w:p>
    <w:p w14:paraId="7A6FA15C"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第二十条</w:t>
      </w:r>
      <w:r>
        <w:rPr>
          <w:rFonts w:ascii="微软雅黑" w:eastAsia="微软雅黑" w:hAnsi="微软雅黑" w:hint="eastAsia"/>
          <w:color w:val="333333"/>
          <w:sz w:val="21"/>
          <w:szCs w:val="21"/>
        </w:rPr>
        <w:t> 委托人应当根据《办法》、本细则规定及投资管理协议约定，定期评估受托人和托管人，审核投资指引每年不少于一次。</w:t>
      </w:r>
    </w:p>
    <w:p w14:paraId="278E3EE9"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第二十一条</w:t>
      </w:r>
      <w:r>
        <w:rPr>
          <w:rFonts w:ascii="微软雅黑" w:eastAsia="微软雅黑" w:hAnsi="微软雅黑" w:hint="eastAsia"/>
          <w:color w:val="333333"/>
          <w:sz w:val="21"/>
          <w:szCs w:val="21"/>
        </w:rPr>
        <w:t> 受托人将保险资金交由母公司控制的其他专业机构投资管理的，应当经委托人同意，并承担转委托的最终责任。</w:t>
      </w:r>
    </w:p>
    <w:p w14:paraId="1710271F"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除上述方式外，受托人不得以任何名义或者方式，将受托资产转委托。</w:t>
      </w:r>
    </w:p>
    <w:p w14:paraId="61B985C2"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第二十二条</w:t>
      </w:r>
      <w:r>
        <w:rPr>
          <w:rFonts w:ascii="微软雅黑" w:eastAsia="微软雅黑" w:hAnsi="微软雅黑" w:hint="eastAsia"/>
          <w:color w:val="333333"/>
          <w:sz w:val="21"/>
          <w:szCs w:val="21"/>
        </w:rPr>
        <w:t> 受托人因市场波动、信用评级调整等因素，致使投资行为不符合《办法》和本细则规定的，应当在3个月内进行调整。</w:t>
      </w:r>
    </w:p>
    <w:p w14:paraId="254D57D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第二十三条</w:t>
      </w:r>
      <w:r>
        <w:rPr>
          <w:rFonts w:ascii="微软雅黑" w:eastAsia="微软雅黑" w:hAnsi="微软雅黑" w:hint="eastAsia"/>
          <w:color w:val="333333"/>
          <w:sz w:val="21"/>
          <w:szCs w:val="21"/>
        </w:rPr>
        <w:t> 受托人应当制定并执行交易对手选择标准,并经委托人认可。除券款兑付交易外，受托人应当选择信用评级在A级或者相当于A级以上的机构。</w:t>
      </w:r>
    </w:p>
    <w:p w14:paraId="232FB05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受托人应当按照委托人最佳利益原则，选择经营规范、声誉良好的境外证券服务机构代理证券买卖，合理分配保险资金证券交易，确保交易质量，控制交易成本，并向委托人披露证券经营机构、证券经纪业务代理人的业务费用收取情况或者返还名称及收付方式。</w:t>
      </w:r>
    </w:p>
    <w:p w14:paraId="778BEBC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第二十四条</w:t>
      </w:r>
      <w:r>
        <w:rPr>
          <w:rFonts w:ascii="微软雅黑" w:eastAsia="微软雅黑" w:hAnsi="微软雅黑" w:hint="eastAsia"/>
          <w:color w:val="333333"/>
          <w:sz w:val="21"/>
          <w:szCs w:val="21"/>
        </w:rPr>
        <w:t> 托管人应当根据托管资产类别、规模及提供服务内容，合理收取托管费用。</w:t>
      </w:r>
    </w:p>
    <w:p w14:paraId="4DE09DF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托管代理人履职过程中，因自身过错、疏忽等原因，导致保险资金境外投资损失的，托管人应当承担相应责任。</w:t>
      </w:r>
    </w:p>
    <w:p w14:paraId="3D18C57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第二十五条</w:t>
      </w:r>
      <w:r>
        <w:rPr>
          <w:rFonts w:ascii="微软雅黑" w:eastAsia="微软雅黑" w:hAnsi="微软雅黑" w:hint="eastAsia"/>
          <w:color w:val="333333"/>
          <w:sz w:val="21"/>
          <w:szCs w:val="21"/>
        </w:rPr>
        <w:t> 托管人或者托管代理人应当妥善保管托管资产所有权文件正本或者证明全部所有权的文件正本，投资所在地法律法规另有规定的，从其规定。</w:t>
      </w:r>
    </w:p>
    <w:p w14:paraId="7A5BB9DF"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第二十六条</w:t>
      </w:r>
      <w:r>
        <w:rPr>
          <w:rFonts w:ascii="微软雅黑" w:eastAsia="微软雅黑" w:hAnsi="微软雅黑" w:hint="eastAsia"/>
          <w:color w:val="333333"/>
          <w:sz w:val="21"/>
          <w:szCs w:val="21"/>
        </w:rPr>
        <w:t> 委托人与受托人、托管人签订协议，应当符合监管要求及一般惯例，适用中华人民共和国或者中国香港特别行政区法律，并由中国境内或者香港特别行政区的仲裁机构裁决。</w:t>
      </w:r>
    </w:p>
    <w:p w14:paraId="2BF68BD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前款所称协议，应当由律师事务所具有3年以上相关执业经验的专业律师出具法律意见。</w:t>
      </w:r>
    </w:p>
    <w:p w14:paraId="2C5F52E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第二十七条</w:t>
      </w:r>
      <w:r>
        <w:rPr>
          <w:rFonts w:ascii="微软雅黑" w:eastAsia="微软雅黑" w:hAnsi="微软雅黑" w:hint="eastAsia"/>
          <w:color w:val="333333"/>
          <w:sz w:val="21"/>
          <w:szCs w:val="21"/>
        </w:rPr>
        <w:t> 保险资金境外投资当事人，不得发生合法佣金、税费之外的任何利益输送行为，不得利用保险资金获取不正当利益。</w:t>
      </w:r>
    </w:p>
    <w:p w14:paraId="5FFC50AB"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第二十八条</w:t>
      </w:r>
      <w:r>
        <w:rPr>
          <w:rFonts w:ascii="微软雅黑" w:eastAsia="微软雅黑" w:hAnsi="微软雅黑" w:hint="eastAsia"/>
          <w:color w:val="333333"/>
          <w:sz w:val="21"/>
          <w:szCs w:val="21"/>
        </w:rPr>
        <w:t> 保险资金境外投资不动产和未上市企业股权，应当参照境内同类品种相关监管规定，规范投资行为，加强后续管理，防范投资风险、经营风险和市场风险。</w:t>
      </w:r>
    </w:p>
    <w:p w14:paraId="6DAF8769"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第二十九条</w:t>
      </w:r>
      <w:r>
        <w:rPr>
          <w:rFonts w:ascii="微软雅黑" w:eastAsia="微软雅黑" w:hAnsi="微软雅黑" w:hint="eastAsia"/>
          <w:color w:val="333333"/>
          <w:sz w:val="21"/>
          <w:szCs w:val="21"/>
        </w:rPr>
        <w:t> 保险资金境外投资，可以运用利率远期、利率掉期、利率期货、外汇远期、外汇掉期、股指期货、买入股指期权等衍生产品规避投资风险，并遵守下列规定：</w:t>
      </w:r>
    </w:p>
    <w:p w14:paraId="01EAB87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（一）不得进行投机，衍生产品合约标的物价值总额，不得超过需对冲风险基础资产的102%；</w:t>
      </w:r>
    </w:p>
    <w:p w14:paraId="24B26CBE"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lastRenderedPageBreak/>
        <w:t xml:space="preserve">　　（二）运用金融衍生产品支付的各项费用、期权费和保证金等的总额，不超过各项需对冲风险基础资产的10%；</w:t>
      </w:r>
    </w:p>
    <w:p w14:paraId="6C02768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（三）每个工作日应当对场外交易合约进行估值，与任一场外交易对手的市值计价敞口，不超过上年末总资产的1%；</w:t>
      </w:r>
    </w:p>
    <w:p w14:paraId="358966FE"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（四）场外交易对手已与受托人签订《国际掉期与衍生品主合同》（ISDA Master Agreement），并经委托人认可和授权。利率期货、股指期货和买入股指期权限于附件2所列交易所上市交易。</w:t>
      </w:r>
    </w:p>
    <w:p w14:paraId="7340EB39"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投资指引应当明确衍生品交易的范围、种类、风险限额要求、交易对手选择、特别事项审批、信息提供与报告制度等事项。</w:t>
      </w:r>
    </w:p>
    <w:p w14:paraId="1C8CD874" w14:textId="77777777" w:rsidR="006007BF" w:rsidRDefault="006007BF" w:rsidP="006007BF">
      <w:pPr>
        <w:pStyle w:val="a3"/>
        <w:shd w:val="clear" w:color="auto" w:fill="FEFEFE"/>
        <w:spacing w:before="0" w:beforeAutospacing="0" w:after="0" w:afterAutospacing="0"/>
        <w:jc w:val="center"/>
        <w:rPr>
          <w:rFonts w:ascii="微软雅黑" w:eastAsia="微软雅黑" w:hAnsi="微软雅黑"/>
          <w:color w:val="333333"/>
          <w:sz w:val="21"/>
          <w:szCs w:val="21"/>
        </w:rPr>
      </w:pPr>
      <w:r>
        <w:rPr>
          <w:rStyle w:val="a4"/>
          <w:rFonts w:ascii="微软雅黑" w:eastAsia="微软雅黑" w:hAnsi="微软雅黑" w:hint="eastAsia"/>
          <w:color w:val="333333"/>
          <w:sz w:val="21"/>
          <w:szCs w:val="21"/>
        </w:rPr>
        <w:t xml:space="preserve">　　第五章 监督管理</w:t>
      </w:r>
    </w:p>
    <w:p w14:paraId="62589F7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第三十条</w:t>
      </w:r>
      <w:r>
        <w:rPr>
          <w:rFonts w:ascii="微软雅黑" w:eastAsia="微软雅黑" w:hAnsi="微软雅黑" w:hint="eastAsia"/>
          <w:color w:val="333333"/>
          <w:sz w:val="21"/>
          <w:szCs w:val="21"/>
        </w:rPr>
        <w:t> 委托人应当按照规定，向中国保监会报告下列事项：</w:t>
      </w:r>
    </w:p>
    <w:p w14:paraId="7CE9D94A"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重大报告。签订资产委托管理协议和托管协议，签订和调整投资指引，应当在5个工作日内报告；受托人和托管人发生重大突发事件，或者投资市场发生影响保险资产安全和投资业绩的重大突发事件，应当在3个工作日内报告，报告事项应当至少包括资产保全和风险防范措施；</w:t>
      </w:r>
    </w:p>
    <w:p w14:paraId="3241D5E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（二）季度报告。每季度结束后30个工作日内，报告境外投资情况、风险评估报告、境外投资结算账户余额和收支情况及关联交易；</w:t>
      </w:r>
    </w:p>
    <w:p w14:paraId="22B80006"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（三）年度报告。每年4月30日前，报告上一年度受托人和托管人管理保险资金的评估报告；</w:t>
      </w:r>
    </w:p>
    <w:p w14:paraId="07E5986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（四）中国保监会规定的其他事项。</w:t>
      </w:r>
    </w:p>
    <w:p w14:paraId="0E13B5E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第三十一条</w:t>
      </w:r>
      <w:r>
        <w:rPr>
          <w:rFonts w:ascii="微软雅黑" w:eastAsia="微软雅黑" w:hAnsi="微软雅黑" w:hint="eastAsia"/>
          <w:color w:val="333333"/>
          <w:sz w:val="21"/>
          <w:szCs w:val="21"/>
        </w:rPr>
        <w:t> 保险机构开展境外股权和不动产投资，应当参照境内相关规定，履行核准或者报告义务。</w:t>
      </w:r>
    </w:p>
    <w:p w14:paraId="253631A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第三十二条</w:t>
      </w:r>
      <w:r>
        <w:rPr>
          <w:rFonts w:ascii="微软雅黑" w:eastAsia="微软雅黑" w:hAnsi="微软雅黑" w:hint="eastAsia"/>
          <w:color w:val="333333"/>
          <w:sz w:val="21"/>
          <w:szCs w:val="21"/>
        </w:rPr>
        <w:t> 托管人应当按照规定，向中国保监会报告下列事项：</w:t>
      </w:r>
    </w:p>
    <w:p w14:paraId="2B1B2870"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（一）重大报告。变更境外托管代理人，应当在5个工作日内报告；</w:t>
      </w:r>
    </w:p>
    <w:p w14:paraId="4BEB0B95"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（二）月度报告。每月结束后10个工作日内，报告保险资金境外投资月度托管情况；</w:t>
      </w:r>
    </w:p>
    <w:p w14:paraId="13282421"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（三）年度报告。每年4月30日前，报送会计师事务所出具的上一年度公司财务报告和内部控制审计报告。</w:t>
      </w:r>
    </w:p>
    <w:p w14:paraId="05FEC708"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受托人、托管人应当按照有关协议规定，向委托人充分披露相关信息，披露内容应当不少于本细则相关规定，且不得有虚假记载、误导性陈述或者重大遗漏。</w:t>
      </w:r>
    </w:p>
    <w:p w14:paraId="1A26247F"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本细则所称会计师事务所，是指具有境内外相关行业审计经验、信誉良好并被广泛认可的会计师事务所。</w:t>
      </w:r>
    </w:p>
    <w:p w14:paraId="4452E484"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第三十三条</w:t>
      </w:r>
      <w:r>
        <w:rPr>
          <w:rFonts w:ascii="微软雅黑" w:eastAsia="微软雅黑" w:hAnsi="微软雅黑" w:hint="eastAsia"/>
          <w:color w:val="333333"/>
          <w:sz w:val="21"/>
          <w:szCs w:val="21"/>
        </w:rPr>
        <w:t> 保险资金境外投资当事人，违反法律、行政法规及本细则规定的，中国保监会将依法对该机构和相关人员予以处罚。</w:t>
      </w:r>
    </w:p>
    <w:p w14:paraId="3B1587A0" w14:textId="77777777" w:rsidR="006007BF" w:rsidRDefault="006007BF" w:rsidP="006007BF">
      <w:pPr>
        <w:pStyle w:val="a3"/>
        <w:shd w:val="clear" w:color="auto" w:fill="FEFEFE"/>
        <w:spacing w:before="0" w:beforeAutospacing="0" w:after="0" w:afterAutospacing="0"/>
        <w:jc w:val="center"/>
        <w:rPr>
          <w:rFonts w:ascii="微软雅黑" w:eastAsia="微软雅黑" w:hAnsi="微软雅黑"/>
          <w:color w:val="333333"/>
          <w:sz w:val="21"/>
          <w:szCs w:val="21"/>
        </w:rPr>
      </w:pPr>
      <w:r>
        <w:rPr>
          <w:rStyle w:val="a4"/>
          <w:rFonts w:ascii="微软雅黑" w:eastAsia="微软雅黑" w:hAnsi="微软雅黑" w:hint="eastAsia"/>
          <w:color w:val="333333"/>
          <w:sz w:val="21"/>
          <w:szCs w:val="21"/>
        </w:rPr>
        <w:t xml:space="preserve">　　第六章 附 则</w:t>
      </w:r>
    </w:p>
    <w:p w14:paraId="4400DFA3" w14:textId="77777777" w:rsidR="006007BF" w:rsidRDefault="006007BF" w:rsidP="006007BF">
      <w:pPr>
        <w:pStyle w:val="a3"/>
        <w:shd w:val="clear" w:color="auto" w:fill="FEFEFE"/>
        <w:spacing w:before="0" w:beforeAutospacing="0" w:after="0" w:afterAutospacing="0"/>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b/>
          <w:bCs/>
          <w:color w:val="333333"/>
          <w:sz w:val="21"/>
          <w:szCs w:val="21"/>
        </w:rPr>
        <w:t>第三十四条</w:t>
      </w:r>
      <w:r>
        <w:rPr>
          <w:rFonts w:ascii="微软雅黑" w:eastAsia="微软雅黑" w:hAnsi="微软雅黑" w:hint="eastAsia"/>
          <w:color w:val="333333"/>
          <w:sz w:val="21"/>
          <w:szCs w:val="21"/>
        </w:rPr>
        <w:t> 保险资金投资境外以人民币计价发行的金融产品，境内以人民币或者外币计价发行，以境外金融工具或者其他资产为投资对象的金融工具，适用本细则。</w:t>
      </w:r>
    </w:p>
    <w:p w14:paraId="70905A3C" w14:textId="26FCD446" w:rsidR="006007BF" w:rsidRDefault="006007BF"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r>
        <w:rPr>
          <w:rFonts w:ascii="微软雅黑" w:eastAsia="微软雅黑" w:hAnsi="微软雅黑" w:hint="eastAsia"/>
          <w:b/>
          <w:bCs/>
          <w:color w:val="333333"/>
          <w:sz w:val="21"/>
          <w:szCs w:val="21"/>
        </w:rPr>
        <w:lastRenderedPageBreak/>
        <w:t>第三十五条</w:t>
      </w:r>
      <w:r>
        <w:rPr>
          <w:rFonts w:ascii="微软雅黑" w:eastAsia="微软雅黑" w:hAnsi="微软雅黑" w:hint="eastAsia"/>
          <w:color w:val="333333"/>
          <w:sz w:val="21"/>
          <w:szCs w:val="21"/>
        </w:rPr>
        <w:t> 本细则由中国保监会负责解释，自发布之日起施行。本细则施行前已经开展保险资金境外投资的当事人，应当在6个月内符合本细则的规定。</w:t>
      </w:r>
    </w:p>
    <w:p w14:paraId="3E9CF8AD" w14:textId="77777777" w:rsidR="0032126D" w:rsidRDefault="0032126D"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p>
    <w:p w14:paraId="57DBD642" w14:textId="77777777" w:rsidR="0032126D" w:rsidRDefault="0032126D"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p>
    <w:p w14:paraId="4709FC18" w14:textId="77777777" w:rsidR="0032126D" w:rsidRDefault="0032126D"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p>
    <w:p w14:paraId="0C9F71F8" w14:textId="0E0E08FA" w:rsidR="0032126D" w:rsidRDefault="0032126D"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r>
        <w:rPr>
          <w:rFonts w:ascii="微软雅黑" w:eastAsia="微软雅黑" w:hAnsi="微软雅黑" w:hint="eastAsia"/>
          <w:color w:val="333333"/>
          <w:sz w:val="21"/>
          <w:szCs w:val="21"/>
        </w:rPr>
        <w:t>附件1</w:t>
      </w:r>
    </w:p>
    <w:p w14:paraId="225C07CE" w14:textId="77777777" w:rsidR="002B09B9" w:rsidRPr="006D515A" w:rsidRDefault="002B09B9" w:rsidP="002B09B9">
      <w:pPr>
        <w:snapToGrid w:val="0"/>
        <w:spacing w:line="480" w:lineRule="exact"/>
        <w:jc w:val="center"/>
        <w:rPr>
          <w:rFonts w:ascii="长城小标宋体" w:eastAsia="长城小标宋体" w:hAnsi="Gungsuh"/>
          <w:sz w:val="44"/>
          <w:szCs w:val="36"/>
          <w:lang w:eastAsia="zh-CN"/>
        </w:rPr>
      </w:pPr>
      <w:r w:rsidRPr="006D515A">
        <w:rPr>
          <w:rFonts w:ascii="长城小标宋体" w:eastAsia="长城小标宋体" w:hAnsi="Gungsuh" w:hint="eastAsia"/>
          <w:sz w:val="44"/>
          <w:szCs w:val="36"/>
          <w:lang w:eastAsia="zh-CN"/>
        </w:rPr>
        <w:t>可投资国家或者地区</w:t>
      </w:r>
    </w:p>
    <w:p w14:paraId="3FA42302" w14:textId="77777777" w:rsidR="002B09B9" w:rsidRPr="006D515A" w:rsidRDefault="002B09B9" w:rsidP="002B09B9">
      <w:pPr>
        <w:snapToGrid w:val="0"/>
        <w:spacing w:line="480" w:lineRule="exact"/>
        <w:rPr>
          <w:rFonts w:hAnsi="Gungsuh"/>
          <w:szCs w:val="32"/>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2969"/>
        <w:gridCol w:w="2969"/>
      </w:tblGrid>
      <w:tr w:rsidR="002B09B9" w:rsidRPr="006D515A" w14:paraId="22EB1061" w14:textId="77777777" w:rsidTr="004070D7">
        <w:trPr>
          <w:jc w:val="center"/>
        </w:trPr>
        <w:tc>
          <w:tcPr>
            <w:tcW w:w="8907" w:type="dxa"/>
            <w:gridSpan w:val="3"/>
            <w:vAlign w:val="center"/>
          </w:tcPr>
          <w:p w14:paraId="16DFCDE9" w14:textId="77777777" w:rsidR="002B09B9" w:rsidRPr="00245E84" w:rsidRDefault="002B09B9" w:rsidP="004070D7">
            <w:pPr>
              <w:snapToGrid w:val="0"/>
              <w:spacing w:line="480" w:lineRule="exact"/>
              <w:rPr>
                <w:rFonts w:ascii="黑体" w:eastAsia="黑体" w:hAnsi="Gungsuh"/>
                <w:szCs w:val="32"/>
              </w:rPr>
            </w:pPr>
            <w:proofErr w:type="spellStart"/>
            <w:r w:rsidRPr="00245E84">
              <w:rPr>
                <w:rFonts w:ascii="黑体" w:eastAsia="黑体" w:hAnsi="Gungsuh" w:hint="eastAsia"/>
                <w:szCs w:val="32"/>
              </w:rPr>
              <w:t>一、发达市场</w:t>
            </w:r>
            <w:proofErr w:type="spellEnd"/>
          </w:p>
        </w:tc>
      </w:tr>
      <w:tr w:rsidR="002B09B9" w:rsidRPr="006D515A" w14:paraId="3F63F0CC" w14:textId="77777777" w:rsidTr="004070D7">
        <w:trPr>
          <w:jc w:val="center"/>
        </w:trPr>
        <w:tc>
          <w:tcPr>
            <w:tcW w:w="2969" w:type="dxa"/>
            <w:vAlign w:val="center"/>
          </w:tcPr>
          <w:p w14:paraId="2EE01D93"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澳大利亚</w:t>
            </w:r>
            <w:proofErr w:type="spellEnd"/>
          </w:p>
        </w:tc>
        <w:tc>
          <w:tcPr>
            <w:tcW w:w="2969" w:type="dxa"/>
            <w:vAlign w:val="center"/>
          </w:tcPr>
          <w:p w14:paraId="66DB5D0D"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香港</w:t>
            </w:r>
            <w:proofErr w:type="spellEnd"/>
          </w:p>
        </w:tc>
        <w:tc>
          <w:tcPr>
            <w:tcW w:w="2969" w:type="dxa"/>
            <w:vAlign w:val="center"/>
          </w:tcPr>
          <w:p w14:paraId="088DB4F6"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葡萄牙</w:t>
            </w:r>
            <w:proofErr w:type="spellEnd"/>
          </w:p>
        </w:tc>
      </w:tr>
      <w:tr w:rsidR="002B09B9" w:rsidRPr="006D515A" w14:paraId="79878CFC" w14:textId="77777777" w:rsidTr="004070D7">
        <w:trPr>
          <w:jc w:val="center"/>
        </w:trPr>
        <w:tc>
          <w:tcPr>
            <w:tcW w:w="2969" w:type="dxa"/>
            <w:vAlign w:val="center"/>
          </w:tcPr>
          <w:p w14:paraId="78199B1F"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奥地利</w:t>
            </w:r>
            <w:proofErr w:type="spellEnd"/>
          </w:p>
        </w:tc>
        <w:tc>
          <w:tcPr>
            <w:tcW w:w="2969" w:type="dxa"/>
            <w:vAlign w:val="center"/>
          </w:tcPr>
          <w:p w14:paraId="0960EC60"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爱尔兰</w:t>
            </w:r>
            <w:proofErr w:type="spellEnd"/>
          </w:p>
        </w:tc>
        <w:tc>
          <w:tcPr>
            <w:tcW w:w="2969" w:type="dxa"/>
            <w:vAlign w:val="center"/>
          </w:tcPr>
          <w:p w14:paraId="6658D8F1"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新加坡</w:t>
            </w:r>
            <w:proofErr w:type="spellEnd"/>
          </w:p>
        </w:tc>
      </w:tr>
      <w:tr w:rsidR="002B09B9" w:rsidRPr="006D515A" w14:paraId="7CAA33FB" w14:textId="77777777" w:rsidTr="004070D7">
        <w:trPr>
          <w:jc w:val="center"/>
        </w:trPr>
        <w:tc>
          <w:tcPr>
            <w:tcW w:w="2969" w:type="dxa"/>
            <w:vAlign w:val="center"/>
          </w:tcPr>
          <w:p w14:paraId="60388DEA"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比利时</w:t>
            </w:r>
            <w:proofErr w:type="spellEnd"/>
          </w:p>
        </w:tc>
        <w:tc>
          <w:tcPr>
            <w:tcW w:w="2969" w:type="dxa"/>
            <w:vAlign w:val="center"/>
          </w:tcPr>
          <w:p w14:paraId="74A93946"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以色列</w:t>
            </w:r>
            <w:proofErr w:type="spellEnd"/>
          </w:p>
        </w:tc>
        <w:tc>
          <w:tcPr>
            <w:tcW w:w="2969" w:type="dxa"/>
            <w:vAlign w:val="center"/>
          </w:tcPr>
          <w:p w14:paraId="1B072885"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西班牙</w:t>
            </w:r>
            <w:proofErr w:type="spellEnd"/>
          </w:p>
        </w:tc>
      </w:tr>
      <w:tr w:rsidR="002B09B9" w:rsidRPr="006D515A" w14:paraId="0A63849E" w14:textId="77777777" w:rsidTr="004070D7">
        <w:trPr>
          <w:jc w:val="center"/>
        </w:trPr>
        <w:tc>
          <w:tcPr>
            <w:tcW w:w="2969" w:type="dxa"/>
            <w:vAlign w:val="center"/>
          </w:tcPr>
          <w:p w14:paraId="289910D5"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加拿大</w:t>
            </w:r>
            <w:proofErr w:type="spellEnd"/>
          </w:p>
        </w:tc>
        <w:tc>
          <w:tcPr>
            <w:tcW w:w="2969" w:type="dxa"/>
            <w:vAlign w:val="center"/>
          </w:tcPr>
          <w:p w14:paraId="13277D65"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意大利</w:t>
            </w:r>
            <w:proofErr w:type="spellEnd"/>
          </w:p>
        </w:tc>
        <w:tc>
          <w:tcPr>
            <w:tcW w:w="2969" w:type="dxa"/>
            <w:vAlign w:val="center"/>
          </w:tcPr>
          <w:p w14:paraId="6D024024"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瑞典</w:t>
            </w:r>
            <w:proofErr w:type="spellEnd"/>
          </w:p>
        </w:tc>
      </w:tr>
      <w:tr w:rsidR="002B09B9" w:rsidRPr="006D515A" w14:paraId="798BB9DF" w14:textId="77777777" w:rsidTr="004070D7">
        <w:trPr>
          <w:jc w:val="center"/>
        </w:trPr>
        <w:tc>
          <w:tcPr>
            <w:tcW w:w="2969" w:type="dxa"/>
            <w:vAlign w:val="center"/>
          </w:tcPr>
          <w:p w14:paraId="26E3454A"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丹麦</w:t>
            </w:r>
            <w:proofErr w:type="spellEnd"/>
          </w:p>
        </w:tc>
        <w:tc>
          <w:tcPr>
            <w:tcW w:w="2969" w:type="dxa"/>
            <w:vAlign w:val="center"/>
          </w:tcPr>
          <w:p w14:paraId="77E601F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日本</w:t>
            </w:r>
            <w:proofErr w:type="spellEnd"/>
          </w:p>
        </w:tc>
        <w:tc>
          <w:tcPr>
            <w:tcW w:w="2969" w:type="dxa"/>
            <w:vAlign w:val="center"/>
          </w:tcPr>
          <w:p w14:paraId="4DE5877E"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瑞士</w:t>
            </w:r>
            <w:proofErr w:type="spellEnd"/>
          </w:p>
        </w:tc>
      </w:tr>
      <w:tr w:rsidR="002B09B9" w:rsidRPr="006D515A" w14:paraId="0BABA989" w14:textId="77777777" w:rsidTr="004070D7">
        <w:trPr>
          <w:jc w:val="center"/>
        </w:trPr>
        <w:tc>
          <w:tcPr>
            <w:tcW w:w="2969" w:type="dxa"/>
            <w:vAlign w:val="center"/>
          </w:tcPr>
          <w:p w14:paraId="00669CB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芬兰</w:t>
            </w:r>
            <w:proofErr w:type="spellEnd"/>
          </w:p>
        </w:tc>
        <w:tc>
          <w:tcPr>
            <w:tcW w:w="2969" w:type="dxa"/>
            <w:vAlign w:val="center"/>
          </w:tcPr>
          <w:p w14:paraId="7B9615BA"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荷兰</w:t>
            </w:r>
            <w:proofErr w:type="spellEnd"/>
          </w:p>
        </w:tc>
        <w:tc>
          <w:tcPr>
            <w:tcW w:w="2969" w:type="dxa"/>
            <w:vAlign w:val="center"/>
          </w:tcPr>
          <w:p w14:paraId="47CC8233"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英国</w:t>
            </w:r>
            <w:proofErr w:type="spellEnd"/>
          </w:p>
        </w:tc>
      </w:tr>
      <w:tr w:rsidR="002B09B9" w:rsidRPr="006D515A" w14:paraId="290D1261" w14:textId="77777777" w:rsidTr="004070D7">
        <w:trPr>
          <w:jc w:val="center"/>
        </w:trPr>
        <w:tc>
          <w:tcPr>
            <w:tcW w:w="2969" w:type="dxa"/>
            <w:vAlign w:val="center"/>
          </w:tcPr>
          <w:p w14:paraId="5393996D"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法国</w:t>
            </w:r>
            <w:proofErr w:type="spellEnd"/>
          </w:p>
        </w:tc>
        <w:tc>
          <w:tcPr>
            <w:tcW w:w="2969" w:type="dxa"/>
            <w:vAlign w:val="center"/>
          </w:tcPr>
          <w:p w14:paraId="6071CE53"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卢森堡</w:t>
            </w:r>
            <w:proofErr w:type="spellEnd"/>
          </w:p>
        </w:tc>
        <w:tc>
          <w:tcPr>
            <w:tcW w:w="2969" w:type="dxa"/>
            <w:vAlign w:val="center"/>
          </w:tcPr>
          <w:p w14:paraId="09053D4B"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美国</w:t>
            </w:r>
            <w:proofErr w:type="spellEnd"/>
          </w:p>
        </w:tc>
      </w:tr>
      <w:tr w:rsidR="002B09B9" w:rsidRPr="006D515A" w14:paraId="4B702B71" w14:textId="77777777" w:rsidTr="004070D7">
        <w:trPr>
          <w:jc w:val="center"/>
        </w:trPr>
        <w:tc>
          <w:tcPr>
            <w:tcW w:w="2969" w:type="dxa"/>
            <w:vAlign w:val="center"/>
          </w:tcPr>
          <w:p w14:paraId="7586EC8D"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德国</w:t>
            </w:r>
            <w:proofErr w:type="spellEnd"/>
          </w:p>
        </w:tc>
        <w:tc>
          <w:tcPr>
            <w:tcW w:w="2969" w:type="dxa"/>
            <w:vAlign w:val="center"/>
          </w:tcPr>
          <w:p w14:paraId="542DCAD8"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新西兰</w:t>
            </w:r>
            <w:proofErr w:type="spellEnd"/>
          </w:p>
        </w:tc>
        <w:tc>
          <w:tcPr>
            <w:tcW w:w="2969" w:type="dxa"/>
            <w:vAlign w:val="center"/>
          </w:tcPr>
          <w:p w14:paraId="7BCB906A" w14:textId="77777777" w:rsidR="002B09B9" w:rsidRPr="006D515A" w:rsidRDefault="002B09B9" w:rsidP="004070D7">
            <w:pPr>
              <w:snapToGrid w:val="0"/>
              <w:spacing w:line="480" w:lineRule="exact"/>
              <w:jc w:val="center"/>
              <w:rPr>
                <w:rFonts w:hAnsi="Gungsuh"/>
                <w:szCs w:val="32"/>
              </w:rPr>
            </w:pPr>
          </w:p>
        </w:tc>
      </w:tr>
      <w:tr w:rsidR="002B09B9" w:rsidRPr="006D515A" w14:paraId="1A23547F" w14:textId="77777777" w:rsidTr="004070D7">
        <w:trPr>
          <w:jc w:val="center"/>
        </w:trPr>
        <w:tc>
          <w:tcPr>
            <w:tcW w:w="2969" w:type="dxa"/>
            <w:vAlign w:val="center"/>
          </w:tcPr>
          <w:p w14:paraId="293F6E56"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希腊</w:t>
            </w:r>
            <w:proofErr w:type="spellEnd"/>
          </w:p>
        </w:tc>
        <w:tc>
          <w:tcPr>
            <w:tcW w:w="2969" w:type="dxa"/>
            <w:vAlign w:val="center"/>
          </w:tcPr>
          <w:p w14:paraId="01789C6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挪威</w:t>
            </w:r>
            <w:proofErr w:type="spellEnd"/>
          </w:p>
        </w:tc>
        <w:tc>
          <w:tcPr>
            <w:tcW w:w="2969" w:type="dxa"/>
            <w:vAlign w:val="center"/>
          </w:tcPr>
          <w:p w14:paraId="0B14057D" w14:textId="77777777" w:rsidR="002B09B9" w:rsidRPr="006D515A" w:rsidRDefault="002B09B9" w:rsidP="004070D7">
            <w:pPr>
              <w:snapToGrid w:val="0"/>
              <w:spacing w:line="480" w:lineRule="exact"/>
              <w:jc w:val="center"/>
              <w:rPr>
                <w:rFonts w:hAnsi="Gungsuh"/>
                <w:szCs w:val="32"/>
              </w:rPr>
            </w:pPr>
          </w:p>
        </w:tc>
      </w:tr>
      <w:tr w:rsidR="002B09B9" w:rsidRPr="006D515A" w14:paraId="7266492F" w14:textId="77777777" w:rsidTr="004070D7">
        <w:trPr>
          <w:jc w:val="center"/>
        </w:trPr>
        <w:tc>
          <w:tcPr>
            <w:tcW w:w="8907" w:type="dxa"/>
            <w:gridSpan w:val="3"/>
            <w:vAlign w:val="center"/>
          </w:tcPr>
          <w:p w14:paraId="586D4113" w14:textId="77777777" w:rsidR="002B09B9" w:rsidRPr="00245E84" w:rsidRDefault="002B09B9" w:rsidP="004070D7">
            <w:pPr>
              <w:snapToGrid w:val="0"/>
              <w:spacing w:line="480" w:lineRule="exact"/>
              <w:rPr>
                <w:rFonts w:ascii="黑体" w:eastAsia="黑体" w:hAnsi="Gungsuh"/>
                <w:szCs w:val="32"/>
              </w:rPr>
            </w:pPr>
            <w:proofErr w:type="spellStart"/>
            <w:r w:rsidRPr="00245E84">
              <w:rPr>
                <w:rFonts w:ascii="黑体" w:eastAsia="黑体" w:hAnsi="Gungsuh" w:hint="eastAsia"/>
                <w:szCs w:val="32"/>
              </w:rPr>
              <w:t>二、新兴市场</w:t>
            </w:r>
            <w:proofErr w:type="spellEnd"/>
          </w:p>
        </w:tc>
      </w:tr>
      <w:tr w:rsidR="002B09B9" w:rsidRPr="006D515A" w14:paraId="42A3D005" w14:textId="77777777" w:rsidTr="004070D7">
        <w:trPr>
          <w:jc w:val="center"/>
        </w:trPr>
        <w:tc>
          <w:tcPr>
            <w:tcW w:w="2969" w:type="dxa"/>
            <w:vAlign w:val="center"/>
          </w:tcPr>
          <w:p w14:paraId="5912790C"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巴西</w:t>
            </w:r>
            <w:proofErr w:type="spellEnd"/>
          </w:p>
        </w:tc>
        <w:tc>
          <w:tcPr>
            <w:tcW w:w="2969" w:type="dxa"/>
            <w:vAlign w:val="center"/>
          </w:tcPr>
          <w:p w14:paraId="34BAADA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印度尼西亚</w:t>
            </w:r>
            <w:proofErr w:type="spellEnd"/>
          </w:p>
        </w:tc>
        <w:tc>
          <w:tcPr>
            <w:tcW w:w="2969" w:type="dxa"/>
            <w:vAlign w:val="center"/>
          </w:tcPr>
          <w:p w14:paraId="78A3E56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波兰</w:t>
            </w:r>
            <w:proofErr w:type="spellEnd"/>
          </w:p>
        </w:tc>
      </w:tr>
      <w:tr w:rsidR="002B09B9" w:rsidRPr="006D515A" w14:paraId="7EE1966C" w14:textId="77777777" w:rsidTr="004070D7">
        <w:trPr>
          <w:jc w:val="center"/>
        </w:trPr>
        <w:tc>
          <w:tcPr>
            <w:tcW w:w="2969" w:type="dxa"/>
            <w:vAlign w:val="center"/>
          </w:tcPr>
          <w:p w14:paraId="21702D8E"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智利</w:t>
            </w:r>
            <w:proofErr w:type="spellEnd"/>
          </w:p>
        </w:tc>
        <w:tc>
          <w:tcPr>
            <w:tcW w:w="2969" w:type="dxa"/>
            <w:vAlign w:val="center"/>
          </w:tcPr>
          <w:p w14:paraId="67905CFA"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韩国</w:t>
            </w:r>
            <w:proofErr w:type="spellEnd"/>
          </w:p>
        </w:tc>
        <w:tc>
          <w:tcPr>
            <w:tcW w:w="2969" w:type="dxa"/>
            <w:vAlign w:val="center"/>
          </w:tcPr>
          <w:p w14:paraId="284BCC19"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俄罗斯</w:t>
            </w:r>
            <w:proofErr w:type="spellEnd"/>
          </w:p>
        </w:tc>
      </w:tr>
      <w:tr w:rsidR="002B09B9" w:rsidRPr="006D515A" w14:paraId="1E73FA15" w14:textId="77777777" w:rsidTr="004070D7">
        <w:trPr>
          <w:jc w:val="center"/>
        </w:trPr>
        <w:tc>
          <w:tcPr>
            <w:tcW w:w="2969" w:type="dxa"/>
            <w:vAlign w:val="center"/>
          </w:tcPr>
          <w:p w14:paraId="2F54A80B"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哥伦比亚</w:t>
            </w:r>
            <w:proofErr w:type="spellEnd"/>
          </w:p>
        </w:tc>
        <w:tc>
          <w:tcPr>
            <w:tcW w:w="2969" w:type="dxa"/>
            <w:vAlign w:val="center"/>
          </w:tcPr>
          <w:p w14:paraId="5DBF7CBF"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马来西亚</w:t>
            </w:r>
            <w:proofErr w:type="spellEnd"/>
          </w:p>
        </w:tc>
        <w:tc>
          <w:tcPr>
            <w:tcW w:w="2969" w:type="dxa"/>
            <w:vAlign w:val="center"/>
          </w:tcPr>
          <w:p w14:paraId="1621818F"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南非</w:t>
            </w:r>
            <w:proofErr w:type="spellEnd"/>
          </w:p>
        </w:tc>
      </w:tr>
      <w:tr w:rsidR="002B09B9" w:rsidRPr="006D515A" w14:paraId="64141548" w14:textId="77777777" w:rsidTr="004070D7">
        <w:trPr>
          <w:jc w:val="center"/>
        </w:trPr>
        <w:tc>
          <w:tcPr>
            <w:tcW w:w="2969" w:type="dxa"/>
            <w:vAlign w:val="center"/>
          </w:tcPr>
          <w:p w14:paraId="624DB4C5"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lastRenderedPageBreak/>
              <w:t>捷克共和国</w:t>
            </w:r>
            <w:proofErr w:type="spellEnd"/>
          </w:p>
        </w:tc>
        <w:tc>
          <w:tcPr>
            <w:tcW w:w="2969" w:type="dxa"/>
            <w:vAlign w:val="center"/>
          </w:tcPr>
          <w:p w14:paraId="5A1CCBCC"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墨西哥</w:t>
            </w:r>
            <w:proofErr w:type="spellEnd"/>
          </w:p>
        </w:tc>
        <w:tc>
          <w:tcPr>
            <w:tcW w:w="2969" w:type="dxa"/>
            <w:vAlign w:val="center"/>
          </w:tcPr>
          <w:p w14:paraId="1DC32FF9"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台湾</w:t>
            </w:r>
            <w:proofErr w:type="spellEnd"/>
          </w:p>
        </w:tc>
      </w:tr>
      <w:tr w:rsidR="002B09B9" w:rsidRPr="006D515A" w14:paraId="15858E93" w14:textId="77777777" w:rsidTr="004070D7">
        <w:trPr>
          <w:jc w:val="center"/>
        </w:trPr>
        <w:tc>
          <w:tcPr>
            <w:tcW w:w="2969" w:type="dxa"/>
            <w:vAlign w:val="center"/>
          </w:tcPr>
          <w:p w14:paraId="71816357"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埃及</w:t>
            </w:r>
            <w:proofErr w:type="spellEnd"/>
          </w:p>
        </w:tc>
        <w:tc>
          <w:tcPr>
            <w:tcW w:w="2969" w:type="dxa"/>
            <w:vAlign w:val="center"/>
          </w:tcPr>
          <w:p w14:paraId="0BCCE7EF"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摩洛哥</w:t>
            </w:r>
            <w:proofErr w:type="spellEnd"/>
          </w:p>
        </w:tc>
        <w:tc>
          <w:tcPr>
            <w:tcW w:w="2969" w:type="dxa"/>
            <w:vAlign w:val="center"/>
          </w:tcPr>
          <w:p w14:paraId="4EEA81E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泰国</w:t>
            </w:r>
            <w:proofErr w:type="spellEnd"/>
          </w:p>
        </w:tc>
      </w:tr>
      <w:tr w:rsidR="002B09B9" w:rsidRPr="006D515A" w14:paraId="6C885C16" w14:textId="77777777" w:rsidTr="004070D7">
        <w:trPr>
          <w:jc w:val="center"/>
        </w:trPr>
        <w:tc>
          <w:tcPr>
            <w:tcW w:w="2969" w:type="dxa"/>
            <w:vAlign w:val="center"/>
          </w:tcPr>
          <w:p w14:paraId="3FBB5E37"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匈牙利</w:t>
            </w:r>
            <w:proofErr w:type="spellEnd"/>
          </w:p>
        </w:tc>
        <w:tc>
          <w:tcPr>
            <w:tcW w:w="2969" w:type="dxa"/>
            <w:vAlign w:val="center"/>
          </w:tcPr>
          <w:p w14:paraId="121A4265"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秘鲁</w:t>
            </w:r>
            <w:proofErr w:type="spellEnd"/>
          </w:p>
        </w:tc>
        <w:tc>
          <w:tcPr>
            <w:tcW w:w="2969" w:type="dxa"/>
            <w:vAlign w:val="center"/>
          </w:tcPr>
          <w:p w14:paraId="1471CB13"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土耳其</w:t>
            </w:r>
            <w:proofErr w:type="spellEnd"/>
          </w:p>
        </w:tc>
      </w:tr>
      <w:tr w:rsidR="002B09B9" w:rsidRPr="006D515A" w14:paraId="7AEFE510" w14:textId="77777777" w:rsidTr="004070D7">
        <w:trPr>
          <w:jc w:val="center"/>
        </w:trPr>
        <w:tc>
          <w:tcPr>
            <w:tcW w:w="2969" w:type="dxa"/>
            <w:vAlign w:val="center"/>
          </w:tcPr>
          <w:p w14:paraId="46419D12"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印度</w:t>
            </w:r>
            <w:proofErr w:type="spellEnd"/>
          </w:p>
        </w:tc>
        <w:tc>
          <w:tcPr>
            <w:tcW w:w="2969" w:type="dxa"/>
            <w:vAlign w:val="center"/>
          </w:tcPr>
          <w:p w14:paraId="5E3396BA" w14:textId="77777777" w:rsidR="002B09B9" w:rsidRPr="006D515A" w:rsidRDefault="002B09B9" w:rsidP="004070D7">
            <w:pPr>
              <w:snapToGrid w:val="0"/>
              <w:spacing w:line="480" w:lineRule="exact"/>
              <w:jc w:val="center"/>
              <w:rPr>
                <w:rFonts w:hAnsi="Gungsuh"/>
                <w:szCs w:val="32"/>
              </w:rPr>
            </w:pPr>
            <w:proofErr w:type="spellStart"/>
            <w:r w:rsidRPr="006D515A">
              <w:rPr>
                <w:rFonts w:hAnsi="Gungsuh" w:hint="eastAsia"/>
                <w:szCs w:val="32"/>
              </w:rPr>
              <w:t>菲律宾</w:t>
            </w:r>
            <w:proofErr w:type="spellEnd"/>
          </w:p>
        </w:tc>
        <w:tc>
          <w:tcPr>
            <w:tcW w:w="2969" w:type="dxa"/>
            <w:vAlign w:val="center"/>
          </w:tcPr>
          <w:p w14:paraId="7C2A3994" w14:textId="77777777" w:rsidR="002B09B9" w:rsidRPr="006D515A" w:rsidRDefault="002B09B9" w:rsidP="004070D7">
            <w:pPr>
              <w:snapToGrid w:val="0"/>
              <w:spacing w:line="480" w:lineRule="exact"/>
              <w:jc w:val="center"/>
              <w:rPr>
                <w:rFonts w:hAnsi="Gungsuh"/>
                <w:szCs w:val="32"/>
              </w:rPr>
            </w:pPr>
          </w:p>
        </w:tc>
      </w:tr>
    </w:tbl>
    <w:p w14:paraId="60339238" w14:textId="77777777" w:rsidR="002B09B9" w:rsidRPr="006D515A" w:rsidRDefault="002B09B9" w:rsidP="002B09B9">
      <w:pPr>
        <w:snapToGrid w:val="0"/>
        <w:spacing w:line="480" w:lineRule="exact"/>
        <w:ind w:firstLineChars="168" w:firstLine="370"/>
        <w:rPr>
          <w:rFonts w:hAnsi="Gungsuh"/>
        </w:rPr>
      </w:pPr>
    </w:p>
    <w:p w14:paraId="357D4E7A" w14:textId="77777777" w:rsidR="002B09B9" w:rsidRDefault="002B09B9" w:rsidP="002B09B9"/>
    <w:p w14:paraId="4AAAC898" w14:textId="45ED18CE" w:rsidR="0032126D" w:rsidRDefault="002B09B9"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r>
        <w:rPr>
          <w:rFonts w:ascii="微软雅黑" w:eastAsia="微软雅黑" w:hAnsi="微软雅黑" w:hint="eastAsia"/>
          <w:color w:val="333333"/>
          <w:sz w:val="21"/>
          <w:szCs w:val="21"/>
        </w:rPr>
        <w:t>附件2</w:t>
      </w:r>
    </w:p>
    <w:p w14:paraId="1C7B04B1" w14:textId="77777777" w:rsidR="002B09B9" w:rsidRPr="006D515A" w:rsidRDefault="002B09B9" w:rsidP="002B09B9">
      <w:pPr>
        <w:snapToGrid w:val="0"/>
        <w:spacing w:line="480" w:lineRule="exact"/>
        <w:jc w:val="center"/>
        <w:rPr>
          <w:rFonts w:ascii="长城小标宋体" w:eastAsia="长城小标宋体" w:hAnsi="Gungsuh"/>
          <w:kern w:val="2"/>
          <w:sz w:val="44"/>
          <w:szCs w:val="36"/>
        </w:rPr>
      </w:pPr>
      <w:proofErr w:type="spellStart"/>
      <w:r w:rsidRPr="006D515A">
        <w:rPr>
          <w:rFonts w:ascii="长城小标宋体" w:eastAsia="长城小标宋体" w:hAnsi="Gungsuh" w:hint="eastAsia"/>
          <w:kern w:val="2"/>
          <w:sz w:val="44"/>
          <w:szCs w:val="36"/>
        </w:rPr>
        <w:t>期货期权交易所</w:t>
      </w:r>
      <w:proofErr w:type="spellEnd"/>
    </w:p>
    <w:p w14:paraId="366FC528" w14:textId="77777777" w:rsidR="002B09B9" w:rsidRPr="006D515A" w:rsidRDefault="002B09B9" w:rsidP="002B09B9">
      <w:pPr>
        <w:snapToGrid w:val="0"/>
        <w:spacing w:line="480" w:lineRule="exact"/>
        <w:rPr>
          <w:rFonts w:ascii="黑体" w:eastAsia="黑体" w:hAnsi="Gungsuh"/>
          <w:kern w:val="2"/>
        </w:rPr>
      </w:pPr>
    </w:p>
    <w:tbl>
      <w:tblPr>
        <w:tblW w:w="9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9"/>
        <w:gridCol w:w="5968"/>
      </w:tblGrid>
      <w:tr w:rsidR="002B09B9" w:rsidRPr="006D515A" w14:paraId="3A25D7D3" w14:textId="77777777" w:rsidTr="004070D7">
        <w:trPr>
          <w:trHeight w:val="853"/>
          <w:jc w:val="center"/>
        </w:trPr>
        <w:tc>
          <w:tcPr>
            <w:tcW w:w="3069" w:type="dxa"/>
            <w:vAlign w:val="center"/>
          </w:tcPr>
          <w:p w14:paraId="78EB549D" w14:textId="77777777" w:rsidR="002B09B9" w:rsidRPr="006D515A" w:rsidRDefault="002B09B9" w:rsidP="004070D7">
            <w:pPr>
              <w:snapToGrid w:val="0"/>
              <w:spacing w:line="480" w:lineRule="exact"/>
              <w:jc w:val="center"/>
              <w:rPr>
                <w:rFonts w:hAnsi="宋体" w:cs="宋体"/>
                <w:b/>
                <w:bCs/>
                <w:sz w:val="24"/>
                <w:szCs w:val="24"/>
              </w:rPr>
            </w:pPr>
            <w:proofErr w:type="spellStart"/>
            <w:r w:rsidRPr="006D515A">
              <w:rPr>
                <w:rFonts w:hAnsi="宋体" w:cs="宋体" w:hint="eastAsia"/>
                <w:b/>
                <w:bCs/>
                <w:sz w:val="24"/>
                <w:szCs w:val="24"/>
              </w:rPr>
              <w:t>国家（地区</w:t>
            </w:r>
            <w:proofErr w:type="spellEnd"/>
            <w:r w:rsidRPr="006D515A">
              <w:rPr>
                <w:rFonts w:hAnsi="宋体" w:cs="宋体" w:hint="eastAsia"/>
                <w:b/>
                <w:bCs/>
                <w:sz w:val="24"/>
                <w:szCs w:val="24"/>
              </w:rPr>
              <w:t>）</w:t>
            </w:r>
          </w:p>
        </w:tc>
        <w:tc>
          <w:tcPr>
            <w:tcW w:w="5968" w:type="dxa"/>
            <w:noWrap/>
            <w:vAlign w:val="center"/>
          </w:tcPr>
          <w:p w14:paraId="7719F701" w14:textId="77777777" w:rsidR="002B09B9" w:rsidRPr="006D515A" w:rsidRDefault="002B09B9" w:rsidP="004070D7">
            <w:pPr>
              <w:snapToGrid w:val="0"/>
              <w:spacing w:line="480" w:lineRule="exact"/>
              <w:jc w:val="center"/>
              <w:rPr>
                <w:rFonts w:hAnsi="宋体" w:cs="宋体"/>
                <w:b/>
                <w:bCs/>
                <w:sz w:val="24"/>
                <w:szCs w:val="24"/>
              </w:rPr>
            </w:pPr>
            <w:proofErr w:type="spellStart"/>
            <w:r w:rsidRPr="006D515A">
              <w:rPr>
                <w:rFonts w:hAnsi="宋体" w:cs="宋体" w:hint="eastAsia"/>
                <w:b/>
                <w:bCs/>
                <w:sz w:val="24"/>
                <w:szCs w:val="24"/>
              </w:rPr>
              <w:t>交易所名称</w:t>
            </w:r>
            <w:proofErr w:type="spellEnd"/>
          </w:p>
        </w:tc>
      </w:tr>
      <w:tr w:rsidR="002B09B9" w:rsidRPr="006D515A" w14:paraId="092C9AF8" w14:textId="77777777" w:rsidTr="004070D7">
        <w:trPr>
          <w:trHeight w:val="585"/>
          <w:jc w:val="center"/>
        </w:trPr>
        <w:tc>
          <w:tcPr>
            <w:tcW w:w="3069" w:type="dxa"/>
            <w:noWrap/>
            <w:vAlign w:val="center"/>
          </w:tcPr>
          <w:p w14:paraId="58D59A3C"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美国</w:t>
            </w:r>
            <w:proofErr w:type="spellEnd"/>
          </w:p>
        </w:tc>
        <w:tc>
          <w:tcPr>
            <w:tcW w:w="5968" w:type="dxa"/>
            <w:noWrap/>
            <w:vAlign w:val="center"/>
          </w:tcPr>
          <w:p w14:paraId="158ACECF"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芝加哥商业交易所集团</w:t>
            </w:r>
            <w:proofErr w:type="spellEnd"/>
            <w:r w:rsidRPr="006D515A">
              <w:rPr>
                <w:rFonts w:hAnsi="宋体" w:cs="宋体" w:hint="eastAsia"/>
                <w:sz w:val="24"/>
                <w:szCs w:val="24"/>
              </w:rPr>
              <w:t xml:space="preserve">  CME</w:t>
            </w:r>
            <w:proofErr w:type="gramEnd"/>
            <w:r w:rsidRPr="006D515A">
              <w:rPr>
                <w:rFonts w:hAnsi="宋体" w:cs="宋体" w:hint="eastAsia"/>
                <w:sz w:val="24"/>
                <w:szCs w:val="24"/>
              </w:rPr>
              <w:t xml:space="preserve"> Group</w:t>
            </w:r>
          </w:p>
        </w:tc>
      </w:tr>
      <w:tr w:rsidR="002B09B9" w:rsidRPr="006D515A" w14:paraId="24FD8E3C" w14:textId="77777777" w:rsidTr="004070D7">
        <w:trPr>
          <w:trHeight w:val="585"/>
          <w:jc w:val="center"/>
        </w:trPr>
        <w:tc>
          <w:tcPr>
            <w:tcW w:w="3069" w:type="dxa"/>
            <w:noWrap/>
            <w:vAlign w:val="center"/>
          </w:tcPr>
          <w:p w14:paraId="0F41BF50"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澳大利亚</w:t>
            </w:r>
            <w:proofErr w:type="spellEnd"/>
          </w:p>
        </w:tc>
        <w:tc>
          <w:tcPr>
            <w:tcW w:w="5968" w:type="dxa"/>
            <w:noWrap/>
            <w:vAlign w:val="center"/>
          </w:tcPr>
          <w:p w14:paraId="685521C6"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悉尼期货交易所</w:t>
            </w:r>
            <w:proofErr w:type="spellEnd"/>
            <w:r w:rsidRPr="006D515A">
              <w:rPr>
                <w:rFonts w:hAnsi="宋体" w:cs="宋体" w:hint="eastAsia"/>
                <w:sz w:val="24"/>
                <w:szCs w:val="24"/>
              </w:rPr>
              <w:t xml:space="preserve">  Syndey</w:t>
            </w:r>
            <w:proofErr w:type="gramEnd"/>
            <w:r w:rsidRPr="006D515A">
              <w:rPr>
                <w:rFonts w:hAnsi="宋体" w:cs="宋体" w:hint="eastAsia"/>
                <w:sz w:val="24"/>
                <w:szCs w:val="24"/>
              </w:rPr>
              <w:t xml:space="preserve"> Futures </w:t>
            </w:r>
            <w:proofErr w:type="spellStart"/>
            <w:r w:rsidRPr="006D515A">
              <w:rPr>
                <w:rFonts w:hAnsi="宋体" w:cs="宋体" w:hint="eastAsia"/>
                <w:sz w:val="24"/>
                <w:szCs w:val="24"/>
              </w:rPr>
              <w:t>Exhange</w:t>
            </w:r>
            <w:proofErr w:type="spellEnd"/>
          </w:p>
        </w:tc>
      </w:tr>
      <w:tr w:rsidR="002B09B9" w:rsidRPr="006D515A" w14:paraId="1A45A079" w14:textId="77777777" w:rsidTr="004070D7">
        <w:trPr>
          <w:trHeight w:val="585"/>
          <w:jc w:val="center"/>
        </w:trPr>
        <w:tc>
          <w:tcPr>
            <w:tcW w:w="3069" w:type="dxa"/>
            <w:noWrap/>
            <w:vAlign w:val="center"/>
          </w:tcPr>
          <w:p w14:paraId="2E465D74"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比利时</w:t>
            </w:r>
            <w:proofErr w:type="spellEnd"/>
          </w:p>
        </w:tc>
        <w:tc>
          <w:tcPr>
            <w:tcW w:w="5968" w:type="dxa"/>
            <w:noWrap/>
            <w:vAlign w:val="center"/>
          </w:tcPr>
          <w:p w14:paraId="5C7BF3D2"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纽约泛欧交易所</w:t>
            </w:r>
            <w:proofErr w:type="spellEnd"/>
            <w:r w:rsidRPr="006D515A">
              <w:rPr>
                <w:rFonts w:hAnsi="宋体" w:cs="宋体" w:hint="eastAsia"/>
                <w:sz w:val="24"/>
                <w:szCs w:val="24"/>
              </w:rPr>
              <w:t xml:space="preserve"> NYSE Euronext Brussels</w:t>
            </w:r>
          </w:p>
        </w:tc>
      </w:tr>
      <w:tr w:rsidR="002B09B9" w:rsidRPr="006D515A" w14:paraId="3E94B531" w14:textId="77777777" w:rsidTr="004070D7">
        <w:trPr>
          <w:trHeight w:val="585"/>
          <w:jc w:val="center"/>
        </w:trPr>
        <w:tc>
          <w:tcPr>
            <w:tcW w:w="3069" w:type="dxa"/>
            <w:noWrap/>
            <w:vAlign w:val="center"/>
          </w:tcPr>
          <w:p w14:paraId="7C2A0BFC"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加拿大</w:t>
            </w:r>
            <w:proofErr w:type="spellEnd"/>
          </w:p>
        </w:tc>
        <w:tc>
          <w:tcPr>
            <w:tcW w:w="5968" w:type="dxa"/>
            <w:noWrap/>
            <w:vAlign w:val="center"/>
          </w:tcPr>
          <w:p w14:paraId="741AAE11"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蒙特利尔交易所</w:t>
            </w:r>
            <w:proofErr w:type="spellEnd"/>
            <w:r w:rsidRPr="006D515A">
              <w:rPr>
                <w:rFonts w:hAnsi="宋体" w:cs="宋体" w:hint="eastAsia"/>
                <w:sz w:val="24"/>
                <w:szCs w:val="24"/>
              </w:rPr>
              <w:t xml:space="preserve">  The</w:t>
            </w:r>
            <w:proofErr w:type="gramEnd"/>
            <w:r w:rsidRPr="006D515A">
              <w:rPr>
                <w:rFonts w:hAnsi="宋体" w:cs="宋体" w:hint="eastAsia"/>
                <w:sz w:val="24"/>
                <w:szCs w:val="24"/>
              </w:rPr>
              <w:t xml:space="preserve"> Montreal Exchange</w:t>
            </w:r>
          </w:p>
        </w:tc>
      </w:tr>
      <w:tr w:rsidR="002B09B9" w:rsidRPr="006D515A" w14:paraId="32B315B3" w14:textId="77777777" w:rsidTr="004070D7">
        <w:trPr>
          <w:trHeight w:val="585"/>
          <w:jc w:val="center"/>
        </w:trPr>
        <w:tc>
          <w:tcPr>
            <w:tcW w:w="3069" w:type="dxa"/>
            <w:noWrap/>
            <w:vAlign w:val="center"/>
          </w:tcPr>
          <w:p w14:paraId="69F7EBBF"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英国</w:t>
            </w:r>
            <w:proofErr w:type="spellEnd"/>
          </w:p>
        </w:tc>
        <w:tc>
          <w:tcPr>
            <w:tcW w:w="5968" w:type="dxa"/>
            <w:noWrap/>
            <w:vAlign w:val="center"/>
          </w:tcPr>
          <w:p w14:paraId="671BDB25"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纽约泛欧交易所</w:t>
            </w:r>
            <w:proofErr w:type="spellEnd"/>
            <w:r w:rsidRPr="006D515A">
              <w:rPr>
                <w:rFonts w:hAnsi="宋体" w:cs="宋体" w:hint="eastAsia"/>
                <w:sz w:val="24"/>
                <w:szCs w:val="24"/>
              </w:rPr>
              <w:t xml:space="preserve"> NYSE Euronext LIFFE</w:t>
            </w:r>
          </w:p>
        </w:tc>
      </w:tr>
      <w:tr w:rsidR="002B09B9" w:rsidRPr="006D515A" w14:paraId="18CFFB71" w14:textId="77777777" w:rsidTr="004070D7">
        <w:trPr>
          <w:trHeight w:val="585"/>
          <w:jc w:val="center"/>
        </w:trPr>
        <w:tc>
          <w:tcPr>
            <w:tcW w:w="3069" w:type="dxa"/>
            <w:noWrap/>
            <w:vAlign w:val="center"/>
          </w:tcPr>
          <w:p w14:paraId="1B544627"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法国</w:t>
            </w:r>
            <w:proofErr w:type="spellEnd"/>
          </w:p>
        </w:tc>
        <w:tc>
          <w:tcPr>
            <w:tcW w:w="5968" w:type="dxa"/>
            <w:noWrap/>
            <w:vAlign w:val="center"/>
          </w:tcPr>
          <w:p w14:paraId="0B13FCA5"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纽约泛欧交易所</w:t>
            </w:r>
            <w:proofErr w:type="spellEnd"/>
            <w:r w:rsidRPr="006D515A">
              <w:rPr>
                <w:rFonts w:hAnsi="宋体" w:cs="宋体" w:hint="eastAsia"/>
                <w:sz w:val="24"/>
                <w:szCs w:val="24"/>
              </w:rPr>
              <w:t xml:space="preserve"> NYSE Euronext Paris</w:t>
            </w:r>
          </w:p>
        </w:tc>
      </w:tr>
      <w:tr w:rsidR="002B09B9" w:rsidRPr="006D515A" w14:paraId="3D56282A" w14:textId="77777777" w:rsidTr="004070D7">
        <w:trPr>
          <w:trHeight w:val="585"/>
          <w:jc w:val="center"/>
        </w:trPr>
        <w:tc>
          <w:tcPr>
            <w:tcW w:w="3069" w:type="dxa"/>
            <w:noWrap/>
            <w:vAlign w:val="center"/>
          </w:tcPr>
          <w:p w14:paraId="7DEDEC0C"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德国</w:t>
            </w:r>
            <w:proofErr w:type="spellEnd"/>
          </w:p>
        </w:tc>
        <w:tc>
          <w:tcPr>
            <w:tcW w:w="5968" w:type="dxa"/>
            <w:noWrap/>
            <w:vAlign w:val="center"/>
          </w:tcPr>
          <w:p w14:paraId="2B858BEF" w14:textId="77777777" w:rsidR="002B09B9" w:rsidRPr="006D515A" w:rsidRDefault="002B09B9" w:rsidP="004070D7">
            <w:pPr>
              <w:snapToGrid w:val="0"/>
              <w:spacing w:line="480" w:lineRule="exact"/>
              <w:jc w:val="center"/>
              <w:rPr>
                <w:rFonts w:hAnsi="宋体" w:cs="宋体"/>
                <w:sz w:val="24"/>
                <w:szCs w:val="24"/>
                <w:lang w:eastAsia="zh-CN"/>
              </w:rPr>
            </w:pPr>
            <w:r w:rsidRPr="006D515A">
              <w:rPr>
                <w:rFonts w:hAnsi="宋体" w:cs="宋体" w:hint="eastAsia"/>
                <w:sz w:val="24"/>
                <w:szCs w:val="24"/>
                <w:lang w:eastAsia="zh-CN"/>
              </w:rPr>
              <w:t>欧洲期货期权交易所</w:t>
            </w:r>
            <w:r w:rsidRPr="006D515A">
              <w:rPr>
                <w:rFonts w:hAnsi="宋体" w:cs="宋体" w:hint="eastAsia"/>
                <w:sz w:val="24"/>
                <w:szCs w:val="24"/>
                <w:lang w:eastAsia="zh-CN"/>
              </w:rPr>
              <w:t xml:space="preserve">   EUREX</w:t>
            </w:r>
          </w:p>
        </w:tc>
      </w:tr>
      <w:tr w:rsidR="002B09B9" w:rsidRPr="006D515A" w14:paraId="669097DD" w14:textId="77777777" w:rsidTr="004070D7">
        <w:trPr>
          <w:trHeight w:val="585"/>
          <w:jc w:val="center"/>
        </w:trPr>
        <w:tc>
          <w:tcPr>
            <w:tcW w:w="3069" w:type="dxa"/>
            <w:noWrap/>
            <w:vAlign w:val="center"/>
          </w:tcPr>
          <w:p w14:paraId="2D4FB305"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荷兰</w:t>
            </w:r>
            <w:proofErr w:type="spellEnd"/>
          </w:p>
        </w:tc>
        <w:tc>
          <w:tcPr>
            <w:tcW w:w="5968" w:type="dxa"/>
            <w:noWrap/>
            <w:vAlign w:val="center"/>
          </w:tcPr>
          <w:p w14:paraId="65937F89"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纽约泛欧交易所</w:t>
            </w:r>
            <w:proofErr w:type="spellEnd"/>
            <w:r w:rsidRPr="006D515A">
              <w:rPr>
                <w:rFonts w:hAnsi="宋体" w:cs="宋体" w:hint="eastAsia"/>
                <w:sz w:val="24"/>
                <w:szCs w:val="24"/>
              </w:rPr>
              <w:t xml:space="preserve"> NYSE Euronext Amsterdam</w:t>
            </w:r>
          </w:p>
        </w:tc>
      </w:tr>
      <w:tr w:rsidR="002B09B9" w:rsidRPr="006D515A" w14:paraId="2ACA36C2" w14:textId="77777777" w:rsidTr="004070D7">
        <w:trPr>
          <w:trHeight w:val="585"/>
          <w:jc w:val="center"/>
        </w:trPr>
        <w:tc>
          <w:tcPr>
            <w:tcW w:w="3069" w:type="dxa"/>
            <w:noWrap/>
            <w:vAlign w:val="center"/>
          </w:tcPr>
          <w:p w14:paraId="541EE51B"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香港</w:t>
            </w:r>
            <w:proofErr w:type="spellEnd"/>
          </w:p>
        </w:tc>
        <w:tc>
          <w:tcPr>
            <w:tcW w:w="5968" w:type="dxa"/>
            <w:noWrap/>
            <w:vAlign w:val="center"/>
          </w:tcPr>
          <w:p w14:paraId="40482542"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香港期货交易所</w:t>
            </w:r>
            <w:proofErr w:type="spellEnd"/>
            <w:r w:rsidRPr="006D515A">
              <w:rPr>
                <w:rFonts w:hAnsi="宋体" w:cs="宋体" w:hint="eastAsia"/>
                <w:sz w:val="24"/>
                <w:szCs w:val="24"/>
              </w:rPr>
              <w:t xml:space="preserve">  </w:t>
            </w:r>
            <w:proofErr w:type="spellStart"/>
            <w:r w:rsidRPr="006D515A">
              <w:rPr>
                <w:rFonts w:hAnsi="宋体" w:cs="宋体" w:hint="eastAsia"/>
                <w:sz w:val="24"/>
                <w:szCs w:val="24"/>
              </w:rPr>
              <w:t>HongKong</w:t>
            </w:r>
            <w:proofErr w:type="spellEnd"/>
            <w:proofErr w:type="gramEnd"/>
            <w:r w:rsidRPr="006D515A">
              <w:rPr>
                <w:rFonts w:hAnsi="宋体" w:cs="宋体" w:hint="eastAsia"/>
                <w:sz w:val="24"/>
                <w:szCs w:val="24"/>
              </w:rPr>
              <w:t xml:space="preserve"> Futures </w:t>
            </w:r>
            <w:proofErr w:type="gramStart"/>
            <w:r w:rsidRPr="006D515A">
              <w:rPr>
                <w:rFonts w:hAnsi="宋体" w:cs="宋体" w:hint="eastAsia"/>
                <w:sz w:val="24"/>
                <w:szCs w:val="24"/>
              </w:rPr>
              <w:t>Exchange(</w:t>
            </w:r>
            <w:proofErr w:type="gramEnd"/>
            <w:r w:rsidRPr="006D515A">
              <w:rPr>
                <w:rFonts w:hAnsi="宋体" w:cs="宋体" w:hint="eastAsia"/>
                <w:sz w:val="24"/>
                <w:szCs w:val="24"/>
              </w:rPr>
              <w:t>HKFE)</w:t>
            </w:r>
          </w:p>
        </w:tc>
      </w:tr>
      <w:tr w:rsidR="002B09B9" w:rsidRPr="006D515A" w14:paraId="608FA32C" w14:textId="77777777" w:rsidTr="004070D7">
        <w:trPr>
          <w:trHeight w:val="585"/>
          <w:jc w:val="center"/>
        </w:trPr>
        <w:tc>
          <w:tcPr>
            <w:tcW w:w="3069" w:type="dxa"/>
            <w:vMerge w:val="restart"/>
            <w:noWrap/>
            <w:vAlign w:val="center"/>
          </w:tcPr>
          <w:p w14:paraId="2AA38BE4"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日本</w:t>
            </w:r>
            <w:proofErr w:type="spellEnd"/>
          </w:p>
        </w:tc>
        <w:tc>
          <w:tcPr>
            <w:tcW w:w="5968" w:type="dxa"/>
            <w:noWrap/>
            <w:vAlign w:val="center"/>
          </w:tcPr>
          <w:p w14:paraId="5F3A7461"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东京证券交易所</w:t>
            </w:r>
            <w:proofErr w:type="spellEnd"/>
            <w:r w:rsidRPr="006D515A">
              <w:rPr>
                <w:rFonts w:hAnsi="宋体" w:cs="宋体" w:hint="eastAsia"/>
                <w:sz w:val="24"/>
                <w:szCs w:val="24"/>
              </w:rPr>
              <w:t xml:space="preserve">  Tokyo</w:t>
            </w:r>
            <w:proofErr w:type="gramEnd"/>
            <w:r w:rsidRPr="006D515A">
              <w:rPr>
                <w:rFonts w:hAnsi="宋体" w:cs="宋体" w:hint="eastAsia"/>
                <w:sz w:val="24"/>
                <w:szCs w:val="24"/>
              </w:rPr>
              <w:t xml:space="preserve"> Stock </w:t>
            </w:r>
            <w:proofErr w:type="gramStart"/>
            <w:r w:rsidRPr="006D515A">
              <w:rPr>
                <w:rFonts w:hAnsi="宋体" w:cs="宋体" w:hint="eastAsia"/>
                <w:sz w:val="24"/>
                <w:szCs w:val="24"/>
              </w:rPr>
              <w:t>Exchange(</w:t>
            </w:r>
            <w:proofErr w:type="gramEnd"/>
            <w:r w:rsidRPr="006D515A">
              <w:rPr>
                <w:rFonts w:hAnsi="宋体" w:cs="宋体" w:hint="eastAsia"/>
                <w:sz w:val="24"/>
                <w:szCs w:val="24"/>
              </w:rPr>
              <w:t>TSE)</w:t>
            </w:r>
          </w:p>
        </w:tc>
      </w:tr>
      <w:tr w:rsidR="002B09B9" w:rsidRPr="006D515A" w14:paraId="74C7FB07" w14:textId="77777777" w:rsidTr="004070D7">
        <w:trPr>
          <w:trHeight w:val="225"/>
          <w:jc w:val="center"/>
        </w:trPr>
        <w:tc>
          <w:tcPr>
            <w:tcW w:w="3069" w:type="dxa"/>
            <w:vMerge/>
            <w:vAlign w:val="center"/>
          </w:tcPr>
          <w:p w14:paraId="0173CB72" w14:textId="77777777" w:rsidR="002B09B9" w:rsidRPr="006D515A" w:rsidRDefault="002B09B9" w:rsidP="004070D7">
            <w:pPr>
              <w:snapToGrid w:val="0"/>
              <w:spacing w:line="480" w:lineRule="exact"/>
              <w:jc w:val="center"/>
              <w:rPr>
                <w:rFonts w:hAnsi="宋体" w:cs="宋体"/>
                <w:sz w:val="24"/>
                <w:szCs w:val="24"/>
              </w:rPr>
            </w:pPr>
          </w:p>
        </w:tc>
        <w:tc>
          <w:tcPr>
            <w:tcW w:w="5968" w:type="dxa"/>
            <w:noWrap/>
            <w:vAlign w:val="center"/>
          </w:tcPr>
          <w:p w14:paraId="52507C93"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大阪交易所</w:t>
            </w:r>
            <w:proofErr w:type="spellEnd"/>
            <w:r w:rsidRPr="006D515A">
              <w:rPr>
                <w:rFonts w:hAnsi="宋体" w:cs="宋体" w:hint="eastAsia"/>
                <w:sz w:val="24"/>
                <w:szCs w:val="24"/>
              </w:rPr>
              <w:t xml:space="preserve">  Osaka</w:t>
            </w:r>
            <w:proofErr w:type="gramEnd"/>
            <w:r w:rsidRPr="006D515A">
              <w:rPr>
                <w:rFonts w:hAnsi="宋体" w:cs="宋体" w:hint="eastAsia"/>
                <w:sz w:val="24"/>
                <w:szCs w:val="24"/>
              </w:rPr>
              <w:t xml:space="preserve"> Securities Exchange</w:t>
            </w:r>
          </w:p>
        </w:tc>
      </w:tr>
      <w:tr w:rsidR="002B09B9" w:rsidRPr="006D515A" w14:paraId="08791C44" w14:textId="77777777" w:rsidTr="004070D7">
        <w:trPr>
          <w:trHeight w:val="585"/>
          <w:jc w:val="center"/>
        </w:trPr>
        <w:tc>
          <w:tcPr>
            <w:tcW w:w="3069" w:type="dxa"/>
            <w:noWrap/>
            <w:vAlign w:val="center"/>
          </w:tcPr>
          <w:p w14:paraId="36F628DD"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韩国</w:t>
            </w:r>
            <w:proofErr w:type="spellEnd"/>
          </w:p>
        </w:tc>
        <w:tc>
          <w:tcPr>
            <w:tcW w:w="5968" w:type="dxa"/>
            <w:noWrap/>
            <w:vAlign w:val="center"/>
          </w:tcPr>
          <w:p w14:paraId="1C8A80BA"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韩国证券交易所</w:t>
            </w:r>
            <w:proofErr w:type="spellEnd"/>
            <w:r w:rsidRPr="006D515A">
              <w:rPr>
                <w:rFonts w:hAnsi="宋体" w:cs="宋体" w:hint="eastAsia"/>
                <w:sz w:val="24"/>
                <w:szCs w:val="24"/>
              </w:rPr>
              <w:t xml:space="preserve">  Korea</w:t>
            </w:r>
            <w:proofErr w:type="gramEnd"/>
            <w:r w:rsidRPr="006D515A">
              <w:rPr>
                <w:rFonts w:hAnsi="宋体" w:cs="宋体" w:hint="eastAsia"/>
                <w:sz w:val="24"/>
                <w:szCs w:val="24"/>
              </w:rPr>
              <w:t xml:space="preserve"> </w:t>
            </w:r>
            <w:proofErr w:type="gramStart"/>
            <w:r w:rsidRPr="006D515A">
              <w:rPr>
                <w:rFonts w:hAnsi="宋体" w:cs="宋体" w:hint="eastAsia"/>
                <w:sz w:val="24"/>
                <w:szCs w:val="24"/>
              </w:rPr>
              <w:t>Exchange(</w:t>
            </w:r>
            <w:proofErr w:type="gramEnd"/>
            <w:r w:rsidRPr="006D515A">
              <w:rPr>
                <w:rFonts w:hAnsi="宋体" w:cs="宋体" w:hint="eastAsia"/>
                <w:sz w:val="24"/>
                <w:szCs w:val="24"/>
              </w:rPr>
              <w:t>KRX)</w:t>
            </w:r>
          </w:p>
        </w:tc>
      </w:tr>
      <w:tr w:rsidR="002B09B9" w:rsidRPr="006D515A" w14:paraId="6FFA83C6" w14:textId="77777777" w:rsidTr="004070D7">
        <w:trPr>
          <w:trHeight w:val="585"/>
          <w:jc w:val="center"/>
        </w:trPr>
        <w:tc>
          <w:tcPr>
            <w:tcW w:w="3069" w:type="dxa"/>
            <w:noWrap/>
            <w:vAlign w:val="center"/>
          </w:tcPr>
          <w:p w14:paraId="293E1520"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新加坡</w:t>
            </w:r>
            <w:proofErr w:type="spellEnd"/>
          </w:p>
        </w:tc>
        <w:tc>
          <w:tcPr>
            <w:tcW w:w="5968" w:type="dxa"/>
            <w:noWrap/>
            <w:vAlign w:val="center"/>
          </w:tcPr>
          <w:p w14:paraId="4DBD3DD9" w14:textId="77777777" w:rsidR="002B09B9" w:rsidRPr="006D515A" w:rsidRDefault="002B09B9" w:rsidP="004070D7">
            <w:pPr>
              <w:snapToGrid w:val="0"/>
              <w:spacing w:line="480" w:lineRule="exact"/>
              <w:jc w:val="center"/>
              <w:rPr>
                <w:rFonts w:hAnsi="宋体" w:cs="宋体"/>
                <w:sz w:val="24"/>
                <w:szCs w:val="24"/>
              </w:rPr>
            </w:pPr>
            <w:proofErr w:type="spellStart"/>
            <w:proofErr w:type="gramStart"/>
            <w:r w:rsidRPr="006D515A">
              <w:rPr>
                <w:rFonts w:hAnsi="宋体" w:cs="宋体" w:hint="eastAsia"/>
                <w:sz w:val="24"/>
                <w:szCs w:val="24"/>
              </w:rPr>
              <w:t>新加坡交易所</w:t>
            </w:r>
            <w:proofErr w:type="spellEnd"/>
            <w:r w:rsidRPr="006D515A">
              <w:rPr>
                <w:rFonts w:hAnsi="宋体" w:cs="宋体" w:hint="eastAsia"/>
                <w:sz w:val="24"/>
                <w:szCs w:val="24"/>
              </w:rPr>
              <w:t xml:space="preserve">  Singapore</w:t>
            </w:r>
            <w:proofErr w:type="gramEnd"/>
            <w:r w:rsidRPr="006D515A">
              <w:rPr>
                <w:rFonts w:hAnsi="宋体" w:cs="宋体" w:hint="eastAsia"/>
                <w:sz w:val="24"/>
                <w:szCs w:val="24"/>
              </w:rPr>
              <w:t xml:space="preserve"> </w:t>
            </w:r>
            <w:proofErr w:type="spellStart"/>
            <w:r w:rsidRPr="006D515A">
              <w:rPr>
                <w:rFonts w:hAnsi="宋体" w:cs="宋体" w:hint="eastAsia"/>
                <w:sz w:val="24"/>
                <w:szCs w:val="24"/>
              </w:rPr>
              <w:t>Exchange</w:t>
            </w:r>
            <w:r w:rsidRPr="006D515A">
              <w:rPr>
                <w:rFonts w:hAnsi="宋体" w:cs="宋体" w:hint="eastAsia"/>
                <w:sz w:val="24"/>
                <w:szCs w:val="24"/>
              </w:rPr>
              <w:t>（</w:t>
            </w:r>
            <w:r w:rsidRPr="006D515A">
              <w:rPr>
                <w:rFonts w:hAnsi="宋体" w:cs="宋体" w:hint="eastAsia"/>
                <w:sz w:val="24"/>
                <w:szCs w:val="24"/>
              </w:rPr>
              <w:t>SGX</w:t>
            </w:r>
            <w:proofErr w:type="spellEnd"/>
            <w:r w:rsidRPr="006D515A">
              <w:rPr>
                <w:rFonts w:hAnsi="宋体" w:cs="宋体" w:hint="eastAsia"/>
                <w:sz w:val="24"/>
                <w:szCs w:val="24"/>
              </w:rPr>
              <w:t>）</w:t>
            </w:r>
          </w:p>
        </w:tc>
      </w:tr>
      <w:tr w:rsidR="002B09B9" w:rsidRPr="006D515A" w14:paraId="7753F77D" w14:textId="77777777" w:rsidTr="004070D7">
        <w:trPr>
          <w:trHeight w:val="585"/>
          <w:jc w:val="center"/>
        </w:trPr>
        <w:tc>
          <w:tcPr>
            <w:tcW w:w="3069" w:type="dxa"/>
            <w:noWrap/>
            <w:vAlign w:val="center"/>
          </w:tcPr>
          <w:p w14:paraId="789E29E1" w14:textId="77777777" w:rsidR="002B09B9" w:rsidRPr="006D515A" w:rsidRDefault="002B09B9" w:rsidP="004070D7">
            <w:pPr>
              <w:snapToGrid w:val="0"/>
              <w:spacing w:line="480" w:lineRule="exact"/>
              <w:jc w:val="center"/>
              <w:rPr>
                <w:rFonts w:hAnsi="宋体" w:cs="宋体"/>
                <w:sz w:val="24"/>
                <w:szCs w:val="24"/>
              </w:rPr>
            </w:pPr>
            <w:proofErr w:type="spellStart"/>
            <w:r w:rsidRPr="006D515A">
              <w:rPr>
                <w:rFonts w:hAnsi="宋体" w:cs="宋体" w:hint="eastAsia"/>
                <w:sz w:val="24"/>
                <w:szCs w:val="24"/>
              </w:rPr>
              <w:t>瑞士</w:t>
            </w:r>
            <w:proofErr w:type="spellEnd"/>
          </w:p>
        </w:tc>
        <w:tc>
          <w:tcPr>
            <w:tcW w:w="5968" w:type="dxa"/>
            <w:noWrap/>
            <w:vAlign w:val="center"/>
          </w:tcPr>
          <w:p w14:paraId="66B98C9B" w14:textId="77777777" w:rsidR="002B09B9" w:rsidRPr="006D515A" w:rsidRDefault="002B09B9" w:rsidP="004070D7">
            <w:pPr>
              <w:snapToGrid w:val="0"/>
              <w:spacing w:line="480" w:lineRule="exact"/>
              <w:jc w:val="center"/>
              <w:rPr>
                <w:rFonts w:hAnsi="宋体" w:cs="宋体"/>
                <w:sz w:val="24"/>
                <w:szCs w:val="24"/>
                <w:lang w:eastAsia="zh-CN"/>
              </w:rPr>
            </w:pPr>
            <w:r w:rsidRPr="006D515A">
              <w:rPr>
                <w:rFonts w:hAnsi="宋体" w:cs="宋体" w:hint="eastAsia"/>
                <w:sz w:val="24"/>
                <w:szCs w:val="24"/>
                <w:lang w:eastAsia="zh-CN"/>
              </w:rPr>
              <w:t>欧洲期货期权交易所</w:t>
            </w:r>
            <w:r w:rsidRPr="006D515A">
              <w:rPr>
                <w:rFonts w:hAnsi="宋体" w:cs="宋体" w:hint="eastAsia"/>
                <w:sz w:val="24"/>
                <w:szCs w:val="24"/>
                <w:lang w:eastAsia="zh-CN"/>
              </w:rPr>
              <w:t xml:space="preserve">  EUREX</w:t>
            </w:r>
          </w:p>
        </w:tc>
      </w:tr>
    </w:tbl>
    <w:p w14:paraId="6B4A66CD" w14:textId="77777777" w:rsidR="002B09B9" w:rsidRPr="006D515A" w:rsidRDefault="002B09B9" w:rsidP="002B09B9">
      <w:pPr>
        <w:snapToGrid w:val="0"/>
        <w:spacing w:line="580" w:lineRule="exact"/>
        <w:rPr>
          <w:kern w:val="2"/>
          <w:sz w:val="21"/>
          <w:lang w:eastAsia="zh-CN"/>
        </w:rPr>
      </w:pPr>
      <w:r w:rsidRPr="006D515A">
        <w:rPr>
          <w:rFonts w:hint="eastAsia"/>
          <w:kern w:val="2"/>
          <w:sz w:val="21"/>
          <w:lang w:eastAsia="zh-CN"/>
        </w:rPr>
        <w:t>备注：由上述两家交易所吸收合并，或者新设合并成立的交易所，将被视同为核准。</w:t>
      </w:r>
    </w:p>
    <w:p w14:paraId="2056B1FF" w14:textId="77777777" w:rsidR="002B09B9" w:rsidRPr="005B7E77" w:rsidRDefault="002B09B9" w:rsidP="002B09B9">
      <w:pPr>
        <w:rPr>
          <w:lang w:eastAsia="zh-CN"/>
        </w:rPr>
      </w:pPr>
    </w:p>
    <w:p w14:paraId="511E8FAF" w14:textId="77777777" w:rsidR="002B09B9" w:rsidRPr="0032126D" w:rsidRDefault="002B09B9" w:rsidP="0032126D">
      <w:pPr>
        <w:pStyle w:val="a3"/>
        <w:shd w:val="clear" w:color="auto" w:fill="FEFEFE"/>
        <w:spacing w:before="0" w:beforeAutospacing="0" w:after="0" w:afterAutospacing="0"/>
        <w:ind w:firstLine="420"/>
        <w:rPr>
          <w:rFonts w:ascii="微软雅黑" w:eastAsia="微软雅黑" w:hAnsi="微软雅黑"/>
          <w:color w:val="333333"/>
          <w:sz w:val="21"/>
          <w:szCs w:val="21"/>
        </w:rPr>
      </w:pPr>
    </w:p>
    <w:p w14:paraId="2C078E63" w14:textId="77777777" w:rsidR="007808C4" w:rsidRDefault="007808C4">
      <w:pPr>
        <w:rPr>
          <w:lang w:eastAsia="zh-CN"/>
        </w:rPr>
      </w:pPr>
    </w:p>
    <w:sectPr w:rsidR="00780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长城小标宋体">
    <w:altName w:val="Arial Unicode MS"/>
    <w:panose1 w:val="020B0604020202020204"/>
    <w:charset w:val="86"/>
    <w:family w:val="modern"/>
    <w:pitch w:val="fixed"/>
    <w:sig w:usb0="00000000" w:usb1="080E0000" w:usb2="00000010" w:usb3="00000000" w:csb0="00040000" w:csb1="00000000"/>
  </w:font>
  <w:font w:name="Gungsuh">
    <w:panose1 w:val="02030600000101010101"/>
    <w:charset w:val="81"/>
    <w:family w:val="roman"/>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8C4"/>
    <w:rsid w:val="002B09B9"/>
    <w:rsid w:val="0032126D"/>
    <w:rsid w:val="006007BF"/>
    <w:rsid w:val="006B18C4"/>
    <w:rsid w:val="007808C4"/>
    <w:rsid w:val="00881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007BF"/>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600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945</Words>
  <Characters>5391</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6</cp:revision>
  <dcterms:created xsi:type="dcterms:W3CDTF">2012-08-07T16:44:00Z</dcterms:created>
  <dcterms:modified xsi:type="dcterms:W3CDTF">2026-07-21T14:50:00Z</dcterms:modified>
</cp:coreProperties>
</file>