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0EA4BD" w14:textId="77777777" w:rsidR="00724AAB" w:rsidRPr="00724AAB" w:rsidRDefault="00724AAB" w:rsidP="00724AAB">
      <w:pPr>
        <w:shd w:val="clear" w:color="auto" w:fill="FFFFFF"/>
        <w:spacing w:after="0" w:line="600" w:lineRule="atLeast"/>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各银保监局，各信托公司，信托保障基金公司、信托登记公司、信托业协会：</w:t>
      </w:r>
    </w:p>
    <w:p w14:paraId="45D2D58E"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为促进信托业务回归本源、规范发展，切实防范风险，更高效服务实体经济发展和满足人民美好生活需要，现就规范信托公司信托业务分类有关事项通知如下：</w:t>
      </w:r>
    </w:p>
    <w:p w14:paraId="44577BD5"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黑体" w:eastAsia="黑体" w:hAnsi="黑体" w:cs="Calibri"/>
          <w:color w:val="333333"/>
          <w:sz w:val="36"/>
          <w:szCs w:val="36"/>
          <w:lang w:eastAsia="zh-CN"/>
        </w:rPr>
        <w:t>一、总体要求</w:t>
      </w:r>
    </w:p>
    <w:p w14:paraId="6B366CA6"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进一步厘清信托业务边界和服务内涵，引导信托公司以规范方式发挥制度优势和行业竞争优势，推动信托业走高质量发展之路，助力全面建设社会主义现代化国家。</w:t>
      </w:r>
    </w:p>
    <w:p w14:paraId="21F30714"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（一）回归信托本源</w:t>
      </w:r>
    </w:p>
    <w:p w14:paraId="03635DF7"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信托公司从事信托业务应当立足受托人定位，遵循法律法规和监管要求，确保信托目的合法合规，为受益人的最大利益处理信托事务，履行诚实守信、勤勉尽责的受托责任。</w:t>
      </w:r>
    </w:p>
    <w:p w14:paraId="16187C17"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（二）明确分类标准</w:t>
      </w:r>
    </w:p>
    <w:p w14:paraId="445D2A0A"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信托服务实质是根据委托人要求，为受益人利益而对信托财产进行各种方式的管理、处分。信托业务分类应当根据信托服务实质，明确各类业务职责边界，避免相互交叉。</w:t>
      </w:r>
    </w:p>
    <w:p w14:paraId="45229780"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（三）引导差异发展</w:t>
      </w:r>
    </w:p>
    <w:p w14:paraId="5B1AE97B"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按照服务内容的具体差异，对信托业务进行细分，突出能够发挥信托制度优势的业务品种，鼓励差异化发展，构建多元化信托服务体系。</w:t>
      </w:r>
    </w:p>
    <w:p w14:paraId="327C07AC"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lastRenderedPageBreak/>
        <w:t>（四）保持标准统一</w:t>
      </w:r>
    </w:p>
    <w:p w14:paraId="5B3F3237"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明确资产服务、资产管理、公益慈善等各类信托业务功能，在各类业务服务内涵等方面与国际接轨。资产管理业务监管标准对标《关于规范金融机构资产管理业务的指导意见》（银发〔2018〕106号，以下简称《指导意见》），与国内同业保持一致。</w:t>
      </w:r>
    </w:p>
    <w:p w14:paraId="227654EE"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（五）严格合规管理</w:t>
      </w:r>
    </w:p>
    <w:p w14:paraId="30A4E5FC"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严防利用信托机制灵活性变相开展违规业务。信托公司要在穿透基础上，按“实质重于形式”原则对信托业务进行分类。</w:t>
      </w:r>
    </w:p>
    <w:p w14:paraId="4117BEE0"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黑体" w:eastAsia="黑体" w:hAnsi="黑体" w:cs="Calibri"/>
          <w:color w:val="333333"/>
          <w:sz w:val="36"/>
          <w:szCs w:val="36"/>
          <w:lang w:eastAsia="zh-CN"/>
        </w:rPr>
        <w:t>二、明确信托业务分类标准和要求</w:t>
      </w:r>
    </w:p>
    <w:p w14:paraId="47027868"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信托公司应当以信托目的、信托成立方式、信托财产管理内容为分类维度，将信托业务分为资产服务信托、资产管理信托、公益慈善信托三大类共25个业务品种（具体分类要求见附件）。</w:t>
      </w:r>
    </w:p>
    <w:p w14:paraId="44D2103D"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（一）资产服务信托</w:t>
      </w:r>
    </w:p>
    <w:p w14:paraId="49C5C190" w14:textId="77777777" w:rsidR="00724AAB" w:rsidRPr="00724AAB" w:rsidRDefault="00724AAB" w:rsidP="00724AAB">
      <w:pPr>
        <w:shd w:val="clear" w:color="auto" w:fill="FFFFFF"/>
        <w:spacing w:after="0" w:line="600" w:lineRule="atLeast"/>
        <w:ind w:firstLine="720"/>
        <w:jc w:val="both"/>
        <w:rPr>
          <w:rFonts w:ascii="微软雅黑" w:eastAsia="微软雅黑" w:hAnsi="微软雅黑" w:cs="宋体"/>
          <w:color w:val="333333"/>
          <w:sz w:val="21"/>
          <w:szCs w:val="21"/>
          <w:lang w:eastAsia="zh-CN"/>
        </w:rPr>
      </w:pPr>
      <w:r w:rsidRPr="00724AAB">
        <w:rPr>
          <w:rFonts w:ascii="仿宋_GB2312" w:eastAsia="仿宋_GB2312" w:hAnsi="仿宋_GB2312" w:cs="仿宋_GB2312"/>
          <w:color w:val="333333"/>
          <w:sz w:val="36"/>
          <w:szCs w:val="36"/>
          <w:lang w:eastAsia="zh-CN"/>
        </w:rPr>
        <w:t>资产服务信托是指信托公司依据信托法律关系，接受委托人委托，并根据委托人需求为其量身定制财富规划以及代际传承、托管、破产隔离和风险处置等专业信托服务。按照服务内容和特点，分为财富管理服务信托、行政管理服务信</w:t>
      </w:r>
      <w:r w:rsidRPr="00724AAB">
        <w:rPr>
          <w:rFonts w:ascii="仿宋_GB2312" w:eastAsia="仿宋_GB2312" w:hAnsi="仿宋_GB2312" w:cs="仿宋_GB2312"/>
          <w:color w:val="333333"/>
          <w:sz w:val="36"/>
          <w:szCs w:val="36"/>
          <w:lang w:eastAsia="zh-CN"/>
        </w:rPr>
        <w:lastRenderedPageBreak/>
        <w:t>托、资产证券化服务信托、风险处置服务信托及新型资产服务信托五类、共19个业务品种。</w:t>
      </w:r>
    </w:p>
    <w:p w14:paraId="429F7D24"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（二）资产管理信托</w:t>
      </w:r>
    </w:p>
    <w:p w14:paraId="7B90A105"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资产管理信托是信托公司依据信托法律关系，销售信托产品，并为信托产品投资者提供投资和管理金融服务的自益信托，属于私募资产管理业务，适用《指导意见》。信托公司应当通过非公开发行集合资金信托计划（以下简称信托计划）募集资金，并按照信托文件约定的投资方式和比例，对受托资金进行投资管理。信托计划投资者需符合合格投资者标准，在信托设立时既是委托人、也是受益人。资产管理信托依据《指导意见》规定，分为固定收益类信托计划、权益类信托计划、商品及金融衍生品类信托计划和混合类信托计划共4个业务品种。</w:t>
      </w:r>
    </w:p>
    <w:p w14:paraId="767E3FF0"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（三）公益慈善信托</w:t>
      </w:r>
    </w:p>
    <w:p w14:paraId="6467D571"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仿宋_GB2312" w:eastAsia="仿宋_GB2312" w:hAnsi="仿宋_GB2312" w:cs="仿宋_GB2312"/>
          <w:color w:val="333333"/>
          <w:sz w:val="36"/>
          <w:szCs w:val="36"/>
          <w:lang w:eastAsia="zh-CN"/>
        </w:rPr>
        <w:t>公益慈善信托是委托人基于公共利益目的，依法将其财产委托给信托公司，由信托公司按照委托人意愿以信托公司名义进行管理和处分，开展公益慈善活动的信托业务。公益慈善信托的信托财产及其收益，不得用于非公益目的。公益慈善信托按照信托目的，分为慈善信托和其他公益信托共2个业务品种。</w:t>
      </w:r>
    </w:p>
    <w:p w14:paraId="7E74489B"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黑体" w:eastAsia="黑体" w:hAnsi="黑体" w:cs="Calibri"/>
          <w:color w:val="333333"/>
          <w:sz w:val="36"/>
          <w:szCs w:val="36"/>
          <w:lang w:eastAsia="zh-CN"/>
        </w:rPr>
        <w:t>三、落实信托公司主体责任</w:t>
      </w:r>
    </w:p>
    <w:p w14:paraId="4E126C7A"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lastRenderedPageBreak/>
        <w:t>信托公司应当完善内部管理机制，做好业务分类工作，准确划分各类信托业务，并在此基础上明确发展战略和转型方向，增强受托服务意识和专业服务能力，以发挥信托独特功能、实现良好社会价值为导向，积极探索开展资产服务信托和公益慈善信托业务，规范开展符合信托本源特征、丰富直接融资方式的资产管理信托业务，提高竞争力和社会声誉，在有效防控风险的基础上实现高质量发展。</w:t>
      </w:r>
    </w:p>
    <w:p w14:paraId="33D85C10"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（一）明确业务边界</w:t>
      </w:r>
    </w:p>
    <w:p w14:paraId="0E50A031"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信托公司应当严格把握信托业务边界，不得以管理契约型私募基金形式开展资产管理信托业务，不得以信托业务形式开展为融资方服务的私募投行业务，不得以任何形式开展通道业务和资金池业务，不得以任何形式承诺信托财产不受损失或承诺最低收益，坚决压降影子银行风险突出的融资类信托业务。</w:t>
      </w:r>
    </w:p>
    <w:p w14:paraId="461E2B20"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（二）提高分类质量</w:t>
      </w:r>
    </w:p>
    <w:p w14:paraId="0E6954BA"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信托公司应当按照本通知要求完善内部管理制度，结合监管要求和公司业务特点，细化分类标准，根据信托服务实质对信托业务进行全面、准确分类。信托公司不得擅自调节信托业务分类，同一信托业务不得同时归入多个类别。确有拟开展的新型信托业务无法归入现有类别的，应当与属地银</w:t>
      </w:r>
      <w:r w:rsidRPr="00724AAB">
        <w:rPr>
          <w:rFonts w:ascii="仿宋_GB2312" w:eastAsia="仿宋_GB2312" w:hAnsi="仿宋_GB2312" w:cs="仿宋_GB2312"/>
          <w:color w:val="333333"/>
          <w:sz w:val="36"/>
          <w:szCs w:val="36"/>
          <w:lang w:eastAsia="zh-CN"/>
        </w:rPr>
        <w:lastRenderedPageBreak/>
        <w:t>保监会派出机构沟通，按照服务实质明确业务分类归属后开展。信托公司应当组织信托业务分类专题培训，确保相关人员熟知信托业务分类标准并准确分类，按照监管要求填报相关监管报表，确保报送数据准确性。</w:t>
      </w:r>
    </w:p>
    <w:p w14:paraId="79E41ED6"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（三）完善内控机制</w:t>
      </w:r>
    </w:p>
    <w:p w14:paraId="3F7FEB95"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信托公司应当将信托业务分类纳入内部控制体系，明确归口管理部门以及业务部门、合规管理部门、内部审计部门等职责，完善信息系统，为做好信托业务分类提供必要的资源和保障。信托公司应当建立信托业务分类定期监测排查机制，加强合规管理和数据核验，确保信托业务持续符合分类标准和监管要求。信托公司应当建立追责问责机制，对重大差错予以严肃问责。</w:t>
      </w:r>
    </w:p>
    <w:p w14:paraId="297D85ED"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（四）有序实施整改</w:t>
      </w:r>
    </w:p>
    <w:p w14:paraId="4F87A3EC"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为有序实施存量业务整改，确保平稳过渡，本通知设置3年过渡期。过渡期结束后存在实际困难，仍难以完成整改的，可实施个案处理。对于契约型私募基金业务，按照严禁新增、存量自然到期方式有序清零。对于其他不符合本通知要求的信托业务，单设“待整改业务”一项，有序实施整改。信托公司应当在准确分类基础上充分识别待整改业务，制定整改计划，明确时间进度安排，待整改业务规模应当严格控</w:t>
      </w:r>
      <w:r w:rsidRPr="00724AAB">
        <w:rPr>
          <w:rFonts w:ascii="仿宋_GB2312" w:eastAsia="仿宋_GB2312" w:hAnsi="仿宋_GB2312" w:cs="仿宋_GB2312"/>
          <w:color w:val="333333"/>
          <w:sz w:val="36"/>
          <w:szCs w:val="36"/>
          <w:lang w:eastAsia="zh-CN"/>
        </w:rPr>
        <w:lastRenderedPageBreak/>
        <w:t>制在2022年12月31日存量整体规模内并有序压缩递减，防止过渡期结束时出现断崖效应。已纳入资管新规过渡期结束后个案处理范围的信托业务，应当纳入待整改业务，按照资管新规有关要求及前期已报送的整改计划继续整改。</w:t>
      </w:r>
    </w:p>
    <w:p w14:paraId="21A871DF"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黑体" w:eastAsia="黑体" w:hAnsi="黑体" w:cs="Calibri"/>
          <w:color w:val="333333"/>
          <w:sz w:val="36"/>
          <w:szCs w:val="36"/>
          <w:lang w:eastAsia="zh-CN"/>
        </w:rPr>
        <w:t>四、加强监管引领</w:t>
      </w:r>
    </w:p>
    <w:p w14:paraId="56254962"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（一）完善监管规则</w:t>
      </w:r>
    </w:p>
    <w:p w14:paraId="6F7D187A"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银保监会根据信托业务发展情况，制定完善各类信托业务具体监管规则，研究完善信托公司分级分类监管制度，持续完善资本管理、信托保障基金筹集、信托产品登记等配套机制，修订非现场监管报表，保障信托业务分类工作有序落地。</w:t>
      </w:r>
    </w:p>
    <w:p w14:paraId="2D210565"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（二）加强日常监管</w:t>
      </w:r>
    </w:p>
    <w:p w14:paraId="66D8BDF1"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各银保监局应当督促指导辖内信托公司按照本通知要求完善内部管理机制，对存量信托业务准确分类、有序整改。各银保监局应当通过非现场监管和现场检查等方式，对信托业务分类准确性及展业合规性实施持续监管，防止监管套利。各银保监局应当提高监管主动性和前瞻性，及时、准确发现违规问题并采取有针对性的纠正措施，责成信托公司限期整改，逾期未整改的，应当依法采取暂停业务</w:t>
      </w:r>
      <w:r w:rsidRPr="00724AAB">
        <w:rPr>
          <w:rFonts w:ascii="仿宋_GB2312" w:eastAsia="仿宋_GB2312" w:hAnsi="仿宋_GB2312" w:cs="仿宋_GB2312"/>
          <w:color w:val="000000"/>
          <w:sz w:val="36"/>
          <w:szCs w:val="36"/>
          <w:lang w:eastAsia="zh-CN"/>
        </w:rPr>
        <w:t>等审慎监管</w:t>
      </w:r>
      <w:r w:rsidRPr="00724AAB">
        <w:rPr>
          <w:rFonts w:ascii="仿宋_GB2312" w:eastAsia="仿宋_GB2312" w:hAnsi="仿宋_GB2312" w:cs="仿宋_GB2312"/>
          <w:color w:val="333333"/>
          <w:sz w:val="36"/>
          <w:szCs w:val="36"/>
          <w:lang w:eastAsia="zh-CN"/>
        </w:rPr>
        <w:t>措施，并要求信托公司严肃处理责任人员。</w:t>
      </w:r>
    </w:p>
    <w:p w14:paraId="23FBC6FB" w14:textId="77777777" w:rsidR="00724AAB" w:rsidRPr="00724AAB" w:rsidRDefault="00724AAB" w:rsidP="00724AAB">
      <w:pPr>
        <w:shd w:val="clear" w:color="auto" w:fill="FFFFFF"/>
        <w:spacing w:after="0" w:line="600" w:lineRule="atLeast"/>
        <w:ind w:firstLine="722"/>
        <w:jc w:val="both"/>
        <w:rPr>
          <w:rFonts w:ascii="Calibri" w:eastAsia="宋体" w:hAnsi="Calibri" w:cs="Calibri"/>
          <w:color w:val="333333"/>
          <w:sz w:val="18"/>
          <w:szCs w:val="18"/>
          <w:lang w:eastAsia="zh-CN"/>
        </w:rPr>
      </w:pPr>
      <w:r w:rsidRPr="00724AAB">
        <w:rPr>
          <w:rFonts w:ascii="楷体_GB2312" w:eastAsia="楷体_GB2312" w:hAnsi="楷体_GB2312" w:cs="楷体_GB2312"/>
          <w:color w:val="333333"/>
          <w:sz w:val="36"/>
          <w:szCs w:val="36"/>
          <w:lang w:eastAsia="zh-CN"/>
        </w:rPr>
        <w:t>（三）加强宣传引导</w:t>
      </w:r>
    </w:p>
    <w:p w14:paraId="0D0D4B67" w14:textId="77777777" w:rsidR="00724AAB" w:rsidRPr="00724AAB" w:rsidRDefault="00724AAB" w:rsidP="00724AAB">
      <w:pPr>
        <w:shd w:val="clear" w:color="auto" w:fill="FFFFFF"/>
        <w:spacing w:after="0" w:line="600" w:lineRule="atLeast"/>
        <w:ind w:firstLine="72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lastRenderedPageBreak/>
        <w:t>各银保监局应当指导辖内信托公司加强金融消费者教育，引导金融消费者正确认识信托关系实质和信托业务风险特征，树立信托产品打破刚性兑付的风险意识。信托业协会应当加强宣传引导，组织信托公司自觉落实相关要求，普及信托相关知识，提高社会各界对各类信托业务的认知度。</w:t>
      </w:r>
    </w:p>
    <w:p w14:paraId="52125515" w14:textId="77777777" w:rsidR="00724AAB" w:rsidRPr="00724AAB" w:rsidRDefault="00724AAB" w:rsidP="00724AAB">
      <w:pPr>
        <w:shd w:val="clear" w:color="auto" w:fill="FFFFFF"/>
        <w:spacing w:after="0" w:line="600" w:lineRule="atLeast"/>
        <w:ind w:firstLine="640"/>
        <w:jc w:val="both"/>
        <w:rPr>
          <w:rFonts w:ascii="Calibri" w:eastAsia="宋体" w:hAnsi="Calibri" w:cs="Calibri"/>
          <w:color w:val="333333"/>
          <w:sz w:val="21"/>
          <w:szCs w:val="21"/>
          <w:lang w:eastAsia="zh-CN"/>
        </w:rPr>
      </w:pPr>
      <w:r w:rsidRPr="00724AAB">
        <w:rPr>
          <w:rFonts w:ascii="仿宋_GB2312" w:eastAsia="仿宋_GB2312" w:hAnsi="仿宋_GB2312" w:cs="仿宋_GB2312"/>
          <w:color w:val="333333"/>
          <w:sz w:val="36"/>
          <w:szCs w:val="36"/>
          <w:lang w:eastAsia="zh-CN"/>
        </w:rPr>
        <w:t>本通知自2023年6月1日起实施。本通知实施前公布的规范性文件与本通知规定不一致的，以本通知为准。各信托公司应当于本通知实施后30日内将存续信托业务分类结果和整改计划报送属地银保监会派出机构。</w:t>
      </w:r>
    </w:p>
    <w:p w14:paraId="2C078E63" w14:textId="77777777" w:rsidR="00DB5410" w:rsidRDefault="00DB5410">
      <w:pPr>
        <w:rPr>
          <w:lang w:eastAsia="zh-CN"/>
        </w:rPr>
      </w:pPr>
    </w:p>
    <w:sectPr w:rsidR="00DB5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panose1 w:val="020B0604020202020204"/>
    <w:charset w:val="86"/>
    <w:family w:val="modern"/>
    <w:pitch w:val="fixed"/>
    <w:sig w:usb0="00002A87" w:usb1="080E0000" w:usb2="00000010" w:usb3="00000000" w:csb0="0004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fixed"/>
    <w:sig w:usb0="00002A87" w:usb1="080E0000" w:usb2="00000010" w:usb3="00000000" w:csb0="0004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10"/>
    <w:rsid w:val="006B18C4"/>
    <w:rsid w:val="00724AAB"/>
    <w:rsid w:val="00DB5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4AAB"/>
    <w:pPr>
      <w:spacing w:before="100" w:beforeAutospacing="1" w:after="100" w:afterAutospacing="1" w:line="240" w:lineRule="auto"/>
    </w:pPr>
    <w:rPr>
      <w:rFonts w:ascii="宋体" w:eastAsia="宋体" w:hAnsi="宋体" w:cs="宋体"/>
      <w:sz w:val="24"/>
      <w:szCs w:val="24"/>
      <w:lang w:eastAsia="zh-CN"/>
    </w:rPr>
  </w:style>
  <w:style w:type="character" w:customStyle="1" w:styleId="a4">
    <w:name w:val="批注框文本 字符"/>
    <w:basedOn w:val="a0"/>
    <w:link w:val="a3"/>
    <w:uiPriority w:val="99"/>
    <w:semiHidden/>
    <w:rsid w:val="00724AAB"/>
    <w:rPr>
      <w:rFonts w:ascii="宋体" w:eastAsia="宋体" w:hAnsi="宋体" w:cs="宋体"/>
      <w:sz w:val="24"/>
      <w:szCs w:val="24"/>
      <w:lang w:eastAsia="zh-CN"/>
    </w:rPr>
  </w:style>
  <w:style w:type="paragraph" w:customStyle="1" w:styleId="15">
    <w:name w:val="15"/>
    <w:basedOn w:val="a"/>
    <w:rsid w:val="00724AAB"/>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2026-07-21T14:52:00Z</dcterms:modified>
</cp:coreProperties>
</file>