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6CC9C4" w14:textId="77777777" w:rsidR="00A032EB" w:rsidRDefault="00A032EB" w:rsidP="00A032EB">
      <w:pPr>
        <w:pStyle w:val="a3"/>
        <w:shd w:val="clear" w:color="auto" w:fill="FFFFFF"/>
        <w:spacing w:before="0" w:beforeAutospacing="0" w:after="240" w:afterAutospacing="0"/>
        <w:jc w:val="center"/>
        <w:rPr>
          <w:color w:val="333333"/>
        </w:rPr>
      </w:pPr>
      <w:r>
        <w:rPr>
          <w:rFonts w:hint="eastAsia"/>
          <w:b/>
          <w:bCs/>
          <w:color w:val="333333"/>
        </w:rPr>
        <w:t>第一章 总 则 </w:t>
      </w:r>
    </w:p>
    <w:p w14:paraId="34853175"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第一条 为了规范行政单位的财务行为，加强行政单位财务管理和监督，提高资金使用效益，保障行政单位工作任务的完成，制定本规则。 </w:t>
      </w:r>
    </w:p>
    <w:p w14:paraId="74C71364"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第二条 本规则适用于各级各类国家机关、政党组织（以下统称行政单位）的财务活动。 </w:t>
      </w:r>
    </w:p>
    <w:p w14:paraId="143FE4E2"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第三条 行政单位财务管理的基本原则是：艰苦奋斗，厉行节约；量入为出，保障重点；从严从简，勤俭办一切事业；制止奢侈浪费，降低行政成本，注重资金使用效益。 </w:t>
      </w:r>
    </w:p>
    <w:p w14:paraId="723C67D3"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第四条 行政单位财务管理的主要任务是： </w:t>
      </w:r>
    </w:p>
    <w:p w14:paraId="1267EC90"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（一）科学、合理编制预算，严格预算执行，完整、准确、及时编制决算； </w:t>
      </w:r>
    </w:p>
    <w:p w14:paraId="37EAFACC"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（二）建立健全财务制度，实施内部控制管理，加强对行政单位财务活动的控制和监督； </w:t>
      </w:r>
    </w:p>
    <w:p w14:paraId="4CA43D93"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（三）全面实施绩效管理，提高资金使用效益； </w:t>
      </w:r>
    </w:p>
    <w:p w14:paraId="53DB0598"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（四）加强资产管理，合理配置、有效利用、规范处置资产，防止国有资产流失； </w:t>
      </w:r>
    </w:p>
    <w:p w14:paraId="14728637"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（五）按照规定编制决算报告和财务报告，真实反映单位预算执行情况、财务状况和运行情况； </w:t>
      </w:r>
    </w:p>
    <w:p w14:paraId="0893B856"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（六）对行政单位所属并归口行政财务管理的单位的财务活动实施指导、监督； </w:t>
      </w:r>
    </w:p>
    <w:p w14:paraId="2613723E"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（七）加强对非独立核算的机关后勤服务部门的财务管理，实行内部核算办法。 </w:t>
      </w:r>
    </w:p>
    <w:p w14:paraId="53127470"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第五条 行政单位的财务活动在单位负责人领导下，由单位财务部门统一管理。 </w:t>
      </w:r>
    </w:p>
    <w:p w14:paraId="0609C435"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行政单位应当实行独立核算，明确承担相关职责的机构，配备与履职相适应的财务、会计人员力量。不具备配备条件的，可以委托经批准从事代理记账业务的中介机构代理记账。 </w:t>
      </w:r>
    </w:p>
    <w:p w14:paraId="3FB8DEB9"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行政单位的各项经济业务事项应当按照国家统一的会计制度进行会计核算。 </w:t>
      </w:r>
    </w:p>
    <w:p w14:paraId="32454543" w14:textId="77777777" w:rsidR="00A032EB" w:rsidRDefault="00A032EB" w:rsidP="00A032EB">
      <w:pPr>
        <w:pStyle w:val="a3"/>
        <w:shd w:val="clear" w:color="auto" w:fill="FFFFFF"/>
        <w:spacing w:before="0" w:beforeAutospacing="0" w:after="240" w:afterAutospacing="0"/>
        <w:jc w:val="center"/>
        <w:rPr>
          <w:rFonts w:hint="eastAsia"/>
          <w:color w:val="333333"/>
        </w:rPr>
      </w:pPr>
      <w:r>
        <w:rPr>
          <w:rFonts w:hint="eastAsia"/>
          <w:b/>
          <w:bCs/>
          <w:color w:val="333333"/>
        </w:rPr>
        <w:t>第二章 单位预算管理 </w:t>
      </w:r>
    </w:p>
    <w:p w14:paraId="267EDDF4"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第六条 行政单位预算由收入预算和支出预算组成。 </w:t>
      </w:r>
    </w:p>
    <w:p w14:paraId="6C159F79"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第七条 按照预算管理权限，行政单位预算管理分为下列级次： </w:t>
      </w:r>
    </w:p>
    <w:p w14:paraId="1493C9E3"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（一）向本级财政部门申报预算的行政单位，为一级预算单位； </w:t>
      </w:r>
    </w:p>
    <w:p w14:paraId="04B4D6B8"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lastRenderedPageBreak/>
        <w:t xml:space="preserve">　　（二）向一级预算单位申报预算并有下级预算单位的行政单位，为二级预算单位，依次类推； </w:t>
      </w:r>
    </w:p>
    <w:p w14:paraId="289E0EBC"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（三）向上一级预算单位申报预算，且没有下级预算单位的行政单位，为基层预算单位。 </w:t>
      </w:r>
    </w:p>
    <w:p w14:paraId="52A81D7C"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一级预算单位有下级预算单位的，为主管预算单位。 </w:t>
      </w:r>
    </w:p>
    <w:p w14:paraId="167FFA10"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第八条 各级预算单位应当按照预算管理级次申报预算，并按照批准的预算组织实施，定期将预算执行情况向上一级预算单位或者本级财政部门报告。 </w:t>
      </w:r>
    </w:p>
    <w:p w14:paraId="46A8ED63"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第九条 国家对行政单位实行收支统一管理、结转和结余按照规定使用的预算管理办法。 </w:t>
      </w:r>
    </w:p>
    <w:p w14:paraId="59A7C3EF"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第十条 行政单位编制预算，应当综合考虑以下因素： </w:t>
      </w:r>
    </w:p>
    <w:p w14:paraId="141480EB"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（一）年度工作计划和收支预测； </w:t>
      </w:r>
    </w:p>
    <w:p w14:paraId="71A269B8"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（二）以前年度预算执行情况； </w:t>
      </w:r>
    </w:p>
    <w:p w14:paraId="7EBEBA71"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（三）以前年度结转和结余情况； </w:t>
      </w:r>
    </w:p>
    <w:p w14:paraId="760371F7"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（四）资产配置标准和存量资产情况； </w:t>
      </w:r>
    </w:p>
    <w:p w14:paraId="7D3806BD"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（五）有关绩效结果；</w:t>
      </w:r>
    </w:p>
    <w:p w14:paraId="69678428"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（六）其他因素。</w:t>
      </w:r>
    </w:p>
    <w:p w14:paraId="4345EA57"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第十一条 行政单位预算依照下列程序编报和审批： </w:t>
      </w:r>
    </w:p>
    <w:p w14:paraId="6C3BF673"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（一）行政单位测算、提出预算建议数，逐级汇总后报送本级财政部门； </w:t>
      </w:r>
    </w:p>
    <w:p w14:paraId="536A9ABA"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（二）财政部门审核行政单位提出的预算建议数，下达预算控制数； </w:t>
      </w:r>
    </w:p>
    <w:p w14:paraId="3BBEC2A3"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（三）行政单位根据预算控制数正式编制年度预算草案，逐级汇总后报送本级财政部门； </w:t>
      </w:r>
    </w:p>
    <w:p w14:paraId="203DC4BA"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（四）经法定程序批准后，财政部门批复行政单位预算。 </w:t>
      </w:r>
    </w:p>
    <w:p w14:paraId="7CB0E16B"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第十二条 行政单位应当严格执行预算，按照收支平衡的原则，合理安排各项资金，不得超预算安排支出。 </w:t>
      </w:r>
    </w:p>
    <w:p w14:paraId="28C4BB83"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预算在执行中应当严格控制调剂。确需调剂的，行政单位应当按照规定程序办理。 </w:t>
      </w:r>
    </w:p>
    <w:p w14:paraId="1E5A4AD0"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lastRenderedPageBreak/>
        <w:t xml:space="preserve">　　第十三条 行政单位应当按照规定编制决算草案，逐级审核汇总后报本级财政部门审批。 </w:t>
      </w:r>
    </w:p>
    <w:p w14:paraId="08F4C636"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第十四条 行政单位应当加强决算审核和分析，规范决算管理工作，保证决算数据的完整、真实、准确。 </w:t>
      </w:r>
    </w:p>
    <w:p w14:paraId="3164C562"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第十五条 行政单位应当全面实施预算绩效管理，加强绩效结果应用，提高资金使用效益。 </w:t>
      </w:r>
    </w:p>
    <w:p w14:paraId="01F50A2F" w14:textId="77777777" w:rsidR="00A032EB" w:rsidRDefault="00A032EB" w:rsidP="00A032EB">
      <w:pPr>
        <w:pStyle w:val="a3"/>
        <w:shd w:val="clear" w:color="auto" w:fill="FFFFFF"/>
        <w:spacing w:before="0" w:beforeAutospacing="0" w:after="240" w:afterAutospacing="0"/>
        <w:jc w:val="center"/>
        <w:rPr>
          <w:rFonts w:hint="eastAsia"/>
          <w:color w:val="333333"/>
        </w:rPr>
      </w:pPr>
      <w:r>
        <w:rPr>
          <w:rFonts w:hint="eastAsia"/>
          <w:b/>
          <w:bCs/>
          <w:color w:val="333333"/>
        </w:rPr>
        <w:t>第三章 收入管理 </w:t>
      </w:r>
    </w:p>
    <w:p w14:paraId="30946ECA"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第十六条 收入是指行政单位依法取得的非偿还性资金，包括财政拨款收入和其他收入。 </w:t>
      </w:r>
    </w:p>
    <w:p w14:paraId="496AFA53"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财政拨款收入，是指行政单位从本级财政部门取得的预算资金。 </w:t>
      </w:r>
    </w:p>
    <w:p w14:paraId="281222D0"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其他收入，是指行政单位依法取得的除财政拨款收入以外的各项收入。 </w:t>
      </w:r>
    </w:p>
    <w:p w14:paraId="5ACE452D"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行政单位依法取得的应当上缴财政的罚没收入、行政事业性收费收入、政府性基金收入、国有资源（资产）有偿使用收入等，不属于行政单位的收入。 </w:t>
      </w:r>
    </w:p>
    <w:p w14:paraId="3640B15B"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第十七条 行政单位取得各项收入，应当符合国家规定，按照财务管理的要求，分项如实核算。 </w:t>
      </w:r>
    </w:p>
    <w:p w14:paraId="6AE0BA03"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第十八条 行政单位应当将各项收入全部纳入单位预算，统一核算，统一管理，未纳入预算的收入不得安排支出。 </w:t>
      </w:r>
    </w:p>
    <w:p w14:paraId="4A4CE9A5" w14:textId="77777777" w:rsidR="00A032EB" w:rsidRDefault="00A032EB" w:rsidP="00A032EB">
      <w:pPr>
        <w:pStyle w:val="a3"/>
        <w:shd w:val="clear" w:color="auto" w:fill="FFFFFF"/>
        <w:spacing w:before="0" w:beforeAutospacing="0" w:after="240" w:afterAutospacing="0"/>
        <w:jc w:val="center"/>
        <w:rPr>
          <w:rFonts w:hint="eastAsia"/>
          <w:color w:val="333333"/>
        </w:rPr>
      </w:pPr>
      <w:r>
        <w:rPr>
          <w:rFonts w:hint="eastAsia"/>
          <w:b/>
          <w:bCs/>
          <w:color w:val="333333"/>
        </w:rPr>
        <w:t>第四章 支出管理</w:t>
      </w:r>
      <w:r>
        <w:rPr>
          <w:rFonts w:hint="eastAsia"/>
          <w:color w:val="333333"/>
        </w:rPr>
        <w:t> </w:t>
      </w:r>
    </w:p>
    <w:p w14:paraId="03AC2FA5"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第十九条 支出是指行政单位为保障机构正常运转和完成工作任务所发生的资金耗费和损失，包括基本支出和项目支出。 </w:t>
      </w:r>
    </w:p>
    <w:p w14:paraId="7FAC721A"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基本支出，是指行政单位为保障其机构正常运转和完成日常工作任务所发生的支出，包括人员经费和公用经费。 </w:t>
      </w:r>
    </w:p>
    <w:p w14:paraId="15A2533F"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项目支出，是指行政单位为完成其特定的工作任务所发生的支出。 </w:t>
      </w:r>
    </w:p>
    <w:p w14:paraId="0F605ED9"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第二十条 行政单位应当将各项支出全部以项目形式纳入预算项目库，实施项目全生命周期管理，未纳入预算项目库的项目一律不得安排预算。   </w:t>
      </w:r>
    </w:p>
    <w:p w14:paraId="7F235ED4"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各项支出由单位财务部门按照批准的预算和有关规定审核办理。 </w:t>
      </w:r>
    </w:p>
    <w:p w14:paraId="0AF9ED78"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第二十一条 行政单位应当严格执行国家规定的开支范围及标准，不得擅自扩大开支范围、提高开支标准，建立健全支出管理制度，合理安排支出进度，严控一般性支出。 </w:t>
      </w:r>
    </w:p>
    <w:p w14:paraId="3117D136"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lastRenderedPageBreak/>
        <w:t xml:space="preserve">　　第二十二条 行政单位从财政部门或者上级预算单位取得的项目资金，应当按照批准的项目和用途使用，专款专用，在单位统一会计账簿中按项目明细单独核算，并按照有关规定报告资金使用情况，接受财政部门和上级预算单位的监督。 </w:t>
      </w:r>
    </w:p>
    <w:p w14:paraId="79C1DC6E"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第二十三条 行政单位应当严格执行国库集中支付制度和政府采购法律制度等规定。 </w:t>
      </w:r>
    </w:p>
    <w:p w14:paraId="1D3263AC"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第二十四条 行政单位可以根据机构运转和完成工作任务的实际需要，实行成本核算。成本核算的具体办法按照国务院财政部门有关规定执行。 </w:t>
      </w:r>
    </w:p>
    <w:p w14:paraId="31266CC4"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第二十五条 行政单位应当依法依规加强各类票据管理，确保票据来源合法、内容真实、使用正确，不得使用虚假票据。 </w:t>
      </w:r>
    </w:p>
    <w:p w14:paraId="2A276648" w14:textId="77777777" w:rsidR="00A032EB" w:rsidRDefault="00A032EB" w:rsidP="00A032EB">
      <w:pPr>
        <w:pStyle w:val="a3"/>
        <w:shd w:val="clear" w:color="auto" w:fill="FFFFFF"/>
        <w:spacing w:before="0" w:beforeAutospacing="0" w:after="240" w:afterAutospacing="0"/>
        <w:jc w:val="center"/>
        <w:rPr>
          <w:rFonts w:hint="eastAsia"/>
          <w:color w:val="333333"/>
        </w:rPr>
      </w:pPr>
      <w:r>
        <w:rPr>
          <w:rFonts w:hint="eastAsia"/>
          <w:b/>
          <w:bCs/>
          <w:color w:val="333333"/>
        </w:rPr>
        <w:t>第五章 结转和结余管理 </w:t>
      </w:r>
    </w:p>
    <w:p w14:paraId="448BB225"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第二十六条 结转资金，是指当年预算已执行但未完成，或者因故未执行，下一年度需要按照原用途继续使用的资金。 </w:t>
      </w:r>
    </w:p>
    <w:p w14:paraId="3E3E150D"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第二十七条 结余资金，是指当年预算工作目标已完成，或者因故终止，当年剩余的资金。 </w:t>
      </w:r>
    </w:p>
    <w:p w14:paraId="6EBA64DE"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结转资金在规定使用年限未使用或者未使用完的，视为结余资金。 </w:t>
      </w:r>
    </w:p>
    <w:p w14:paraId="7FBC8DFC"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第二十八条 财政拨款结转和结余的管理，应当按照国家有关规定执行。 </w:t>
      </w:r>
    </w:p>
    <w:p w14:paraId="7F9FE79E" w14:textId="77777777" w:rsidR="00A032EB" w:rsidRDefault="00A032EB" w:rsidP="00A032EB">
      <w:pPr>
        <w:pStyle w:val="a3"/>
        <w:shd w:val="clear" w:color="auto" w:fill="FFFFFF"/>
        <w:spacing w:before="0" w:beforeAutospacing="0" w:after="240" w:afterAutospacing="0"/>
        <w:jc w:val="center"/>
        <w:rPr>
          <w:rFonts w:hint="eastAsia"/>
          <w:color w:val="333333"/>
        </w:rPr>
      </w:pPr>
      <w:r>
        <w:rPr>
          <w:rFonts w:hint="eastAsia"/>
          <w:b/>
          <w:bCs/>
          <w:color w:val="333333"/>
        </w:rPr>
        <w:t>第六章 资产管理 </w:t>
      </w:r>
    </w:p>
    <w:p w14:paraId="348587F8"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第二十九条 资产是指行政单位依法直接支配的、能以货币计量的各类经济资源，包括流动资产、固定资产、在建工程、无形资产、公共基础设施、政府储备物资、文物文化资产、保障性住房等。 </w:t>
      </w:r>
    </w:p>
    <w:p w14:paraId="01BDFA68"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第三十条 流动资产是指预计在一年以内耗用或者可以变现的资产，包括货币资金、应收及预付款项、存货等。 </w:t>
      </w:r>
    </w:p>
    <w:p w14:paraId="703C1BEE"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前款所称存货是指行政单位在工作中为耗用而储存的资产，包括材料、产品、包装物和低值易耗品以及未达到固定资产标准的用具、装具、动植物等。 </w:t>
      </w:r>
    </w:p>
    <w:p w14:paraId="4D08637D"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第三十一条 固定资产是指使用期限超过一年，单位价值在1000元以上，并且在使用过程中基本保持原有物质形态的资产。单位价值虽未达到规定标准，但是耐用时间在一年以上的大批同类物资，作为固定资产管理。 </w:t>
      </w:r>
    </w:p>
    <w:p w14:paraId="55DD7DB6"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第三十二条 在建工程是指已经发生必要支出，但尚未达到交付使用状态的建设项目工程。 </w:t>
      </w:r>
    </w:p>
    <w:p w14:paraId="2D2C9E03"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lastRenderedPageBreak/>
        <w:t xml:space="preserve">　　在建工程达到交付使用状态时，应当按照规定办理工程竣工财务决算和资产交付使用，期限最长不得超过1年。 </w:t>
      </w:r>
    </w:p>
    <w:p w14:paraId="23B6AC56"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第三十三条 无形资产是指不具有实物形态而能为使用者提供某种权利的资产，包括专利权、商标权、著作权、土地使用权、非专利技术等。 </w:t>
      </w:r>
    </w:p>
    <w:p w14:paraId="31FE3184"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第三十四条 行政单位应当建立健全单位资产管理制度，明确资产使用人和管理人的岗位责任，按照国家规定设置国有资产台账，加强和规范资产配置、使用和处置管理，维护资产安全完整。涉及资产评估的，按照国家有关规定执行。 </w:t>
      </w:r>
    </w:p>
    <w:p w14:paraId="7FBE595C"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行政单位应当汇总编制本单位行政事业性国有资产管理情况报告。 </w:t>
      </w:r>
    </w:p>
    <w:p w14:paraId="44771868"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第三十五条 行政单位应当根据依法履行职能和完成工作任务的需要，结合资产存量和价值、资产配置标准、绩效目标和财政承受能力，优先通过调剂方式配置资产。不能调剂的，可以采用购置、建设、租用等方式。 </w:t>
      </w:r>
    </w:p>
    <w:p w14:paraId="27F01C88"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第三十六条 行政单位应当加强资产日常管理工作，做好资产建账、核算和登记工作，定期或者不定期进行清查盘点、对账，保证账账相符，账实相符。出现资产盘盈盘亏的，应当按照财务、会计和资产管理制度有关规定处理。 </w:t>
      </w:r>
    </w:p>
    <w:p w14:paraId="41836393"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行政单位对需要办理权属登记的资产应当依法及时办理。 </w:t>
      </w:r>
    </w:p>
    <w:p w14:paraId="688FD3E5"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第三十七条 行政单位开设银行存款账户，应当报本级财政部门审批或者备案，并由财务部门统一管理。 </w:t>
      </w:r>
    </w:p>
    <w:p w14:paraId="70C0DBB2"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第三十八条 行政单位应当加强应收及预付款项的管理，严格控制规模，并及时进行清理，不得长期挂账。 </w:t>
      </w:r>
    </w:p>
    <w:p w14:paraId="31B91DE5"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第三十九条 行政单位的资产增加时，应当及时登记入账；减少时，应当按照资产处置规定办理报批手续，进行账务处理。 </w:t>
      </w:r>
    </w:p>
    <w:p w14:paraId="25BCB921"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行政单位货币性资产损失核销，按照本级财政部门预算及财务管理有关规定执行。 </w:t>
      </w:r>
    </w:p>
    <w:p w14:paraId="5416DFC8"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第四十条 除法律另有规定外，行政单位不得以任何形式用其依法直接支配的国有资产对外投资或者设立营利性组织。对于未与行政单位脱钩的营利性组织，行政单位应当按照有关规定进行监管。 </w:t>
      </w:r>
    </w:p>
    <w:p w14:paraId="0C93EFB9"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除法律、行政法规另有规定外，行政单位不得以任何方式举借债务，不得以任何方式对外提供担保。 </w:t>
      </w:r>
    </w:p>
    <w:p w14:paraId="22604D8C"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第四十一条 行政单位对外出租、出借国有资产，应当按照有关规定履行相关审批程序。未经批准，不得对外出租、出借。 </w:t>
      </w:r>
    </w:p>
    <w:p w14:paraId="638BB652"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lastRenderedPageBreak/>
        <w:t xml:space="preserve">　　第四十二条 行政单位应当在确保安全使用的前提下，推进本单位大型设备等国有资产共享共用工作，可以对提供方给予合理补偿。 </w:t>
      </w:r>
    </w:p>
    <w:p w14:paraId="01DE460E"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第四十三条 行政单位资产处置应当遵循公开、公平、公正和竞争、择优的原则，依法进行资产评估，严格履行相关审批程序。 </w:t>
      </w:r>
    </w:p>
    <w:p w14:paraId="47322788"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第四十四条 公共基础设施、政府储备物资、文物文化资产、保障性住房等国有资产管理的具体办法，由国务院财政部门会同有关部门制定。 </w:t>
      </w:r>
    </w:p>
    <w:p w14:paraId="6A2358D5" w14:textId="77777777" w:rsidR="00A032EB" w:rsidRDefault="00A032EB" w:rsidP="00A032EB">
      <w:pPr>
        <w:pStyle w:val="a3"/>
        <w:shd w:val="clear" w:color="auto" w:fill="FFFFFF"/>
        <w:spacing w:before="0" w:beforeAutospacing="0" w:after="240" w:afterAutospacing="0"/>
        <w:jc w:val="center"/>
        <w:rPr>
          <w:rFonts w:hint="eastAsia"/>
          <w:color w:val="333333"/>
        </w:rPr>
      </w:pPr>
      <w:r>
        <w:rPr>
          <w:rFonts w:hint="eastAsia"/>
          <w:b/>
          <w:bCs/>
          <w:color w:val="333333"/>
        </w:rPr>
        <w:t>第七章 负债管理 </w:t>
      </w:r>
    </w:p>
    <w:p w14:paraId="6913DEB5"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第四十五条 负债是指行政单位过去的经济业务事项形成的、预期会导致经济资源流出的现时义务，包括应缴款项、暂存款项、应付款项等。 </w:t>
      </w:r>
    </w:p>
    <w:p w14:paraId="3A53C535"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第四十六条 应缴款项是指行政单位依法取得的应当上缴财政的资金，包括罚没收入、行政事业性收费收入、政府性基金收入、国有资源（资产）有偿使用收入等。 </w:t>
      </w:r>
    </w:p>
    <w:p w14:paraId="3AC15AF8"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第四十七条 行政单位取得罚没收入、行政事业性收费收入、政府性基金收入、国有资源（资产）有偿使用收入等，应当按照国库集中收缴的有关规定及时足额上缴，不得隐瞒、滞留、截留、占用、挪用、拖欠或者坐支。 </w:t>
      </w:r>
    </w:p>
    <w:p w14:paraId="26CBB855"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第四十八条 暂存款项是行政单位在业务活动中与其他单位或者个人发生的预收、代管等待结算的款项。 </w:t>
      </w:r>
    </w:p>
    <w:p w14:paraId="706B5F5B"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第四十九条 行政单位应当加强对暂存款项的管理，不得将应当纳入单位收入管理的款项列入暂存款项；对各种暂存款项应当及时清理、结算，不得长期挂账。 </w:t>
      </w:r>
    </w:p>
    <w:p w14:paraId="62361507" w14:textId="77777777" w:rsidR="00A032EB" w:rsidRDefault="00A032EB" w:rsidP="00A032EB">
      <w:pPr>
        <w:pStyle w:val="a3"/>
        <w:shd w:val="clear" w:color="auto" w:fill="FFFFFF"/>
        <w:spacing w:before="0" w:beforeAutospacing="0" w:after="240" w:afterAutospacing="0"/>
        <w:jc w:val="center"/>
        <w:rPr>
          <w:rFonts w:hint="eastAsia"/>
          <w:color w:val="333333"/>
        </w:rPr>
      </w:pPr>
      <w:r>
        <w:rPr>
          <w:rFonts w:hint="eastAsia"/>
          <w:b/>
          <w:bCs/>
          <w:color w:val="333333"/>
        </w:rPr>
        <w:t>第八章 行政单位划转撤并的财务处理 </w:t>
      </w:r>
    </w:p>
    <w:p w14:paraId="4FD187D5"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第五十条 行政单位划转撤并的财务处理，应当在财政部门、主管预算单位等部门的监督指导下进行。 </w:t>
      </w:r>
    </w:p>
    <w:p w14:paraId="3454CB80"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划转撤并的行政单位应当对单位的财产、债权、债务等进行全面清理，编制财产目录和债权、债务清单，提出财产作价依据和债权、债务处理办法，做好资产和负债的移交、接收、划转和管理工作，并妥善处理各项遗留问题。 </w:t>
      </w:r>
    </w:p>
    <w:p w14:paraId="340FAE2A"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第五十一条 划转撤并的行政单位的资产和负债经主管预算单位审核并上报财政部门和有关部门批准后，分别按照下列规定处理： </w:t>
      </w:r>
    </w:p>
    <w:p w14:paraId="589951BB"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（一）转为事业单位和改变隶属关系的行政单位，其资产和负债无偿移交，并相应调整、划转经费指标。 </w:t>
      </w:r>
    </w:p>
    <w:p w14:paraId="0CE14FEC"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（二）转为企业的行政单位，其资产按照有关规定进行评估作价并扣除负债后，转作企业的国有资本。 </w:t>
      </w:r>
    </w:p>
    <w:p w14:paraId="3AC3D42C"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lastRenderedPageBreak/>
        <w:t xml:space="preserve">　　（三）撤销的行政单位，其全部资产和负债由财政部门或者财政部门授权的单位处理。 </w:t>
      </w:r>
    </w:p>
    <w:p w14:paraId="05AF61BF"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（四）合并的行政单位，其全部资产和负债移交接收单位或者新组建单位，并相应划转经费指标；合并后多余的资产，由财政部门或者财政部门授权的单位处理。 </w:t>
      </w:r>
    </w:p>
    <w:p w14:paraId="344593FC"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（五）分立的行政单位，其资产和负债按照有关规定移交分立后的行政单位，并相应划转经费指标。 </w:t>
      </w:r>
    </w:p>
    <w:p w14:paraId="6C4AFBD7" w14:textId="77777777" w:rsidR="00A032EB" w:rsidRDefault="00A032EB" w:rsidP="00A032EB">
      <w:pPr>
        <w:pStyle w:val="a3"/>
        <w:shd w:val="clear" w:color="auto" w:fill="FFFFFF"/>
        <w:spacing w:before="0" w:beforeAutospacing="0" w:after="240" w:afterAutospacing="0"/>
        <w:jc w:val="center"/>
        <w:rPr>
          <w:rFonts w:hint="eastAsia"/>
          <w:color w:val="333333"/>
        </w:rPr>
      </w:pPr>
      <w:r>
        <w:rPr>
          <w:rFonts w:hint="eastAsia"/>
          <w:b/>
          <w:bCs/>
          <w:color w:val="333333"/>
        </w:rPr>
        <w:t>第九章 财务报告和决算报告 </w:t>
      </w:r>
    </w:p>
    <w:p w14:paraId="13AC6A62"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第五十二条 行政单位应当按照国家有关规定向主管预算单位和财政部门以及其他有关的报告使用者提供财务报告、决算报告。 </w:t>
      </w:r>
    </w:p>
    <w:p w14:paraId="5879EE11"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行政单位财务会计和预算会计要素的确认、计量、记录、报告应当遵循政府会计准则制度的规定。 </w:t>
      </w:r>
    </w:p>
    <w:p w14:paraId="58AEF26B"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第五十三条 财务报告主要以权责发生制为基础编制，以财务会计核算生成的数据为准，综合反映行政单位特定日期财务状况和一定时期运行情况等信息。 </w:t>
      </w:r>
    </w:p>
    <w:p w14:paraId="4A96D075"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第五十四条 财务报告由财务报表和财务分析两部分组成。财务报表主要包括资产负债表、收入费用表等会计报表和报表附注。财务分析的内容主要包括财务状况分析、运行情况分析和财务管理情况等。 </w:t>
      </w:r>
    </w:p>
    <w:p w14:paraId="16C7ED53"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第五十五条 决算报告主要以收付实现制为基础编制，以预算会计核算生成的数据为准，综合反映行政单位年度预算收支执行结果等信息。 </w:t>
      </w:r>
    </w:p>
    <w:p w14:paraId="0EE8544F"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第五十六条 决算报告由决算报表和决算分析两部分组成。决算报表主要包括收入支出表、财政拨款收入支出表等。决算分析的内容主要包括收支预算执行分析、资金使用效益分析和机构人员情况等。 </w:t>
      </w:r>
    </w:p>
    <w:p w14:paraId="01F7154C" w14:textId="77777777" w:rsidR="00A032EB" w:rsidRDefault="00A032EB" w:rsidP="00A032EB">
      <w:pPr>
        <w:pStyle w:val="a3"/>
        <w:shd w:val="clear" w:color="auto" w:fill="FFFFFF"/>
        <w:spacing w:before="0" w:beforeAutospacing="0" w:after="240" w:afterAutospacing="0"/>
        <w:jc w:val="center"/>
        <w:rPr>
          <w:rFonts w:hint="eastAsia"/>
          <w:color w:val="333333"/>
        </w:rPr>
      </w:pPr>
      <w:r>
        <w:rPr>
          <w:rFonts w:hint="eastAsia"/>
          <w:b/>
          <w:bCs/>
          <w:color w:val="333333"/>
        </w:rPr>
        <w:t>第十章 财务监督 </w:t>
      </w:r>
    </w:p>
    <w:p w14:paraId="7EF8B9BB"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第五十七条 行政单位财务监督主要包括对预算管理、收入管理、支出管理、结转和结余管理、资产管理、负债管理等的监督。 </w:t>
      </w:r>
    </w:p>
    <w:p w14:paraId="26FA32D3"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第五十八条 行政单位财务监督应当实行事前监督、事中监督、事后监督相结合，日常监督与专项监督相结合，并对违反财务规章制度的问题进行检查处理。 </w:t>
      </w:r>
    </w:p>
    <w:p w14:paraId="677C84AB"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第五十九条 行政单位应当建立健全内部控制制度、经济责任制度、财务信息披露制度等监督制度，按照规定编制内部控制报告，依法依规公开财务信息，做好预决算公开工作。 </w:t>
      </w:r>
    </w:p>
    <w:p w14:paraId="2EFA80EB"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lastRenderedPageBreak/>
        <w:t xml:space="preserve">　　第六十条 行政单位应当遵守财经纪律和财务制度，依法接受主管预算单位和财政、审计部门的监督。 </w:t>
      </w:r>
    </w:p>
    <w:p w14:paraId="5B308751"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第六十一条 财政部门、行政单位及其工作人员存在违反本规则规定的行为，以及其他滥用职权、玩忽职守、徇私舞弊等违法违规行为的，依法追究相应责任。 </w:t>
      </w:r>
    </w:p>
    <w:p w14:paraId="6FC4275C" w14:textId="77777777" w:rsidR="00A032EB" w:rsidRDefault="00A032EB" w:rsidP="00A032EB">
      <w:pPr>
        <w:pStyle w:val="a3"/>
        <w:shd w:val="clear" w:color="auto" w:fill="FFFFFF"/>
        <w:spacing w:before="0" w:beforeAutospacing="0" w:after="240" w:afterAutospacing="0"/>
        <w:jc w:val="center"/>
        <w:rPr>
          <w:rFonts w:hint="eastAsia"/>
          <w:color w:val="333333"/>
        </w:rPr>
      </w:pPr>
      <w:r>
        <w:rPr>
          <w:rFonts w:hint="eastAsia"/>
          <w:b/>
          <w:bCs/>
          <w:color w:val="333333"/>
        </w:rPr>
        <w:t>第十一章 附则 </w:t>
      </w:r>
    </w:p>
    <w:p w14:paraId="5326D4B4"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第六十二条 行政单位基本建设投资的财务管理，应当执行本规则，但国家基本建设投资财务管理制度另有规定的，从其规定。 </w:t>
      </w:r>
    </w:p>
    <w:p w14:paraId="13BAE6F8"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第六十三条 行政单位应当严格按照《中华人民共和国保守国家秘密法》等法律法规和有关规定，做好涉密事项的财务管理工作。 </w:t>
      </w:r>
    </w:p>
    <w:p w14:paraId="043B68F3"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第六十四条 行政单位所属独立核算的企业、事业单位分别执行相应的财务制度，不执行本规则。 </w:t>
      </w:r>
    </w:p>
    <w:p w14:paraId="7635F63C"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第六十五条 省、自治区、直辖市人民政府财政部门可以依据本规则结合本地区实际情况制定实施办法。 </w:t>
      </w:r>
    </w:p>
    <w:p w14:paraId="0F345256" w14:textId="77777777" w:rsidR="00A032EB" w:rsidRDefault="00A032EB" w:rsidP="00A032EB">
      <w:pPr>
        <w:pStyle w:val="a3"/>
        <w:shd w:val="clear" w:color="auto" w:fill="FFFFFF"/>
        <w:spacing w:before="0" w:beforeAutospacing="0" w:after="240" w:afterAutospacing="0"/>
        <w:rPr>
          <w:rFonts w:hint="eastAsia"/>
          <w:color w:val="333333"/>
        </w:rPr>
      </w:pPr>
      <w:r>
        <w:rPr>
          <w:rFonts w:hint="eastAsia"/>
          <w:color w:val="333333"/>
        </w:rPr>
        <w:t xml:space="preserve">　　第六十六条 本规则自2023年3月1日起施行。《行政单位财务规则》（财政部令第71号）同时废止。 </w:t>
      </w:r>
    </w:p>
    <w:p w14:paraId="2C078E63" w14:textId="77777777" w:rsidR="00F978DC" w:rsidRDefault="00F978DC">
      <w:pPr>
        <w:rPr>
          <w:lang w:eastAsia="zh-CN"/>
        </w:rPr>
      </w:pPr>
    </w:p>
    <w:sectPr w:rsidR="00F978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78DC"/>
    <w:rsid w:val="006B18C4"/>
    <w:rsid w:val="00A032EB"/>
    <w:rsid w:val="00F978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3FB4884A-B5EF-CA4D-A428-8E8BACE59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A032EB"/>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890</Words>
  <Characters>5078</Characters>
  <Application>Microsoft Office Word</Application>
  <DocSecurity>0</DocSecurity>
  <Lines>42</Lines>
  <Paragraphs>11</Paragraphs>
  <ScaleCrop>false</ScaleCrop>
  <Company/>
  <LinksUpToDate>false</LinksUpToDate>
  <CharactersWithSpaces>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2026-07-21T16:09:00Z</dcterms:modified>
</cp:coreProperties>
</file>