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9F554">
      <w:pPr>
        <w:widowControl/>
        <w:spacing w:line="540" w:lineRule="exact"/>
        <w:jc w:val="left"/>
        <w:rPr>
          <w:rFonts w:ascii="仿宋_GB2312" w:hAnsi="Calibri" w:eastAsia="仿宋_GB2312"/>
          <w:b/>
          <w:sz w:val="30"/>
          <w:szCs w:val="30"/>
        </w:rPr>
      </w:pPr>
      <w:r>
        <w:rPr>
          <w:rFonts w:hint="eastAsia" w:ascii="仿宋_GB2312" w:hAnsi="Calibri" w:eastAsia="仿宋_GB2312"/>
          <w:b/>
          <w:sz w:val="30"/>
          <w:szCs w:val="30"/>
        </w:rPr>
        <w:t>附件</w:t>
      </w:r>
    </w:p>
    <w:p w14:paraId="79A58287">
      <w:pPr>
        <w:widowControl/>
        <w:spacing w:line="540" w:lineRule="exact"/>
        <w:jc w:val="left"/>
        <w:rPr>
          <w:rFonts w:ascii="仿宋_GB2312" w:hAnsi="Calibri" w:eastAsia="仿宋_GB2312"/>
          <w:sz w:val="30"/>
          <w:szCs w:val="30"/>
        </w:rPr>
      </w:pPr>
    </w:p>
    <w:p w14:paraId="344317C1">
      <w:pPr>
        <w:widowControl/>
        <w:spacing w:line="540" w:lineRule="exact"/>
        <w:ind w:left="-424" w:leftChars="-202" w:right="-340" w:rightChars="-162"/>
        <w:jc w:val="center"/>
        <w:rPr>
          <w:rFonts w:ascii="方正大标宋简体" w:hAnsi="黑体" w:eastAsia="方正大标宋简体"/>
          <w:color w:val="000000"/>
          <w:kern w:val="44"/>
          <w:sz w:val="42"/>
          <w:szCs w:val="42"/>
        </w:rPr>
      </w:pPr>
      <w:r>
        <w:rPr>
          <w:rFonts w:hint="eastAsia" w:ascii="方正大标宋简体" w:hAnsi="黑体" w:eastAsia="方正大标宋简体"/>
          <w:sz w:val="42"/>
          <w:szCs w:val="42"/>
        </w:rPr>
        <w:t xml:space="preserve">上海证券交易所 </w:t>
      </w:r>
      <w:r>
        <w:rPr>
          <w:rFonts w:hint="eastAsia" w:ascii="方正大标宋简体" w:hAnsi="黑体" w:eastAsia="方正大标宋简体"/>
          <w:color w:val="000000"/>
          <w:kern w:val="44"/>
          <w:sz w:val="42"/>
          <w:szCs w:val="42"/>
        </w:rPr>
        <w:t>中国证券登记结算有限责任公司</w:t>
      </w:r>
      <w:r>
        <w:rPr>
          <w:rFonts w:hint="eastAsia" w:ascii="方正大标宋简体" w:hAnsi="黑体" w:eastAsia="方正大标宋简体"/>
          <w:sz w:val="42"/>
          <w:szCs w:val="42"/>
        </w:rPr>
        <w:t>信用保护工具业务管理试点办法</w:t>
      </w:r>
    </w:p>
    <w:p w14:paraId="525268E3">
      <w:pPr>
        <w:spacing w:line="540" w:lineRule="exact"/>
        <w:ind w:firstLine="600" w:firstLineChars="200"/>
        <w:rPr>
          <w:rFonts w:ascii="仿宋_GB2312" w:eastAsia="仿宋_GB2312"/>
          <w:sz w:val="30"/>
          <w:szCs w:val="30"/>
        </w:rPr>
      </w:pPr>
    </w:p>
    <w:p w14:paraId="3835906A">
      <w:pPr>
        <w:spacing w:line="540" w:lineRule="exact"/>
        <w:jc w:val="center"/>
        <w:rPr>
          <w:rFonts w:ascii="黑体" w:eastAsia="黑体"/>
          <w:b/>
          <w:sz w:val="30"/>
          <w:szCs w:val="30"/>
        </w:rPr>
      </w:pPr>
      <w:r>
        <w:rPr>
          <w:rFonts w:hint="eastAsia" w:ascii="黑体" w:eastAsia="黑体"/>
          <w:b/>
          <w:sz w:val="30"/>
          <w:szCs w:val="30"/>
        </w:rPr>
        <w:t>第一章</w:t>
      </w:r>
      <w:r>
        <w:rPr>
          <w:rFonts w:ascii="黑体" w:eastAsia="黑体"/>
          <w:b/>
          <w:sz w:val="30"/>
          <w:szCs w:val="30"/>
        </w:rPr>
        <w:t xml:space="preserve"> </w:t>
      </w:r>
      <w:r>
        <w:rPr>
          <w:rFonts w:hint="eastAsia" w:ascii="黑体" w:eastAsia="黑体"/>
          <w:b/>
          <w:sz w:val="30"/>
          <w:szCs w:val="30"/>
        </w:rPr>
        <w:t>总则</w:t>
      </w:r>
    </w:p>
    <w:p w14:paraId="40FA74F6">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第一条</w:t>
      </w:r>
      <w:r>
        <w:rPr>
          <w:rFonts w:hint="eastAsia" w:ascii="仿宋_GB2312" w:eastAsia="仿宋_GB2312"/>
          <w:sz w:val="30"/>
          <w:szCs w:val="30"/>
        </w:rPr>
        <w:t>为健全信用风险分担机制，促进债券市场健康稳定发展，根据</w:t>
      </w:r>
      <w:r>
        <w:rPr>
          <w:rFonts w:hint="eastAsia" w:ascii="仿宋_GB2312" w:hAnsi="宋体" w:eastAsia="仿宋_GB2312" w:cs="宋体"/>
          <w:sz w:val="30"/>
          <w:szCs w:val="30"/>
        </w:rPr>
        <w:t>《中华人民共和国证券法》《中华人民共和国合同法》等法律、</w:t>
      </w:r>
      <w:r>
        <w:rPr>
          <w:rFonts w:hint="eastAsia" w:ascii="仿宋_GB2312" w:eastAsia="仿宋_GB2312"/>
          <w:sz w:val="30"/>
          <w:szCs w:val="30"/>
        </w:rPr>
        <w:t>行政法规、部门规章及上海证券交易所（以下简称上交所）和中国证券登记结算有限责任公司（以下简称中国结算）</w:t>
      </w:r>
      <w:r>
        <w:rPr>
          <w:rFonts w:hint="eastAsia" w:ascii="仿宋_GB2312" w:hAnsi="宋体" w:eastAsia="仿宋_GB2312" w:cs="宋体"/>
          <w:sz w:val="30"/>
          <w:szCs w:val="30"/>
        </w:rPr>
        <w:t>的</w:t>
      </w:r>
      <w:r>
        <w:rPr>
          <w:rFonts w:hint="eastAsia" w:ascii="仿宋_GB2312" w:eastAsia="仿宋_GB2312"/>
          <w:sz w:val="30"/>
          <w:szCs w:val="30"/>
        </w:rPr>
        <w:t>相关业务规则，制定本办法。</w:t>
      </w:r>
    </w:p>
    <w:p w14:paraId="1C34A7BA">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第二条</w:t>
      </w:r>
      <w:r>
        <w:rPr>
          <w:rFonts w:hint="eastAsia" w:ascii="仿宋_GB2312" w:eastAsia="仿宋_GB2312"/>
          <w:sz w:val="30"/>
          <w:szCs w:val="30"/>
        </w:rPr>
        <w:t>本办法所称信用保护工具，是指信用保护卖方和信用保护买方（以下合称交易双方）达成的，约定在未来一定期限内，信用保护买方（以下简称买方）按照约定的标准和方式向信用保护卖方（以下简称卖方）支付信用保护费用，由卖方就约定的一个或多个参考实体或其符合特定债务种类和债务特征的一个或多个、一类或多类债务向买方提供信用风险保护的金融工具。</w:t>
      </w:r>
    </w:p>
    <w:p w14:paraId="4795D7A5">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第三条</w:t>
      </w:r>
      <w:r>
        <w:rPr>
          <w:rFonts w:hint="eastAsia" w:ascii="仿宋_GB2312" w:eastAsia="仿宋_GB2312"/>
          <w:sz w:val="30"/>
          <w:szCs w:val="30"/>
        </w:rPr>
        <w:t>信用保护工具包括信用保护合约（以下简称合约）和信用保护凭证（以下简称凭证）。</w:t>
      </w:r>
    </w:p>
    <w:p w14:paraId="5914FFCC">
      <w:pPr>
        <w:spacing w:line="540" w:lineRule="exact"/>
        <w:ind w:firstLine="600" w:firstLineChars="200"/>
        <w:rPr>
          <w:rFonts w:ascii="仿宋_GB2312" w:eastAsia="仿宋_GB2312"/>
          <w:sz w:val="30"/>
          <w:szCs w:val="30"/>
        </w:rPr>
      </w:pPr>
      <w:r>
        <w:rPr>
          <w:rFonts w:hint="eastAsia" w:ascii="仿宋_GB2312" w:eastAsia="仿宋_GB2312"/>
          <w:sz w:val="30"/>
          <w:szCs w:val="30"/>
        </w:rPr>
        <w:t>合约由交易双方签署的《中国证券期货市场衍生品交易主协议(信用保护合约专用版)》（以下简称主协议）、补充协议（如有）以及通过上交所交易系统（以下简称交易系统）生成的交易确认书等</w:t>
      </w:r>
      <w:r>
        <w:rPr>
          <w:rFonts w:hint="eastAsia" w:ascii="仿宋_GB2312" w:hAnsi="宋体" w:eastAsia="仿宋_GB2312" w:cs="宋体"/>
          <w:sz w:val="30"/>
          <w:szCs w:val="30"/>
        </w:rPr>
        <w:t>一系列合同文本组成</w:t>
      </w:r>
      <w:r>
        <w:rPr>
          <w:rFonts w:hint="eastAsia" w:ascii="仿宋_GB2312" w:eastAsia="仿宋_GB2312"/>
          <w:sz w:val="30"/>
          <w:szCs w:val="30"/>
        </w:rPr>
        <w:t>。合约项下的相关权利义务由交易双方各自享有和承担，不可转让。</w:t>
      </w:r>
    </w:p>
    <w:p w14:paraId="4825766F">
      <w:pPr>
        <w:spacing w:line="540" w:lineRule="exact"/>
        <w:ind w:firstLine="600" w:firstLineChars="200"/>
        <w:rPr>
          <w:rFonts w:ascii="仿宋_GB2312" w:eastAsia="仿宋_GB2312"/>
          <w:sz w:val="30"/>
          <w:szCs w:val="30"/>
        </w:rPr>
      </w:pPr>
      <w:r>
        <w:rPr>
          <w:rFonts w:hint="eastAsia" w:ascii="仿宋_GB2312" w:eastAsia="仿宋_GB2312"/>
          <w:sz w:val="30"/>
          <w:szCs w:val="30"/>
        </w:rPr>
        <w:t>凭证由凭证创设机构（以下简称创设机构）创设，就一个或多个参考实体或其符合特定债务种类和债务特征的一个或多个、一类或多类债务向凭证持有人提供信用保护，并可以通过交易系统转让。</w:t>
      </w:r>
    </w:p>
    <w:p w14:paraId="0575B651">
      <w:pPr>
        <w:pStyle w:val="53"/>
        <w:numPr>
          <w:ilvl w:val="0"/>
          <w:numId w:val="0"/>
        </w:numPr>
        <w:spacing w:line="540" w:lineRule="exact"/>
        <w:ind w:left="0" w:leftChars="0" w:firstLine="602" w:firstLineChars="200"/>
      </w:pPr>
      <w:r>
        <w:rPr>
          <w:rFonts w:hint="eastAsia" w:ascii="仿宋_GB2312" w:hAnsi="Times New Roman" w:eastAsia="仿宋_GB2312" w:cs="Times New Roman"/>
          <w:b/>
          <w:bCs/>
          <w:i w:val="0"/>
          <w:kern w:val="2"/>
          <w:sz w:val="30"/>
          <w:szCs w:val="30"/>
          <w:lang w:val="en-US" w:eastAsia="zh-CN" w:bidi="ar-SA"/>
        </w:rPr>
        <w:t>第四条</w:t>
      </w:r>
      <w:r>
        <w:rPr>
          <w:rFonts w:hint="eastAsia" w:ascii="仿宋_GB2312" w:eastAsia="仿宋_GB2312"/>
          <w:sz w:val="30"/>
          <w:szCs w:val="30"/>
        </w:rPr>
        <w:t>信用保护工具的参与者管理、创设、交易、结算、信息披露等事宜，适用本办法。本办法未尽事宜，参照上交所、中国结算其他业务规则办理。</w:t>
      </w:r>
    </w:p>
    <w:p w14:paraId="77459F42">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第五条</w:t>
      </w:r>
      <w:r>
        <w:rPr>
          <w:rFonts w:hint="eastAsia" w:ascii="仿宋_GB2312" w:eastAsia="仿宋_GB2312"/>
          <w:sz w:val="30"/>
          <w:szCs w:val="30"/>
        </w:rPr>
        <w:t>交易双方在合约交易前应当签署主协议并报送上交所和中国证券业协会。交易双方可以就合约的违约情形、履约保障等相关事宜签署补充协议，但不得违反法律法规、本办法及上交所、中国结算的其他相关规定。</w:t>
      </w:r>
    </w:p>
    <w:p w14:paraId="41EA9BAA">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第六条</w:t>
      </w:r>
      <w:r>
        <w:rPr>
          <w:rFonts w:hint="eastAsia" w:ascii="仿宋_GB2312" w:eastAsia="仿宋_GB2312"/>
          <w:sz w:val="30"/>
          <w:szCs w:val="30"/>
        </w:rPr>
        <w:t>交易双方就信用保护工具达成交易</w:t>
      </w:r>
      <w:r>
        <w:rPr>
          <w:rFonts w:hint="eastAsia" w:ascii="仿宋_GB2312" w:hAnsi="宋体" w:eastAsia="仿宋_GB2312" w:cs="宋体"/>
          <w:sz w:val="30"/>
          <w:szCs w:val="30"/>
        </w:rPr>
        <w:t>并通过交易系统确认</w:t>
      </w:r>
      <w:r>
        <w:rPr>
          <w:rFonts w:hint="eastAsia" w:ascii="仿宋_GB2312" w:eastAsia="仿宋_GB2312"/>
          <w:sz w:val="30"/>
          <w:szCs w:val="30"/>
        </w:rPr>
        <w:t>后，应当认可成交结果，并按照规定和约定履行义务。</w:t>
      </w:r>
    </w:p>
    <w:p w14:paraId="295AD1E1">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第七条</w:t>
      </w:r>
      <w:r>
        <w:rPr>
          <w:rFonts w:hint="eastAsia" w:ascii="仿宋_GB2312" w:eastAsia="仿宋_GB2312"/>
          <w:sz w:val="30"/>
          <w:szCs w:val="30"/>
        </w:rPr>
        <w:t>上交所根据本办法及其他相关规定对市场参与者及相关人员进行自律管理。上交所为信用保护工具提供成交确认平台服务，发布相关行情信息，并进行集中监测。</w:t>
      </w:r>
    </w:p>
    <w:p w14:paraId="1B933AD9">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第八条</w:t>
      </w:r>
      <w:r>
        <w:rPr>
          <w:rFonts w:hint="eastAsia" w:ascii="仿宋_GB2312" w:eastAsia="仿宋_GB2312"/>
          <w:sz w:val="30"/>
          <w:szCs w:val="30"/>
        </w:rPr>
        <w:t>中国结算根据交易系统发送的数据为信用保护工具提供登记结算服务。</w:t>
      </w:r>
    </w:p>
    <w:p w14:paraId="7DAB9711">
      <w:pPr>
        <w:spacing w:line="540" w:lineRule="exact"/>
        <w:jc w:val="center"/>
        <w:rPr>
          <w:rFonts w:ascii="黑体" w:eastAsia="黑体"/>
          <w:b/>
          <w:sz w:val="30"/>
          <w:szCs w:val="30"/>
        </w:rPr>
      </w:pPr>
      <w:r>
        <w:rPr>
          <w:rFonts w:hint="eastAsia" w:ascii="黑体" w:eastAsia="黑体"/>
          <w:b/>
          <w:sz w:val="30"/>
          <w:szCs w:val="30"/>
        </w:rPr>
        <w:t>第二章</w:t>
      </w:r>
      <w:r>
        <w:rPr>
          <w:rFonts w:ascii="黑体" w:eastAsia="黑体"/>
          <w:b/>
          <w:sz w:val="30"/>
          <w:szCs w:val="30"/>
        </w:rPr>
        <w:t xml:space="preserve"> </w:t>
      </w:r>
      <w:r>
        <w:rPr>
          <w:rFonts w:hint="eastAsia" w:ascii="黑体" w:eastAsia="黑体"/>
          <w:b/>
          <w:sz w:val="30"/>
          <w:szCs w:val="30"/>
        </w:rPr>
        <w:t>参与者管理</w:t>
      </w:r>
    </w:p>
    <w:p w14:paraId="0F3138CF">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第九条</w:t>
      </w:r>
      <w:r>
        <w:rPr>
          <w:rFonts w:hint="eastAsia" w:ascii="仿宋_GB2312" w:hAnsi="宋体" w:eastAsia="仿宋_GB2312" w:cs="宋体"/>
          <w:sz w:val="30"/>
          <w:szCs w:val="30"/>
        </w:rPr>
        <w:t>信用保护工具参与者的投资者适当性应当与</w:t>
      </w:r>
      <w:r>
        <w:rPr>
          <w:rFonts w:hint="eastAsia" w:ascii="仿宋_GB2312" w:eastAsia="仿宋_GB2312"/>
          <w:sz w:val="30"/>
          <w:szCs w:val="30"/>
        </w:rPr>
        <w:t>《上海证券交易所债券市场投资者适当性管理办法》规定的参考实体受保护债务投资者适当性标准保持一致。参考实体受保护的多个债务投资者适当性标准不一致的，以受保护债务中较高的投资者适当性标准为准；受保护债务投资者适当性标准不明确的，限于合格机构投资者参与信用保护工具交易。上交所可以根据市场发展情况，调整信用保护工具投资者适当性标准。</w:t>
      </w:r>
    </w:p>
    <w:p w14:paraId="6C4FC854">
      <w:pPr>
        <w:pStyle w:val="53"/>
        <w:spacing w:line="540" w:lineRule="exact"/>
        <w:ind w:firstLine="600"/>
        <w:rPr>
          <w:rFonts w:ascii="仿宋_GB2312" w:eastAsia="仿宋_GB2312"/>
          <w:sz w:val="30"/>
          <w:szCs w:val="30"/>
        </w:rPr>
      </w:pPr>
      <w:r>
        <w:rPr>
          <w:rFonts w:hint="eastAsia" w:ascii="仿宋_GB2312" w:hAnsi="宋体" w:eastAsia="仿宋_GB2312" w:cs="宋体"/>
          <w:sz w:val="30"/>
          <w:szCs w:val="30"/>
        </w:rPr>
        <w:t>交易双方应当充分知悉信用保护工具的相关规则，了解信用保护工具的相关风险，根据本办法规定的条件及自身的风险承受能力评估是否适合参与信用保护工具业务，并自行承担风险。</w:t>
      </w:r>
    </w:p>
    <w:p w14:paraId="51506087">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第十条</w:t>
      </w:r>
      <w:r>
        <w:rPr>
          <w:rFonts w:hint="eastAsia" w:ascii="仿宋_GB2312" w:eastAsia="仿宋_GB2312"/>
          <w:sz w:val="30"/>
          <w:szCs w:val="30"/>
        </w:rPr>
        <w:t>符合以下条件的金融机构、信用增进机构等经上交所备案可成为合约核心交易商（以下简称核心交易商）：</w:t>
      </w:r>
    </w:p>
    <w:p w14:paraId="236B3E7C">
      <w:pPr>
        <w:pStyle w:val="53"/>
        <w:spacing w:line="540" w:lineRule="exact"/>
        <w:ind w:firstLine="0" w:firstLineChars="0"/>
        <w:rPr>
          <w:rFonts w:ascii="仿宋_GB2312" w:eastAsia="仿宋_GB2312"/>
          <w:sz w:val="30"/>
          <w:szCs w:val="30"/>
        </w:rPr>
      </w:pPr>
      <w:r>
        <w:rPr>
          <w:rFonts w:hint="eastAsia" w:ascii="仿宋_GB2312" w:eastAsia="仿宋_GB2312"/>
          <w:sz w:val="30"/>
          <w:szCs w:val="30"/>
        </w:rPr>
        <w:t xml:space="preserve">   （一）</w:t>
      </w:r>
      <w:r>
        <w:rPr>
          <w:rFonts w:hint="eastAsia" w:ascii="仿宋_GB2312" w:hAnsi="宋体" w:eastAsia="仿宋_GB2312" w:cs="宋体"/>
          <w:sz w:val="30"/>
          <w:szCs w:val="30"/>
        </w:rPr>
        <w:t>具有较强的风险管理及承担能力；</w:t>
      </w:r>
    </w:p>
    <w:p w14:paraId="3508CE0D">
      <w:pPr>
        <w:pStyle w:val="53"/>
        <w:spacing w:line="540" w:lineRule="exact"/>
        <w:ind w:firstLineChars="0"/>
        <w:rPr>
          <w:rFonts w:ascii="仿宋_GB2312" w:eastAsia="仿宋_GB2312"/>
          <w:sz w:val="30"/>
          <w:szCs w:val="30"/>
        </w:rPr>
      </w:pPr>
      <w:r>
        <w:rPr>
          <w:rFonts w:hint="eastAsia" w:ascii="仿宋_GB2312" w:eastAsia="仿宋_GB2312"/>
          <w:sz w:val="30"/>
          <w:szCs w:val="30"/>
        </w:rPr>
        <w:t>（二）具有相对独立的信用保护工具交易团队；</w:t>
      </w:r>
    </w:p>
    <w:p w14:paraId="37D028E3">
      <w:pPr>
        <w:pStyle w:val="53"/>
        <w:spacing w:line="540" w:lineRule="exact"/>
        <w:ind w:firstLineChars="0"/>
        <w:rPr>
          <w:rFonts w:ascii="仿宋_GB2312" w:eastAsia="仿宋_GB2312"/>
          <w:sz w:val="30"/>
          <w:szCs w:val="30"/>
        </w:rPr>
      </w:pPr>
      <w:r>
        <w:rPr>
          <w:rFonts w:hint="eastAsia" w:ascii="仿宋_GB2312" w:eastAsia="仿宋_GB2312"/>
          <w:sz w:val="30"/>
          <w:szCs w:val="30"/>
        </w:rPr>
        <w:t>（三）</w:t>
      </w:r>
      <w:r>
        <w:rPr>
          <w:rFonts w:hint="eastAsia" w:ascii="仿宋_GB2312" w:hAnsi="宋体" w:eastAsia="仿宋_GB2312" w:cs="宋体"/>
          <w:sz w:val="30"/>
          <w:szCs w:val="30"/>
        </w:rPr>
        <w:t>已建立完善健全的内部管理流程和风险管理制度；</w:t>
      </w:r>
    </w:p>
    <w:p w14:paraId="218C4A3E">
      <w:pPr>
        <w:pStyle w:val="53"/>
        <w:spacing w:line="540" w:lineRule="exact"/>
        <w:ind w:firstLineChars="0"/>
        <w:rPr>
          <w:rFonts w:ascii="仿宋_GB2312" w:eastAsia="仿宋_GB2312"/>
          <w:sz w:val="30"/>
          <w:szCs w:val="30"/>
        </w:rPr>
      </w:pPr>
      <w:r>
        <w:rPr>
          <w:rFonts w:hint="eastAsia" w:ascii="仿宋_GB2312" w:eastAsia="仿宋_GB2312"/>
          <w:sz w:val="30"/>
          <w:szCs w:val="30"/>
        </w:rPr>
        <w:t>（四）近</w:t>
      </w:r>
      <w:r>
        <w:rPr>
          <w:rFonts w:hint="eastAsia" w:ascii="仿宋_GB2312" w:eastAsia="仿宋_GB2312"/>
          <w:sz w:val="30"/>
          <w:szCs w:val="30"/>
          <w:lang w:eastAsia="zh-CN"/>
        </w:rPr>
        <w:t>3</w:t>
      </w:r>
      <w:r>
        <w:rPr>
          <w:rFonts w:hint="eastAsia" w:ascii="仿宋_GB2312" w:eastAsia="仿宋_GB2312"/>
          <w:sz w:val="30"/>
          <w:szCs w:val="30"/>
        </w:rPr>
        <w:t>年未因重大的证券期货违法行为被采取过重大行政监管措施或者受到行政、刑事处罚；</w:t>
      </w:r>
    </w:p>
    <w:p w14:paraId="0E1D9DB6">
      <w:pPr>
        <w:pStyle w:val="53"/>
        <w:spacing w:line="540" w:lineRule="exact"/>
        <w:ind w:firstLineChars="140"/>
        <w:jc w:val="left"/>
        <w:rPr>
          <w:rFonts w:ascii="仿宋_GB2312" w:hAnsi="宋体" w:eastAsia="仿宋_GB2312" w:cs="宋体"/>
          <w:sz w:val="30"/>
          <w:szCs w:val="30"/>
        </w:rPr>
      </w:pPr>
      <w:r>
        <w:rPr>
          <w:rFonts w:hint="eastAsia" w:ascii="仿宋_GB2312" w:hAnsi="宋体" w:eastAsia="仿宋_GB2312" w:cs="宋体"/>
          <w:sz w:val="30"/>
          <w:szCs w:val="30"/>
        </w:rPr>
        <w:t>（五）上交所要求的其他条件。</w:t>
      </w:r>
    </w:p>
    <w:p w14:paraId="523BA161">
      <w:pPr>
        <w:pStyle w:val="53"/>
        <w:spacing w:line="540" w:lineRule="exact"/>
        <w:ind w:firstLine="600"/>
        <w:rPr>
          <w:rFonts w:ascii="仿宋_GB2312" w:eastAsia="仿宋_GB2312"/>
          <w:sz w:val="30"/>
          <w:szCs w:val="30"/>
        </w:rPr>
      </w:pPr>
      <w:r>
        <w:rPr>
          <w:rFonts w:hint="eastAsia" w:ascii="仿宋_GB2312" w:eastAsia="仿宋_GB2312"/>
          <w:sz w:val="30"/>
          <w:szCs w:val="30"/>
        </w:rPr>
        <w:t>核心交易商可以与所有投资者签订合约，其他投资者只能与核心交易商签订合约。</w:t>
      </w:r>
    </w:p>
    <w:p w14:paraId="2398CC46">
      <w:pPr>
        <w:pStyle w:val="53"/>
        <w:numPr>
          <w:ilvl w:val="0"/>
          <w:numId w:val="0"/>
        </w:numPr>
        <w:spacing w:line="540" w:lineRule="exact"/>
        <w:ind w:left="0" w:leftChars="0" w:firstLine="602" w:firstLineChars="200"/>
        <w:jc w:val="left"/>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第十一条</w:t>
      </w:r>
      <w:r>
        <w:rPr>
          <w:rFonts w:hint="eastAsia" w:ascii="仿宋_GB2312" w:eastAsia="仿宋_GB2312"/>
          <w:sz w:val="30"/>
          <w:szCs w:val="30"/>
        </w:rPr>
        <w:t>核心交易商中信用资质和风险管理能力突出的，经上交所备案可成为创设机构，具体条件由上交所另行规定。</w:t>
      </w:r>
    </w:p>
    <w:p w14:paraId="75C78D34">
      <w:pPr>
        <w:pStyle w:val="53"/>
        <w:numPr>
          <w:ilvl w:val="0"/>
          <w:numId w:val="0"/>
        </w:numPr>
        <w:spacing w:line="540" w:lineRule="exact"/>
        <w:ind w:left="0" w:leftChars="0" w:firstLine="602" w:firstLineChars="200"/>
        <w:jc w:val="left"/>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第十二条</w:t>
      </w:r>
      <w:r>
        <w:rPr>
          <w:rFonts w:ascii="仿宋_GB2312" w:eastAsia="仿宋_GB2312"/>
          <w:sz w:val="30"/>
          <w:szCs w:val="30"/>
        </w:rPr>
        <w:t>证券期货经营机构</w:t>
      </w:r>
      <w:r>
        <w:rPr>
          <w:rFonts w:hint="eastAsia" w:ascii="仿宋_GB2312" w:eastAsia="仿宋_GB2312"/>
          <w:sz w:val="30"/>
          <w:szCs w:val="30"/>
        </w:rPr>
        <w:t>参与信用保护工具业务的，应当符合中国证监会的相关规定。</w:t>
      </w:r>
    </w:p>
    <w:p w14:paraId="5B0382E1">
      <w:pPr>
        <w:pStyle w:val="53"/>
        <w:numPr>
          <w:ilvl w:val="0"/>
          <w:numId w:val="0"/>
        </w:numPr>
        <w:spacing w:line="540" w:lineRule="exact"/>
        <w:ind w:left="0" w:leftChars="0" w:firstLine="602" w:firstLineChars="200"/>
        <w:jc w:val="left"/>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第十三条</w:t>
      </w:r>
      <w:r>
        <w:rPr>
          <w:rFonts w:hint="eastAsia" w:ascii="仿宋_GB2312" w:eastAsia="仿宋_GB2312"/>
          <w:sz w:val="30"/>
          <w:szCs w:val="30"/>
        </w:rPr>
        <w:t>证券公司应当按照《上海证券交易所债券市场投资者适当性管理办法》的规定对经纪客户进行管理，建立健全经纪客户参与信用保护工具业务相关的风险控制制度和业务流程，并建立经纪客户参与信用保护工具业务的诚信档案。</w:t>
      </w:r>
    </w:p>
    <w:p w14:paraId="5CB3AFE7">
      <w:pPr>
        <w:pStyle w:val="53"/>
        <w:spacing w:line="540" w:lineRule="exact"/>
        <w:ind w:firstLine="600"/>
        <w:jc w:val="left"/>
        <w:rPr>
          <w:rFonts w:ascii="仿宋_GB2312" w:eastAsia="仿宋_GB2312"/>
          <w:sz w:val="30"/>
          <w:szCs w:val="30"/>
        </w:rPr>
      </w:pPr>
      <w:r>
        <w:rPr>
          <w:rFonts w:hint="eastAsia" w:ascii="仿宋_GB2312" w:eastAsia="仿宋_GB2312"/>
          <w:sz w:val="30"/>
          <w:szCs w:val="30"/>
        </w:rPr>
        <w:t>证券公司应当在经纪客户参与信用保护工具业务前，向其全面介绍信用保护工具的相关业务规则及协议，充分揭示可能产生的风险，并要求其签署风险揭示书。风险揭示书应当包含上交所确定的风险揭示书必备条款。</w:t>
      </w:r>
    </w:p>
    <w:p w14:paraId="3144283C">
      <w:pPr>
        <w:spacing w:line="540" w:lineRule="exact"/>
        <w:jc w:val="center"/>
        <w:rPr>
          <w:rFonts w:ascii="黑体" w:eastAsia="黑体"/>
          <w:b/>
          <w:sz w:val="30"/>
          <w:szCs w:val="30"/>
        </w:rPr>
      </w:pPr>
      <w:r>
        <w:rPr>
          <w:rFonts w:hint="eastAsia" w:ascii="黑体" w:eastAsia="黑体"/>
          <w:b/>
          <w:sz w:val="30"/>
          <w:szCs w:val="30"/>
        </w:rPr>
        <w:t>第三章 信用保护合约</w:t>
      </w:r>
    </w:p>
    <w:p w14:paraId="36358B8C">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第十四条</w:t>
      </w:r>
      <w:r>
        <w:rPr>
          <w:rFonts w:hint="eastAsia" w:ascii="仿宋_GB2312" w:eastAsia="仿宋_GB2312"/>
          <w:sz w:val="30"/>
          <w:szCs w:val="30"/>
        </w:rPr>
        <w:t>合约交易双方协商一致后，一方通过交易系统进行合约申报，另一方进行确认。交易系统根据交易双方的确认，对符合形式要求的合约生成交易确认书。</w:t>
      </w:r>
    </w:p>
    <w:p w14:paraId="4D5B4CAB">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第十五条</w:t>
      </w:r>
      <w:r>
        <w:rPr>
          <w:rFonts w:hint="eastAsia" w:ascii="仿宋_GB2312" w:eastAsia="仿宋_GB2312"/>
          <w:sz w:val="30"/>
          <w:szCs w:val="30"/>
        </w:rPr>
        <w:t>合约的保护费支付方式可选择按季支付约定保护费、季度标准保护费和部分前端费用相结合或者前端一次性支付。</w:t>
      </w:r>
    </w:p>
    <w:p w14:paraId="21F7F007">
      <w:pPr>
        <w:pStyle w:val="53"/>
        <w:spacing w:line="540" w:lineRule="exact"/>
        <w:ind w:firstLine="600" w:firstLineChars="0"/>
        <w:rPr>
          <w:rFonts w:ascii="仿宋_GB2312" w:eastAsia="仿宋_GB2312"/>
          <w:sz w:val="30"/>
          <w:szCs w:val="30"/>
        </w:rPr>
      </w:pPr>
      <w:r>
        <w:rPr>
          <w:rFonts w:hint="eastAsia" w:ascii="仿宋_GB2312" w:eastAsia="仿宋_GB2312"/>
          <w:sz w:val="30"/>
          <w:szCs w:val="30"/>
        </w:rPr>
        <w:t>季度标准保护费率根据合约签订时参考实体的主体评级确定，同一参考实体有多个评级的，以其中最低评级为准。交易双方商定的保护费率和标准保护费率之间的差额通过前端费用调整。</w:t>
      </w:r>
    </w:p>
    <w:p w14:paraId="65DA6488">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第十六条</w:t>
      </w:r>
      <w:r>
        <w:rPr>
          <w:rFonts w:hint="eastAsia" w:ascii="仿宋_GB2312" w:eastAsia="仿宋_GB2312"/>
          <w:sz w:val="30"/>
          <w:szCs w:val="30"/>
        </w:rPr>
        <w:t>采用季度标准保护费和部分前端费用相结合支付方式的，合约保护费支付日为合约存续期间每年的</w:t>
      </w:r>
      <w:r>
        <w:rPr>
          <w:rFonts w:ascii="仿宋_GB2312" w:eastAsia="仿宋_GB2312"/>
          <w:sz w:val="30"/>
          <w:szCs w:val="30"/>
        </w:rPr>
        <w:t>3月20日、6月20日、9月20日和12月20日，合约到期日为约定年份的3月20日、6月20日、9月20日或者12月20日。</w:t>
      </w:r>
      <w:r>
        <w:rPr>
          <w:rFonts w:hint="eastAsia" w:ascii="仿宋_GB2312" w:eastAsia="仿宋_GB2312"/>
          <w:sz w:val="30"/>
          <w:szCs w:val="30"/>
        </w:rPr>
        <w:t>每个保护费支付日，买方支付整个季度的全额费用。合约达成后，交易双方根据交易前端费用和期初返还金额轧差进行相应的期初资金交收。</w:t>
      </w:r>
    </w:p>
    <w:p w14:paraId="22624A07">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第十七条</w:t>
      </w:r>
      <w:r>
        <w:rPr>
          <w:rFonts w:hint="eastAsia" w:ascii="仿宋_GB2312" w:eastAsia="仿宋_GB2312"/>
          <w:sz w:val="30"/>
          <w:szCs w:val="30"/>
        </w:rPr>
        <w:t>合约</w:t>
      </w:r>
      <w:r>
        <w:rPr>
          <w:rFonts w:ascii="仿宋_GB2312" w:eastAsia="仿宋_GB2312"/>
          <w:sz w:val="30"/>
          <w:szCs w:val="30"/>
        </w:rPr>
        <w:t>保护费支付日为节假日的，顺延至下一个交易日。</w:t>
      </w:r>
    </w:p>
    <w:p w14:paraId="330273A6">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第十八条</w:t>
      </w:r>
      <w:r>
        <w:rPr>
          <w:rFonts w:hint="eastAsia" w:ascii="仿宋_GB2312" w:eastAsia="仿宋_GB2312"/>
          <w:sz w:val="30"/>
          <w:szCs w:val="30"/>
        </w:rPr>
        <w:t>合约交易双方可以通过中国结算或者自行协商的其他方式支付保护费。</w:t>
      </w:r>
    </w:p>
    <w:p w14:paraId="2B3418A3">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第十九条</w:t>
      </w:r>
      <w:r>
        <w:rPr>
          <w:rFonts w:hint="eastAsia" w:ascii="仿宋_GB2312" w:eastAsia="仿宋_GB2312"/>
          <w:sz w:val="30"/>
          <w:szCs w:val="30"/>
        </w:rPr>
        <w:t>合约交易双方应当在交易确认书中明确信用事件发生后采用的结算方式。合约结算方式包括实物结算、现金结算或者经上交所和中国结算认可的其他结算方式。</w:t>
      </w:r>
    </w:p>
    <w:p w14:paraId="78933BAD">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第二十条</w:t>
      </w:r>
      <w:r>
        <w:rPr>
          <w:rFonts w:hint="eastAsia" w:ascii="仿宋_GB2312" w:eastAsia="仿宋_GB2312"/>
          <w:sz w:val="30"/>
          <w:szCs w:val="30"/>
        </w:rPr>
        <w:t>合约交易双方应当在交易确认书中明确实物结算金额是否包括可交付债务尚未支付的应计利息。</w:t>
      </w:r>
    </w:p>
    <w:p w14:paraId="744B5D3D">
      <w:pPr>
        <w:pStyle w:val="53"/>
        <w:numPr>
          <w:ilvl w:val="0"/>
          <w:numId w:val="0"/>
        </w:numPr>
        <w:spacing w:line="540" w:lineRule="exact"/>
        <w:ind w:left="0" w:leftChars="0" w:firstLine="602" w:firstLineChars="200"/>
        <w:rPr>
          <w:rFonts w:ascii="仿宋_GB2312" w:eastAsia="仿宋_GB2312"/>
          <w:b/>
          <w:i/>
          <w:sz w:val="30"/>
          <w:szCs w:val="30"/>
        </w:rPr>
      </w:pPr>
      <w:r>
        <w:rPr>
          <w:rFonts w:hint="eastAsia" w:ascii="仿宋_GB2312" w:hAnsi="Times New Roman" w:eastAsia="仿宋_GB2312" w:cs="Times New Roman"/>
          <w:b/>
          <w:bCs/>
          <w:i w:val="0"/>
          <w:kern w:val="2"/>
          <w:sz w:val="30"/>
          <w:szCs w:val="30"/>
          <w:lang w:val="en-US" w:eastAsia="zh-CN" w:bidi="ar-SA"/>
        </w:rPr>
        <w:t>第二十一条</w:t>
      </w:r>
      <w:r>
        <w:rPr>
          <w:rFonts w:hint="eastAsia" w:ascii="仿宋_GB2312" w:eastAsia="仿宋_GB2312"/>
          <w:sz w:val="30"/>
          <w:szCs w:val="30"/>
        </w:rPr>
        <w:t>合约交易双方协商一致提前终止合约的，可以由一方通过交易系统申报，另一方进行确认。交易双方自行计算相关结算金额并按照约定的支付方式划转资金。</w:t>
      </w:r>
    </w:p>
    <w:p w14:paraId="39F3C4CA">
      <w:pPr>
        <w:spacing w:line="540" w:lineRule="exact"/>
        <w:jc w:val="center"/>
        <w:rPr>
          <w:rFonts w:ascii="仿宋_GB2312" w:eastAsia="仿宋_GB2312"/>
          <w:sz w:val="30"/>
          <w:szCs w:val="30"/>
        </w:rPr>
      </w:pPr>
      <w:r>
        <w:rPr>
          <w:rFonts w:hint="eastAsia" w:ascii="黑体" w:eastAsia="黑体"/>
          <w:b/>
          <w:sz w:val="30"/>
          <w:szCs w:val="30"/>
        </w:rPr>
        <w:t>第四章 信用保护凭证</w:t>
      </w:r>
    </w:p>
    <w:p w14:paraId="7B9817D8">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第二十二条</w:t>
      </w:r>
      <w:r>
        <w:rPr>
          <w:rFonts w:hint="eastAsia" w:ascii="仿宋_GB2312" w:eastAsia="仿宋_GB2312"/>
          <w:sz w:val="30"/>
          <w:szCs w:val="30"/>
        </w:rPr>
        <w:t>创设机构创设凭证，应当在创设前向上交所提交以下凭证创设文件：</w:t>
      </w:r>
    </w:p>
    <w:p w14:paraId="64671392">
      <w:pPr>
        <w:spacing w:line="540" w:lineRule="exact"/>
        <w:ind w:firstLine="600" w:firstLineChars="200"/>
        <w:rPr>
          <w:rFonts w:ascii="仿宋_GB2312" w:eastAsia="仿宋_GB2312"/>
          <w:sz w:val="30"/>
          <w:szCs w:val="30"/>
        </w:rPr>
      </w:pPr>
      <w:r>
        <w:rPr>
          <w:rFonts w:hint="eastAsia" w:ascii="仿宋_GB2312" w:eastAsia="仿宋_GB2312"/>
          <w:sz w:val="30"/>
          <w:szCs w:val="30"/>
        </w:rPr>
        <w:t>（一）凭证创设说明书；</w:t>
      </w:r>
    </w:p>
    <w:p w14:paraId="081A6D2C">
      <w:pPr>
        <w:spacing w:line="540" w:lineRule="exact"/>
        <w:ind w:firstLine="600" w:firstLineChars="200"/>
        <w:rPr>
          <w:rFonts w:ascii="仿宋_GB2312" w:eastAsia="仿宋_GB2312"/>
          <w:sz w:val="30"/>
          <w:szCs w:val="30"/>
        </w:rPr>
      </w:pPr>
      <w:r>
        <w:rPr>
          <w:rFonts w:hint="eastAsia" w:ascii="仿宋_GB2312" w:eastAsia="仿宋_GB2312"/>
          <w:sz w:val="30"/>
          <w:szCs w:val="30"/>
        </w:rPr>
        <w:t>（二）创设机构的信用评级报告；</w:t>
      </w:r>
    </w:p>
    <w:p w14:paraId="0ED75A5F">
      <w:pPr>
        <w:spacing w:line="540" w:lineRule="exact"/>
        <w:ind w:firstLine="600" w:firstLineChars="200"/>
        <w:rPr>
          <w:rFonts w:ascii="仿宋_GB2312" w:eastAsia="仿宋_GB2312"/>
          <w:sz w:val="30"/>
          <w:szCs w:val="30"/>
        </w:rPr>
      </w:pPr>
      <w:r>
        <w:rPr>
          <w:rFonts w:hint="eastAsia" w:ascii="仿宋_GB2312" w:eastAsia="仿宋_GB2312"/>
          <w:sz w:val="30"/>
          <w:szCs w:val="30"/>
        </w:rPr>
        <w:t>（三）经审计的创设机构的财务报表和审计报告；</w:t>
      </w:r>
    </w:p>
    <w:p w14:paraId="295C76ED">
      <w:pPr>
        <w:spacing w:line="540" w:lineRule="exact"/>
        <w:ind w:firstLine="600" w:firstLineChars="200"/>
        <w:rPr>
          <w:rFonts w:ascii="仿宋_GB2312" w:eastAsia="仿宋_GB2312"/>
          <w:sz w:val="30"/>
          <w:szCs w:val="30"/>
        </w:rPr>
      </w:pPr>
      <w:r>
        <w:rPr>
          <w:rFonts w:hint="eastAsia" w:ascii="仿宋_GB2312" w:eastAsia="仿宋_GB2312"/>
          <w:sz w:val="30"/>
          <w:szCs w:val="30"/>
        </w:rPr>
        <w:t>（四）上交所要求提交的其他文件。</w:t>
      </w:r>
    </w:p>
    <w:p w14:paraId="0047DA17">
      <w:pPr>
        <w:spacing w:line="540" w:lineRule="exact"/>
        <w:ind w:firstLine="600" w:firstLineChars="200"/>
        <w:rPr>
          <w:rFonts w:ascii="仿宋_GB2312" w:eastAsia="仿宋_GB2312"/>
          <w:sz w:val="30"/>
          <w:szCs w:val="30"/>
        </w:rPr>
      </w:pPr>
      <w:r>
        <w:rPr>
          <w:rFonts w:hint="eastAsia" w:ascii="仿宋_GB2312" w:eastAsia="仿宋_GB2312"/>
          <w:sz w:val="30"/>
          <w:szCs w:val="30"/>
        </w:rPr>
        <w:t>上交所对创设机构提交的文件进行完备性核对。文件完备的，上交所出具无异议函。</w:t>
      </w:r>
    </w:p>
    <w:p w14:paraId="365CDB70">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第二十三条</w:t>
      </w:r>
      <w:r>
        <w:rPr>
          <w:rFonts w:hint="eastAsia" w:ascii="仿宋_GB2312" w:eastAsia="仿宋_GB2312"/>
          <w:sz w:val="30"/>
          <w:szCs w:val="30"/>
        </w:rPr>
        <w:t>创设机构应当在凭证创设前通过上交所网站或者以上交所认可的其他方式向投资者披露凭证创设说明书、创设机构的信用评级报告、经审计的财务报表和审计报告等相关文件。</w:t>
      </w:r>
    </w:p>
    <w:p w14:paraId="1A056288">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第二十四条</w:t>
      </w:r>
      <w:r>
        <w:rPr>
          <w:rFonts w:hint="eastAsia" w:ascii="仿宋_GB2312" w:eastAsia="仿宋_GB2312"/>
          <w:sz w:val="30"/>
          <w:szCs w:val="30"/>
        </w:rPr>
        <w:t>创设机构在无异议函有效期内完成凭证创设工作。凭证创设可以采用簿记建档或者其他方式。凭证保护费由买方在凭证创设时一次性向创设机构支付。</w:t>
      </w:r>
    </w:p>
    <w:p w14:paraId="266C9F4C">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第二十五条</w:t>
      </w:r>
      <w:r>
        <w:rPr>
          <w:rFonts w:hint="eastAsia" w:ascii="仿宋_GB2312" w:eastAsia="仿宋_GB2312"/>
          <w:sz w:val="30"/>
          <w:szCs w:val="30"/>
        </w:rPr>
        <w:t>凭证创设完成后，创设机构与中国结算签订证券登记及服务协议，中国结算根据创设机构委托办理凭证登记。凭证的登记使用投资者证券账户，并由中国结算按现有业务规则提供持有人名册服务。</w:t>
      </w:r>
    </w:p>
    <w:p w14:paraId="0F5D3E73">
      <w:pPr>
        <w:pStyle w:val="53"/>
        <w:spacing w:line="540" w:lineRule="exact"/>
        <w:ind w:firstLine="600"/>
        <w:rPr>
          <w:rFonts w:ascii="仿宋_GB2312" w:eastAsia="仿宋_GB2312"/>
          <w:sz w:val="30"/>
          <w:szCs w:val="30"/>
        </w:rPr>
      </w:pPr>
      <w:r>
        <w:rPr>
          <w:rFonts w:hint="eastAsia" w:ascii="仿宋_GB2312" w:eastAsia="仿宋_GB2312"/>
          <w:sz w:val="30"/>
          <w:szCs w:val="30"/>
        </w:rPr>
        <w:t>创设机构向上交所提交凭证挂牌转让申请书等相关文件，并与上交所签订挂牌转让协议后，凭证在上交所挂牌。</w:t>
      </w:r>
    </w:p>
    <w:p w14:paraId="29FD1C9C">
      <w:pPr>
        <w:pStyle w:val="53"/>
        <w:numPr>
          <w:ilvl w:val="0"/>
          <w:numId w:val="0"/>
        </w:numPr>
        <w:spacing w:line="540" w:lineRule="exact"/>
        <w:ind w:left="0" w:leftChars="0" w:firstLine="602" w:firstLineChars="200"/>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第二十六条</w:t>
      </w:r>
      <w:r>
        <w:rPr>
          <w:rFonts w:hint="eastAsia" w:ascii="仿宋_GB2312" w:hAnsi="宋体" w:eastAsia="仿宋_GB2312" w:cs="宋体"/>
          <w:sz w:val="30"/>
          <w:szCs w:val="30"/>
        </w:rPr>
        <w:t>凭证转让采取</w:t>
      </w:r>
      <w:r>
        <w:rPr>
          <w:rFonts w:hint="eastAsia" w:ascii="仿宋_GB2312" w:eastAsia="仿宋_GB2312"/>
          <w:sz w:val="30"/>
          <w:szCs w:val="30"/>
        </w:rPr>
        <w:t>报价、询价和</w:t>
      </w:r>
      <w:r>
        <w:rPr>
          <w:rFonts w:hint="eastAsia" w:ascii="仿宋_GB2312" w:hAnsi="宋体" w:eastAsia="仿宋_GB2312" w:cs="宋体"/>
          <w:sz w:val="30"/>
          <w:szCs w:val="30"/>
        </w:rPr>
        <w:t>指定对手方等方式，经交易系统确认后成交。</w:t>
      </w:r>
    </w:p>
    <w:p w14:paraId="14AA7818">
      <w:pPr>
        <w:pStyle w:val="53"/>
        <w:numPr>
          <w:ilvl w:val="0"/>
          <w:numId w:val="0"/>
        </w:numPr>
        <w:spacing w:line="540" w:lineRule="exact"/>
        <w:ind w:left="0" w:leftChars="0" w:firstLine="602" w:firstLineChars="200"/>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第二十七条</w:t>
      </w:r>
      <w:r>
        <w:rPr>
          <w:rFonts w:hint="eastAsia" w:ascii="仿宋_GB2312" w:hAnsi="宋体" w:eastAsia="仿宋_GB2312" w:cs="宋体"/>
          <w:sz w:val="30"/>
          <w:szCs w:val="30"/>
        </w:rPr>
        <w:t>中国结算根据交易系统发送的成交数据为凭证转让提供逐笔全额结算或者其他结算方式的服务。</w:t>
      </w:r>
    </w:p>
    <w:p w14:paraId="0BDB2BFB">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第二十八条</w:t>
      </w:r>
      <w:r>
        <w:rPr>
          <w:rFonts w:hint="eastAsia" w:ascii="仿宋_GB2312" w:hAnsi="宋体" w:eastAsia="仿宋_GB2312" w:cs="宋体"/>
          <w:sz w:val="30"/>
          <w:szCs w:val="30"/>
        </w:rPr>
        <w:t>创设机构可以买入自身创设的凭证并向交易系统申报注销，并由中国结算根据交易系统确认的数据办理注销。</w:t>
      </w:r>
    </w:p>
    <w:p w14:paraId="57FBFC07">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第二十九条</w:t>
      </w:r>
      <w:r>
        <w:rPr>
          <w:rFonts w:hint="eastAsia" w:ascii="仿宋_GB2312" w:eastAsia="仿宋_GB2312"/>
          <w:sz w:val="30"/>
          <w:szCs w:val="30"/>
        </w:rPr>
        <w:t>单只凭证创设及转让后的投资者不超过200人，上交所另有规定的除外。</w:t>
      </w:r>
    </w:p>
    <w:p w14:paraId="1AF34D4B">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第三十条</w:t>
      </w:r>
      <w:r>
        <w:rPr>
          <w:rFonts w:hint="eastAsia" w:ascii="仿宋_GB2312" w:eastAsia="仿宋_GB2312"/>
          <w:sz w:val="30"/>
          <w:szCs w:val="30"/>
        </w:rPr>
        <w:t>创设机构应当在凭证创设说明书中明确凭证持有人会议规则，载明凭证持有人通过凭证持有人会议行使权利的范围、程序和其他重要事项。</w:t>
      </w:r>
    </w:p>
    <w:p w14:paraId="412B153B">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第三十一条</w:t>
      </w:r>
      <w:r>
        <w:rPr>
          <w:rFonts w:hint="eastAsia" w:ascii="仿宋_GB2312" w:eastAsia="仿宋_GB2312"/>
          <w:sz w:val="30"/>
          <w:szCs w:val="30"/>
        </w:rPr>
        <w:t>创设机构应当在凭证创设说明书中明确信用事件发生后采用的结算条件和方式。凭证结算方式包括实物结算、现金结算或者经上交所和中国结算认可的其他结算方式。</w:t>
      </w:r>
    </w:p>
    <w:p w14:paraId="2E08A44C">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第三十二条</w:t>
      </w:r>
      <w:r>
        <w:rPr>
          <w:rFonts w:hint="eastAsia" w:ascii="仿宋_GB2312" w:eastAsia="仿宋_GB2312"/>
          <w:sz w:val="30"/>
          <w:szCs w:val="30"/>
        </w:rPr>
        <w:t>凭证转让价格出现重大异常波动或者上交所认可的其他情形，</w:t>
      </w:r>
      <w:r>
        <w:rPr>
          <w:rFonts w:hint="eastAsia" w:ascii="仿宋_GB2312" w:hAnsi="宋体" w:eastAsia="仿宋_GB2312" w:cs="宋体"/>
          <w:sz w:val="30"/>
          <w:szCs w:val="30"/>
        </w:rPr>
        <w:t>上交所可以视情况对相关凭证采取停牌措施。</w:t>
      </w:r>
    </w:p>
    <w:p w14:paraId="25355E68">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第三十三条</w:t>
      </w:r>
      <w:r>
        <w:rPr>
          <w:rFonts w:hint="eastAsia" w:ascii="仿宋_GB2312" w:eastAsia="仿宋_GB2312"/>
          <w:sz w:val="30"/>
          <w:szCs w:val="30"/>
        </w:rPr>
        <w:t>凭证到期且未发生信用事件、创设机构回购注销其全部凭证或者出现上交所认定的其他情形的，上交所终止凭证的挂牌转让。</w:t>
      </w:r>
    </w:p>
    <w:p w14:paraId="03D48F09">
      <w:pPr>
        <w:pStyle w:val="53"/>
        <w:numPr>
          <w:ilvl w:val="0"/>
          <w:numId w:val="0"/>
        </w:numPr>
        <w:spacing w:line="540" w:lineRule="exact"/>
        <w:ind w:left="0" w:leftChars="0" w:firstLine="602" w:firstLineChars="200"/>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第三十四条</w:t>
      </w:r>
      <w:r>
        <w:rPr>
          <w:rFonts w:hint="eastAsia" w:ascii="仿宋_GB2312" w:eastAsia="仿宋_GB2312"/>
          <w:sz w:val="30"/>
          <w:szCs w:val="30"/>
        </w:rPr>
        <w:t>凭证（含被司法冻结）到期且未发生信用事件或创设机构回购并申请注销其凭证的，中国结算根据相关规定办理注销。凭证存续期间发生信用事件且创设机构与投资者完成结算的，凭证在完成结算时注销。凭证终止挂牌转让时未全部注销完毕的，中国结算根据相关规定办理退出登记。</w:t>
      </w:r>
    </w:p>
    <w:p w14:paraId="0695F75D">
      <w:pPr>
        <w:spacing w:line="540" w:lineRule="exact"/>
        <w:jc w:val="center"/>
        <w:rPr>
          <w:rFonts w:ascii="仿宋_GB2312" w:eastAsia="仿宋_GB2312"/>
          <w:sz w:val="30"/>
          <w:szCs w:val="30"/>
        </w:rPr>
      </w:pPr>
      <w:r>
        <w:rPr>
          <w:rFonts w:hint="eastAsia" w:ascii="黑体" w:eastAsia="黑体"/>
          <w:b/>
          <w:sz w:val="30"/>
          <w:szCs w:val="30"/>
        </w:rPr>
        <w:t>第五章</w:t>
      </w:r>
      <w:r>
        <w:rPr>
          <w:rFonts w:ascii="黑体" w:eastAsia="黑体"/>
          <w:b/>
          <w:sz w:val="30"/>
          <w:szCs w:val="30"/>
        </w:rPr>
        <w:t xml:space="preserve"> </w:t>
      </w:r>
      <w:r>
        <w:rPr>
          <w:rFonts w:hint="eastAsia" w:ascii="黑体" w:eastAsia="黑体"/>
          <w:b/>
          <w:sz w:val="30"/>
          <w:szCs w:val="30"/>
        </w:rPr>
        <w:t>信用事件</w:t>
      </w:r>
    </w:p>
    <w:p w14:paraId="2DE59CBE">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第三十五条</w:t>
      </w:r>
      <w:r>
        <w:rPr>
          <w:rFonts w:hint="eastAsia" w:ascii="仿宋_GB2312" w:eastAsia="仿宋_GB2312"/>
          <w:sz w:val="30"/>
          <w:szCs w:val="30"/>
        </w:rPr>
        <w:t>信用事件是指合约或者凭证约定的触发结算赔付的事件。信用事件包括破产、支付违约和债务重组等类型。合约或者凭证创设说明书中，应当约定其适用的具体信用事件类型。</w:t>
      </w:r>
    </w:p>
    <w:p w14:paraId="48EBAC0B">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第三十六条</w:t>
      </w:r>
      <w:r>
        <w:rPr>
          <w:rFonts w:hint="eastAsia" w:ascii="仿宋_GB2312" w:eastAsia="仿宋_GB2312"/>
          <w:sz w:val="30"/>
          <w:szCs w:val="30"/>
        </w:rPr>
        <w:t>信用事件发生后，买方或者卖方可以按照约定的方式向对手方发送信用事件通知书及所附公共信息通知书并向上交所报告。</w:t>
      </w:r>
    </w:p>
    <w:p w14:paraId="5F3776AB">
      <w:pPr>
        <w:pStyle w:val="53"/>
        <w:spacing w:line="540" w:lineRule="exact"/>
        <w:ind w:firstLine="600"/>
        <w:rPr>
          <w:rFonts w:ascii="仿宋_GB2312" w:eastAsia="仿宋_GB2312"/>
          <w:sz w:val="30"/>
          <w:szCs w:val="30"/>
        </w:rPr>
      </w:pPr>
      <w:r>
        <w:rPr>
          <w:rFonts w:hint="eastAsia" w:ascii="仿宋_GB2312" w:eastAsia="仿宋_GB2312"/>
          <w:sz w:val="30"/>
          <w:szCs w:val="30"/>
        </w:rPr>
        <w:t>凭证约定的信用事件发生后，创设机构应当通过上交所网站发布关于信用事件和后续结算安排的公告。</w:t>
      </w:r>
    </w:p>
    <w:p w14:paraId="4C650A80">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第三十七条</w:t>
      </w:r>
      <w:r>
        <w:rPr>
          <w:rFonts w:hint="eastAsia" w:ascii="仿宋_GB2312" w:eastAsia="仿宋_GB2312"/>
          <w:sz w:val="30"/>
          <w:szCs w:val="30"/>
        </w:rPr>
        <w:t>信用事件发生后，交易双方按照约定的时间和方式进行实物结算、现金结算或者经上交所和中国结算认可的其他方式结算。合约或凭证采用实物结算以及凭证采用现金结算的，交易双方应根据约定的要素向交易系统进行申报，中国结算根据交易系统发送的数据提供逐笔全额结算或者其他结算方式的服务。涉及司法冻结等有权利瑕疵的债券和凭证不可用于结算。</w:t>
      </w:r>
    </w:p>
    <w:p w14:paraId="01E44686">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第三十八条</w:t>
      </w:r>
      <w:r>
        <w:rPr>
          <w:rFonts w:hint="eastAsia" w:ascii="仿宋_GB2312" w:eastAsia="仿宋_GB2312"/>
          <w:sz w:val="30"/>
          <w:szCs w:val="30"/>
        </w:rPr>
        <w:t>交易双方就信用事件存在争议的，应当协商解决。协商不成的，可以提请信用事件专家委员会出具专家意见并组织协商。信用事件专家委员会的设立和构成另行规定。</w:t>
      </w:r>
    </w:p>
    <w:p w14:paraId="73164D06">
      <w:pPr>
        <w:spacing w:line="540" w:lineRule="exact"/>
        <w:jc w:val="center"/>
        <w:rPr>
          <w:rFonts w:ascii="仿宋_GB2312" w:eastAsia="仿宋_GB2312"/>
          <w:sz w:val="30"/>
          <w:szCs w:val="30"/>
        </w:rPr>
      </w:pPr>
      <w:r>
        <w:rPr>
          <w:rFonts w:hint="eastAsia" w:ascii="黑体" w:eastAsia="黑体"/>
          <w:b/>
          <w:sz w:val="30"/>
          <w:szCs w:val="30"/>
        </w:rPr>
        <w:t>第六章</w:t>
      </w:r>
      <w:r>
        <w:rPr>
          <w:rFonts w:ascii="黑体" w:eastAsia="黑体"/>
          <w:b/>
          <w:sz w:val="30"/>
          <w:szCs w:val="30"/>
        </w:rPr>
        <w:t xml:space="preserve"> </w:t>
      </w:r>
      <w:r>
        <w:rPr>
          <w:rFonts w:hint="eastAsia" w:ascii="黑体" w:eastAsia="黑体"/>
          <w:b/>
          <w:sz w:val="30"/>
          <w:szCs w:val="30"/>
        </w:rPr>
        <w:t>信息披露</w:t>
      </w:r>
    </w:p>
    <w:p w14:paraId="2A311E94">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第三十九条</w:t>
      </w:r>
      <w:r>
        <w:rPr>
          <w:rFonts w:hint="eastAsia" w:ascii="仿宋_GB2312" w:eastAsia="仿宋_GB2312"/>
          <w:sz w:val="30"/>
          <w:szCs w:val="30"/>
        </w:rPr>
        <w:t>市场参与者应当对报告和披露信息的真实性、准确性、完整性、及时性负责，不得有虚假记载、误导性陈述或者重大遗漏，不得欺诈或者误导对手方。</w:t>
      </w:r>
    </w:p>
    <w:p w14:paraId="6FD19EE1">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第四十条</w:t>
      </w:r>
      <w:r>
        <w:rPr>
          <w:rFonts w:hint="eastAsia" w:ascii="仿宋_GB2312" w:eastAsia="仿宋_GB2312"/>
          <w:sz w:val="30"/>
          <w:szCs w:val="30"/>
        </w:rPr>
        <w:t xml:space="preserve">凭证存续期间，创设机构应当在每年4月30日之前披露上一年度的年度报告、财务报表及审计报告，并在每年6月30日之前披露跟踪评级报告。 </w:t>
      </w:r>
    </w:p>
    <w:p w14:paraId="6BA1B4D7">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第四十一条</w:t>
      </w:r>
      <w:r>
        <w:rPr>
          <w:rFonts w:hint="eastAsia" w:ascii="仿宋_GB2312" w:eastAsia="仿宋_GB2312"/>
          <w:sz w:val="30"/>
          <w:szCs w:val="30"/>
        </w:rPr>
        <w:t>凭证存续期间，发生可能影响创设机构赔付能力的重大事项，或者存在关于创设机构及其创设的凭证的重大市场传闻的，创设机构应当及时向上交所提交并披露临时报告，说明事件的起因、目前的状态和可能产生的后果。</w:t>
      </w:r>
    </w:p>
    <w:p w14:paraId="128611C7">
      <w:pPr>
        <w:pStyle w:val="53"/>
        <w:numPr>
          <w:ilvl w:val="0"/>
          <w:numId w:val="0"/>
        </w:numPr>
        <w:spacing w:line="540" w:lineRule="exact"/>
        <w:ind w:left="0" w:leftChars="0" w:firstLine="602" w:firstLineChars="200"/>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第四十二条</w:t>
      </w:r>
      <w:r>
        <w:rPr>
          <w:rFonts w:hint="eastAsia" w:ascii="仿宋_GB2312" w:hAnsi="宋体" w:eastAsia="仿宋_GB2312" w:cs="宋体"/>
          <w:sz w:val="30"/>
          <w:szCs w:val="30"/>
        </w:rPr>
        <w:t>创设机构应当于凭证到期日前</w:t>
      </w:r>
      <w:r>
        <w:rPr>
          <w:rFonts w:ascii="仿宋_GB2312" w:hAnsi="宋体" w:eastAsia="仿宋_GB2312" w:cs="宋体"/>
          <w:sz w:val="30"/>
          <w:szCs w:val="30"/>
        </w:rPr>
        <w:t>30个交易日发布提示性公告，提示凭证即将到期及相关转让风险。证券公司应当于凭证到期日前30个交易日起向申报买入凭证的经纪客户提示到期风险。</w:t>
      </w:r>
    </w:p>
    <w:p w14:paraId="1712015E">
      <w:pPr>
        <w:pStyle w:val="53"/>
        <w:numPr>
          <w:ilvl w:val="0"/>
          <w:numId w:val="0"/>
        </w:numPr>
        <w:spacing w:line="540" w:lineRule="exact"/>
        <w:ind w:left="0" w:leftChars="0" w:firstLine="602" w:firstLineChars="200"/>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第四十三条</w:t>
      </w:r>
      <w:r>
        <w:rPr>
          <w:rFonts w:hint="eastAsia" w:ascii="仿宋_GB2312" w:hAnsi="宋体" w:eastAsia="仿宋_GB2312" w:cs="宋体"/>
          <w:sz w:val="30"/>
          <w:szCs w:val="30"/>
        </w:rPr>
        <w:t>创设机构应当在上交所网站或者以上交所认可的其他方式披露信息，且披露时间不得晚于在其他交易场所、媒体或者其他场合公开披露的时间。</w:t>
      </w:r>
    </w:p>
    <w:p w14:paraId="0B7E2DF0">
      <w:pPr>
        <w:pStyle w:val="53"/>
        <w:numPr>
          <w:ilvl w:val="0"/>
          <w:numId w:val="0"/>
        </w:numPr>
        <w:spacing w:line="540" w:lineRule="exact"/>
        <w:ind w:left="0" w:leftChars="0" w:firstLine="602" w:firstLineChars="200"/>
        <w:rPr>
          <w:rFonts w:ascii="仿宋_GB2312" w:eastAsia="仿宋_GB2312"/>
          <w:b/>
          <w:sz w:val="30"/>
          <w:szCs w:val="30"/>
        </w:rPr>
      </w:pPr>
      <w:r>
        <w:rPr>
          <w:rFonts w:hint="eastAsia" w:ascii="仿宋_GB2312" w:hAnsi="Times New Roman" w:eastAsia="仿宋_GB2312" w:cs="Times New Roman"/>
          <w:b/>
          <w:bCs/>
          <w:i w:val="0"/>
          <w:kern w:val="2"/>
          <w:sz w:val="30"/>
          <w:szCs w:val="30"/>
          <w:lang w:val="en-US" w:eastAsia="zh-CN" w:bidi="ar-SA"/>
        </w:rPr>
        <w:t>第四十四条</w:t>
      </w:r>
      <w:r>
        <w:rPr>
          <w:rFonts w:hint="eastAsia" w:ascii="仿宋_GB2312" w:hAnsi="宋体" w:eastAsia="仿宋_GB2312" w:cs="宋体"/>
          <w:sz w:val="30"/>
          <w:szCs w:val="30"/>
        </w:rPr>
        <w:t>上交所公布已达成合约的核心</w:t>
      </w:r>
      <w:r>
        <w:rPr>
          <w:rFonts w:hint="eastAsia" w:ascii="仿宋_GB2312" w:eastAsia="仿宋_GB2312"/>
          <w:sz w:val="30"/>
          <w:szCs w:val="30"/>
        </w:rPr>
        <w:t>交易商类型、合约规模等交易信息，公布当日的凭证逐笔成交行情和汇总行情，并定期披露全市场成交统计数据。</w:t>
      </w:r>
    </w:p>
    <w:p w14:paraId="4533AC3C">
      <w:pPr>
        <w:spacing w:line="540" w:lineRule="exact"/>
        <w:jc w:val="center"/>
        <w:rPr>
          <w:rFonts w:ascii="黑体" w:eastAsia="黑体"/>
          <w:b/>
          <w:sz w:val="30"/>
          <w:szCs w:val="30"/>
        </w:rPr>
      </w:pPr>
      <w:r>
        <w:rPr>
          <w:rFonts w:hint="eastAsia" w:ascii="黑体" w:eastAsia="黑体"/>
          <w:b/>
          <w:sz w:val="30"/>
          <w:szCs w:val="30"/>
        </w:rPr>
        <w:t>第七章</w:t>
      </w:r>
      <w:r>
        <w:rPr>
          <w:rFonts w:ascii="黑体" w:eastAsia="黑体"/>
          <w:b/>
          <w:sz w:val="30"/>
          <w:szCs w:val="30"/>
        </w:rPr>
        <w:t xml:space="preserve"> 风险控制和管理</w:t>
      </w:r>
    </w:p>
    <w:p w14:paraId="5C18242A">
      <w:pPr>
        <w:pStyle w:val="53"/>
        <w:numPr>
          <w:ilvl w:val="0"/>
          <w:numId w:val="0"/>
        </w:numPr>
        <w:spacing w:line="540" w:lineRule="exact"/>
        <w:ind w:left="0" w:leftChars="0" w:firstLine="602" w:firstLineChars="200"/>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第四十五条</w:t>
      </w:r>
      <w:r>
        <w:rPr>
          <w:rFonts w:hint="eastAsia" w:ascii="仿宋_GB2312" w:hAnsi="宋体" w:eastAsia="仿宋_GB2312" w:cs="宋体"/>
          <w:sz w:val="30"/>
          <w:szCs w:val="30"/>
        </w:rPr>
        <w:t>上交所及时公布取得核心交易商或者创设机构资质的机构名单。市场参与者发生重大变化，或者证券公司发现其经纪客户发生重大变化，不再符合信用保护工具相关参与者资质要求的，应当及时向上交所报告。</w:t>
      </w:r>
    </w:p>
    <w:p w14:paraId="74C5BCAE">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第四十六条</w:t>
      </w:r>
      <w:r>
        <w:rPr>
          <w:rFonts w:hint="eastAsia" w:ascii="仿宋_GB2312" w:eastAsia="仿宋_GB2312"/>
          <w:sz w:val="30"/>
          <w:szCs w:val="30"/>
        </w:rPr>
        <w:t>核心交易商的信用保护工具净卖出总余额不得超过其最近一期末净资产的300%；其他投资者的信用保护工具净卖出总余额不得超过其最近一期末净资产的100%。上交所可以根据市场发展情况调整相关比例。</w:t>
      </w:r>
    </w:p>
    <w:p w14:paraId="160D9E09">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第四十七条</w:t>
      </w:r>
      <w:r>
        <w:rPr>
          <w:rFonts w:hint="eastAsia" w:ascii="仿宋_GB2312" w:eastAsia="仿宋_GB2312"/>
          <w:sz w:val="30"/>
          <w:szCs w:val="30"/>
        </w:rPr>
        <w:t>市场参与者不得利用内幕信息从事信用保护工具交易，不得编造、传播、散布虚假信息扰乱市场秩序，不得与参考实体、其他市场参与者等合谋操纵市场。</w:t>
      </w:r>
    </w:p>
    <w:p w14:paraId="402461EA">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第四十八条</w:t>
      </w:r>
      <w:r>
        <w:rPr>
          <w:rFonts w:hint="eastAsia" w:ascii="仿宋_GB2312" w:eastAsia="仿宋_GB2312"/>
          <w:sz w:val="30"/>
          <w:szCs w:val="30"/>
        </w:rPr>
        <w:t>市场参与者、经纪客户所在的证券公司应当根据上交所要求定期向上交所报送相关数据，</w:t>
      </w:r>
      <w:r>
        <w:rPr>
          <w:rFonts w:ascii="仿宋_GB2312" w:eastAsia="仿宋_GB2312"/>
          <w:sz w:val="30"/>
          <w:szCs w:val="30"/>
        </w:rPr>
        <w:t>上交所对市场参与者的</w:t>
      </w:r>
      <w:r>
        <w:rPr>
          <w:rFonts w:hint="eastAsia" w:ascii="仿宋_GB2312" w:eastAsia="仿宋_GB2312"/>
          <w:sz w:val="30"/>
          <w:szCs w:val="30"/>
        </w:rPr>
        <w:t>交易</w:t>
      </w:r>
      <w:r>
        <w:rPr>
          <w:rFonts w:ascii="仿宋_GB2312" w:eastAsia="仿宋_GB2312"/>
          <w:sz w:val="30"/>
          <w:szCs w:val="30"/>
        </w:rPr>
        <w:t>头寸、</w:t>
      </w:r>
      <w:r>
        <w:rPr>
          <w:rFonts w:hint="eastAsia" w:ascii="仿宋_GB2312" w:eastAsia="仿宋_GB2312"/>
          <w:sz w:val="30"/>
          <w:szCs w:val="30"/>
        </w:rPr>
        <w:t>基于单个参考实体的交易头寸等</w:t>
      </w:r>
      <w:r>
        <w:rPr>
          <w:rFonts w:ascii="仿宋_GB2312" w:eastAsia="仿宋_GB2312"/>
          <w:sz w:val="30"/>
          <w:szCs w:val="30"/>
        </w:rPr>
        <w:t>相关情况进行动态监测。上交所可以根据监测结果</w:t>
      </w:r>
      <w:r>
        <w:rPr>
          <w:rFonts w:hint="eastAsia" w:ascii="仿宋_GB2312" w:eastAsia="仿宋_GB2312"/>
          <w:sz w:val="30"/>
          <w:szCs w:val="30"/>
        </w:rPr>
        <w:t>采取必要的风险控制措施</w:t>
      </w:r>
      <w:r>
        <w:rPr>
          <w:rFonts w:hint="eastAsia" w:ascii="仿宋_GB2312" w:eastAsia="仿宋_GB2312"/>
          <w:vanish/>
          <w:sz w:val="30"/>
          <w:szCs w:val="30"/>
        </w:rPr>
        <w:t>者取所与者况书</w:t>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vanish/>
          <w:sz w:val="30"/>
          <w:szCs w:val="30"/>
        </w:rPr>
        <w:pgNum/>
      </w:r>
      <w:r>
        <w:rPr>
          <w:rFonts w:hint="eastAsia" w:ascii="仿宋_GB2312" w:eastAsia="仿宋_GB2312"/>
          <w:sz w:val="30"/>
          <w:szCs w:val="30"/>
        </w:rPr>
        <w:t>。</w:t>
      </w:r>
    </w:p>
    <w:p w14:paraId="1A914D2A">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第四十九条</w:t>
      </w:r>
      <w:r>
        <w:rPr>
          <w:rFonts w:hint="eastAsia" w:ascii="仿宋_GB2312" w:eastAsia="仿宋_GB2312"/>
          <w:sz w:val="30"/>
          <w:szCs w:val="30"/>
        </w:rPr>
        <w:t>市场参与者不得开展以自身为参考实体或者以自身债务为标的债务的信用保护工具业务。开展以关联方为参考实体的信用保护工具业务的，市场参与者应当予以披露。</w:t>
      </w:r>
    </w:p>
    <w:p w14:paraId="48BA59E6">
      <w:pPr>
        <w:pStyle w:val="53"/>
        <w:numPr>
          <w:ilvl w:val="0"/>
          <w:numId w:val="0"/>
        </w:numPr>
        <w:spacing w:line="540" w:lineRule="exact"/>
        <w:ind w:left="0" w:leftChars="0" w:firstLine="420" w:firstLineChars="0"/>
        <w:rPr>
          <w:rFonts w:ascii="仿宋_GB2312" w:hAnsi="宋体" w:eastAsia="仿宋_GB2312" w:cs="宋体"/>
          <w:sz w:val="30"/>
          <w:szCs w:val="30"/>
        </w:rPr>
      </w:pPr>
      <w:r>
        <w:rPr>
          <w:rFonts w:hint="eastAsia" w:ascii="仿宋_GB2312" w:hAnsi="宋体" w:eastAsia="仿宋_GB2312" w:cs="宋体"/>
          <w:b/>
          <w:bCs/>
          <w:i w:val="0"/>
          <w:kern w:val="2"/>
          <w:sz w:val="30"/>
          <w:szCs w:val="30"/>
          <w:lang w:val="en-US" w:eastAsia="zh-CN" w:bidi="ar-SA"/>
        </w:rPr>
        <w:t>第五十条</w:t>
      </w:r>
      <w:r>
        <w:rPr>
          <w:rFonts w:hint="eastAsia" w:ascii="仿宋_GB2312" w:hAnsi="宋体" w:eastAsia="仿宋_GB2312" w:cs="宋体"/>
          <w:sz w:val="30"/>
          <w:szCs w:val="30"/>
          <w:lang w:eastAsia="zh-CN"/>
        </w:rPr>
        <w:t xml:space="preserve">  </w:t>
      </w:r>
      <w:r>
        <w:rPr>
          <w:rFonts w:hint="eastAsia" w:ascii="仿宋_GB2312" w:hAnsi="宋体" w:eastAsia="仿宋_GB2312" w:cs="宋体"/>
          <w:sz w:val="30"/>
          <w:szCs w:val="30"/>
        </w:rPr>
        <w:t>上交所可以对市场参与者是否持续符合信用保护工具参与者资质要求、内部控制、业务开展情况等进行现场或者非现场检查。不符合相关要求的，上交所可暂停其信用保护工具交易、撤销核心交易商或者创设机构资质，或者采取其他必要的风险控制措施。</w:t>
      </w:r>
    </w:p>
    <w:p w14:paraId="1B1E3AFC">
      <w:pPr>
        <w:spacing w:line="54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市场参与者被暂停信用保护工具交易、撤销相关参与者资质后，不得新增信用保护工具相关业务，但仍应继续履行未到期信用保护工具的相关义务。</w:t>
      </w:r>
    </w:p>
    <w:p w14:paraId="3DD01C1B">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第五十一条</w:t>
      </w:r>
      <w:r>
        <w:rPr>
          <w:rFonts w:hint="eastAsia" w:ascii="仿宋_GB2312" w:eastAsia="仿宋_GB2312"/>
          <w:sz w:val="30"/>
          <w:szCs w:val="30"/>
        </w:rPr>
        <w:t>市场参与者、经纪客户所在的证券公司、资信评级机构、会计师事务所等专业机构及相关人员违反本办法、上交所其他相关规定或者违反相关承诺、约定的，上交所可以视情况实施口头警示、书面警示、监管谈话、限制证券账户交易、通报批评、公开谴责、收取惩罚性违约金等监管措施或者纪律处分，并依照相关规定记入诚信档案。违反法律、行政法规或者部门规章的，上报中国证监会或者相关监管机构处理。</w:t>
      </w:r>
    </w:p>
    <w:p w14:paraId="37DADEAB">
      <w:pPr>
        <w:spacing w:line="540" w:lineRule="exact"/>
        <w:jc w:val="center"/>
        <w:rPr>
          <w:rFonts w:ascii="仿宋_GB2312" w:eastAsia="仿宋_GB2312"/>
          <w:b/>
          <w:sz w:val="30"/>
          <w:szCs w:val="30"/>
        </w:rPr>
      </w:pPr>
      <w:r>
        <w:rPr>
          <w:rFonts w:hint="eastAsia" w:ascii="黑体" w:eastAsia="黑体"/>
          <w:b/>
          <w:sz w:val="30"/>
          <w:szCs w:val="30"/>
        </w:rPr>
        <w:t>第八章</w:t>
      </w:r>
      <w:r>
        <w:rPr>
          <w:rFonts w:ascii="黑体" w:eastAsia="黑体"/>
          <w:b/>
          <w:sz w:val="30"/>
          <w:szCs w:val="30"/>
        </w:rPr>
        <w:t xml:space="preserve"> </w:t>
      </w:r>
      <w:r>
        <w:rPr>
          <w:rFonts w:hint="eastAsia" w:ascii="黑体" w:eastAsia="黑体"/>
          <w:b/>
          <w:sz w:val="30"/>
          <w:szCs w:val="30"/>
        </w:rPr>
        <w:t>附则</w:t>
      </w:r>
    </w:p>
    <w:p w14:paraId="0132EB05">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第五十二条</w:t>
      </w:r>
      <w:r>
        <w:rPr>
          <w:rFonts w:hint="eastAsia" w:ascii="仿宋_GB2312" w:eastAsia="仿宋_GB2312"/>
          <w:sz w:val="30"/>
          <w:szCs w:val="30"/>
        </w:rPr>
        <w:t>市场参与者根据相关法律法规、部门规章、相关交易业务规则、登记结算业务规则及本办法的规定开展信用保护工具交易。信用保护工具交易达成后，市场参与者之间的纠纷不影响确认结果的有效性，也不影响中国结算按照本办法及其他相关业务规则进行的信用保护工具登记结算等业务办理结果的有效性。</w:t>
      </w:r>
    </w:p>
    <w:p w14:paraId="183E2CF9">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第五十三条</w:t>
      </w:r>
      <w:r>
        <w:rPr>
          <w:rFonts w:hint="eastAsia" w:ascii="仿宋_GB2312" w:eastAsia="仿宋_GB2312"/>
          <w:sz w:val="30"/>
          <w:szCs w:val="30"/>
        </w:rPr>
        <w:t>由于交易任意一方违约等情形所产生的纠纷和法律责任，由市场参与者自行协商解决，上交所、中国结算不承担法律责任。</w:t>
      </w:r>
    </w:p>
    <w:p w14:paraId="06101E8C">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第五十四条</w:t>
      </w:r>
      <w:r>
        <w:rPr>
          <w:rFonts w:hint="eastAsia" w:ascii="仿宋_GB2312" w:eastAsia="仿宋_GB2312"/>
          <w:sz w:val="30"/>
          <w:szCs w:val="30"/>
        </w:rPr>
        <w:t>信用保护工具存续期内，发生不可抗力、意外事件、技术故障等交易异常情况及因上述原因上交所、中国结算采取相应措施所造成的损失，上交所、中国结算不承担法律责任。</w:t>
      </w:r>
    </w:p>
    <w:p w14:paraId="2181AFFE">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第五十五条</w:t>
      </w:r>
      <w:r>
        <w:rPr>
          <w:rFonts w:hint="eastAsia" w:ascii="仿宋_GB2312" w:eastAsia="仿宋_GB2312"/>
          <w:sz w:val="30"/>
          <w:szCs w:val="30"/>
        </w:rPr>
        <w:t>本办法下列用语含义如下：</w:t>
      </w:r>
    </w:p>
    <w:p w14:paraId="54619736">
      <w:pPr>
        <w:pStyle w:val="53"/>
        <w:spacing w:line="540" w:lineRule="exact"/>
        <w:ind w:firstLine="600"/>
        <w:rPr>
          <w:rFonts w:ascii="仿宋_GB2312" w:hAnsi="宋体" w:eastAsia="仿宋_GB2312" w:cs="宋体"/>
          <w:sz w:val="30"/>
          <w:szCs w:val="30"/>
        </w:rPr>
      </w:pPr>
      <w:r>
        <w:rPr>
          <w:rFonts w:hint="eastAsia" w:ascii="仿宋_GB2312" w:eastAsia="仿宋_GB2312"/>
          <w:sz w:val="30"/>
          <w:szCs w:val="30"/>
        </w:rPr>
        <w:t>（一</w:t>
      </w:r>
      <w:bookmarkStart w:id="0" w:name="_GoBack"/>
      <w:bookmarkEnd w:id="0"/>
      <w:r>
        <w:rPr>
          <w:rFonts w:hint="eastAsia" w:ascii="仿宋_GB2312" w:eastAsia="仿宋_GB2312"/>
          <w:sz w:val="30"/>
          <w:szCs w:val="30"/>
        </w:rPr>
        <w:t>）</w:t>
      </w:r>
      <w:r>
        <w:rPr>
          <w:rFonts w:hint="eastAsia" w:ascii="仿宋_GB2312" w:hAnsi="宋体" w:eastAsia="仿宋_GB2312" w:cs="宋体"/>
          <w:sz w:val="30"/>
          <w:szCs w:val="30"/>
        </w:rPr>
        <w:t>信用保护买方：指接受信用风险保护的一方。</w:t>
      </w:r>
    </w:p>
    <w:p w14:paraId="41A2D6DC">
      <w:pPr>
        <w:pStyle w:val="53"/>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（二）信用保护卖方：指提供信用风险保护的一方。</w:t>
      </w:r>
    </w:p>
    <w:p w14:paraId="76ECD724">
      <w:pPr>
        <w:pStyle w:val="53"/>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（三）参考实体：指交易双方约定的，以其信用风险作为信用保护工具交易标的的单个或者多个实体。</w:t>
      </w:r>
    </w:p>
    <w:p w14:paraId="6D292EEB">
      <w:pPr>
        <w:pStyle w:val="53"/>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（四）债务种类：指参考实体所负债务的类别，包括但不限于付款义务、借贷款项、贷款、债券、资产支持证券等。</w:t>
      </w:r>
    </w:p>
    <w:p w14:paraId="5D211E7D">
      <w:pPr>
        <w:pStyle w:val="53"/>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（五）债务特征：指参考实体所负债务的一项或多项特征，包括但不限于一般债务、次级债务、交易流通、本币或外币等特征。</w:t>
      </w:r>
    </w:p>
    <w:p w14:paraId="2CC19F14">
      <w:pPr>
        <w:pStyle w:val="53"/>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（六）保护费：指买方向卖方支付的信用保护费用。</w:t>
      </w:r>
    </w:p>
    <w:p w14:paraId="5E276DDB">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（七）标准保护费率：指根据信用保护合约参考实体的主体评级而确定的固定的信用保护费率。</w:t>
      </w:r>
    </w:p>
    <w:p w14:paraId="74BBAAF9">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（八）前端费用：指前端一次性支付的费用。</w:t>
      </w:r>
    </w:p>
    <w:p w14:paraId="255C0373">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（九）期初返还金额：指在信用保护合约中，由于买方在首个保护费支付日支付整个季度的全额费用，卖方期初交付时需要返还的合约生效日前一保护费支付日至合约生效日的相应保护费。</w:t>
      </w:r>
    </w:p>
    <w:p w14:paraId="5FFFE01C">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（十）实物结算：指买方向卖方给付约定的债务，卖方向其支付相应结算金额的结算方式。</w:t>
      </w:r>
    </w:p>
    <w:p w14:paraId="57EBDE60">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（十一）现金结算：指买方无需向卖方给付债务，卖方以现金方式向买方支付相应结算金额的结算方式。</w:t>
      </w:r>
    </w:p>
    <w:p w14:paraId="70C7A89D">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（十二）可交付债务:指交易双方约定的可由买方向卖方交割的参考实体的债务，该债务符合交易双方约定的可交付债务种类和可交付债务特征。</w:t>
      </w:r>
    </w:p>
    <w:p w14:paraId="3955F831">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（十三）信用事件通知书：指在信用事件的发生得到确认后，由买方或卖方向对手方发送的有关该信用事件的书面通知。该通知应确定有关信用事件并提供合理、详尽的信息。</w:t>
      </w:r>
    </w:p>
    <w:p w14:paraId="63923D2A">
      <w:pPr>
        <w:pStyle w:val="53"/>
        <w:tabs>
          <w:tab w:val="left" w:pos="0"/>
        </w:tabs>
        <w:spacing w:line="540" w:lineRule="exact"/>
        <w:ind w:firstLine="600"/>
        <w:rPr>
          <w:rFonts w:ascii="仿宋_GB2312" w:hAnsi="宋体" w:eastAsia="仿宋_GB2312" w:cs="宋体"/>
          <w:sz w:val="30"/>
          <w:szCs w:val="30"/>
        </w:rPr>
      </w:pPr>
      <w:r>
        <w:rPr>
          <w:rFonts w:hint="eastAsia" w:ascii="仿宋_GB2312" w:hAnsi="宋体" w:eastAsia="仿宋_GB2312" w:cs="宋体"/>
          <w:sz w:val="30"/>
          <w:szCs w:val="30"/>
        </w:rPr>
        <w:t>（十四）公共信息通知书：指在信用事件的发生得到确认后，由买方或卖方向对手方发送的有关该信用事件公开信息的书面通知。该通知书应列明买方或卖方从公开信息渠道获得的有关信用事件已经发生的信息或者报道。</w:t>
      </w:r>
    </w:p>
    <w:p w14:paraId="7306BB2E">
      <w:pPr>
        <w:pStyle w:val="53"/>
        <w:numPr>
          <w:ilvl w:val="0"/>
          <w:numId w:val="0"/>
        </w:numPr>
        <w:spacing w:line="540" w:lineRule="exact"/>
        <w:ind w:left="0" w:leftChars="0" w:firstLine="602" w:firstLineChars="200"/>
        <w:jc w:val="left"/>
      </w:pPr>
      <w:r>
        <w:rPr>
          <w:rFonts w:hint="eastAsia" w:ascii="仿宋_GB2312" w:hAnsi="Times New Roman" w:eastAsia="仿宋_GB2312" w:cs="Times New Roman"/>
          <w:b/>
          <w:bCs/>
          <w:i w:val="0"/>
          <w:kern w:val="2"/>
          <w:sz w:val="30"/>
          <w:szCs w:val="30"/>
          <w:lang w:val="en-US" w:eastAsia="zh-CN" w:bidi="ar-SA"/>
        </w:rPr>
        <w:t>第五十六条</w:t>
      </w:r>
      <w:r>
        <w:rPr>
          <w:rFonts w:hint="eastAsia" w:ascii="仿宋_GB2312" w:eastAsia="仿宋_GB2312"/>
          <w:sz w:val="30"/>
          <w:szCs w:val="30"/>
        </w:rPr>
        <w:t>本办法由上交所、中国结算负责解释。</w:t>
      </w:r>
    </w:p>
    <w:p w14:paraId="496748D1">
      <w:pPr>
        <w:pStyle w:val="53"/>
        <w:numPr>
          <w:ilvl w:val="0"/>
          <w:numId w:val="0"/>
        </w:numPr>
        <w:spacing w:line="540" w:lineRule="exact"/>
        <w:ind w:left="0" w:leftChars="0" w:firstLine="602" w:firstLineChars="200"/>
        <w:rPr>
          <w:rFonts w:ascii="仿宋_GB2312" w:eastAsia="仿宋_GB2312"/>
          <w:sz w:val="30"/>
          <w:szCs w:val="30"/>
        </w:rPr>
      </w:pPr>
      <w:r>
        <w:rPr>
          <w:rFonts w:hint="eastAsia" w:ascii="仿宋_GB2312" w:hAnsi="Times New Roman" w:eastAsia="仿宋_GB2312" w:cs="Times New Roman"/>
          <w:b/>
          <w:bCs/>
          <w:i w:val="0"/>
          <w:kern w:val="2"/>
          <w:sz w:val="30"/>
          <w:szCs w:val="30"/>
          <w:lang w:val="en-US" w:eastAsia="zh-CN" w:bidi="ar-SA"/>
        </w:rPr>
        <w:t>第五十七条</w:t>
      </w:r>
      <w:r>
        <w:rPr>
          <w:rFonts w:hint="eastAsia" w:ascii="仿宋_GB2312" w:eastAsia="仿宋_GB2312"/>
          <w:sz w:val="30"/>
          <w:szCs w:val="30"/>
        </w:rPr>
        <w:t>本办法自发布之日起实施。</w:t>
      </w:r>
    </w:p>
    <w:p w14:paraId="1FBB3CE5">
      <w:pPr>
        <w:pStyle w:val="53"/>
        <w:spacing w:line="540" w:lineRule="exact"/>
        <w:ind w:left="600" w:firstLine="600" w:firstLineChars="0"/>
        <w:rPr>
          <w:rFonts w:ascii="仿宋_GB2312" w:hAnsi="Calibri" w:eastAsia="仿宋_GB2312"/>
          <w:sz w:val="30"/>
          <w:szCs w:val="30"/>
        </w:rPr>
      </w:pPr>
    </w:p>
    <w:p w14:paraId="47D95223">
      <w:pPr>
        <w:spacing w:line="560" w:lineRule="exact"/>
        <w:rPr>
          <w:rFonts w:hint="eastAsia" w:ascii="仿宋_GB2312" w:eastAsia="仿宋_GB2312"/>
          <w:bCs/>
          <w:color w:val="000000"/>
          <w:sz w:val="28"/>
          <w:szCs w:val="28"/>
        </w:rPr>
      </w:pP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汉仪中等线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80F3C52" w:usb2="00000016" w:usb3="00000000" w:csb0="0004001F" w:csb1="00000000"/>
  </w:font>
  <w:font w:name="方正大标宋简体">
    <w:panose1 w:val="02010601030101010101"/>
    <w:charset w:val="86"/>
    <w:family w:val="script"/>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Helvetica">
    <w:panose1 w:val="020B0604020202030204"/>
    <w:charset w:val="00"/>
    <w:family w:val="swiss"/>
    <w:pitch w:val="default"/>
    <w:sig w:usb0="00000000" w:usb1="00000000" w:usb2="00000000" w:usb3="00000000" w:csb0="00000093" w:csb1="00000000"/>
  </w:font>
  <w:font w:name="Frutiger 45 Light">
    <w:altName w:val="Arial"/>
    <w:panose1 w:val="00000000000000000000"/>
    <w:charset w:val="01"/>
    <w:family w:val="auto"/>
    <w:pitch w:val="default"/>
    <w:sig w:usb0="00000000" w:usb1="00000000" w:usb2="00000000" w:usb3="00000000" w:csb0="00000193"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ClassGarmnd BT">
    <w:altName w:val="Times New Roman"/>
    <w:panose1 w:val="00000000000000000000"/>
    <w:charset w:val="00"/>
    <w:family w:val="roman"/>
    <w:pitch w:val="default"/>
    <w:sig w:usb0="00000000" w:usb1="00000000" w:usb2="00000000" w:usb3="00000000" w:csb0="00000000" w:csb1="00000000"/>
  </w:font>
  <w:font w:name="Univers">
    <w:altName w:val="Sazanami Mincho"/>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79231">
    <w:pPr>
      <w:pStyle w:val="18"/>
      <w:framePr w:wrap="around" w:vAnchor="text" w:hAnchor="margin" w:xAlign="center" w:y="1"/>
      <w:jc w:val="center"/>
      <w:rPr>
        <w:rStyle w:val="31"/>
        <w:rFonts w:hint="eastAsia"/>
      </w:rPr>
    </w:pPr>
  </w:p>
  <w:p w14:paraId="0187DEE9">
    <w:pPr>
      <w:pStyle w:val="18"/>
      <w:jc w:val="right"/>
    </w:pPr>
    <w:r>
      <w:rPr>
        <w:rFonts w:hint="eastAsia" w:ascii="仿宋_GB2312" w:eastAsia="仿宋_GB2312"/>
        <w:bCs/>
        <w:sz w:val="28"/>
      </w:rPr>
      <w:t>－</w:t>
    </w:r>
    <w:r>
      <w:rPr>
        <w:sz w:val="28"/>
      </w:rPr>
      <w:fldChar w:fldCharType="begin"/>
    </w:r>
    <w:r>
      <w:rPr>
        <w:sz w:val="28"/>
      </w:rPr>
      <w:instrText xml:space="preserve"> PAGE </w:instrText>
    </w:r>
    <w:r>
      <w:rPr>
        <w:sz w:val="28"/>
      </w:rPr>
      <w:fldChar w:fldCharType="separate"/>
    </w:r>
    <w:r>
      <w:rPr>
        <w:sz w:val="28"/>
      </w:rPr>
      <w:t>1</w:t>
    </w:r>
    <w:r>
      <w:rPr>
        <w:sz w:val="28"/>
      </w:rPr>
      <w:fldChar w:fldCharType="end"/>
    </w:r>
    <w:r>
      <w:rPr>
        <w:rFonts w:hint="eastAsia" w:ascii="仿宋_GB2312" w:eastAsia="仿宋_GB2312"/>
        <w:bCs/>
        <w:sz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B8BF2">
    <w:pPr>
      <w:pStyle w:val="18"/>
      <w:framePr w:wrap="around" w:vAnchor="text" w:hAnchor="margin" w:xAlign="center" w:y="1"/>
      <w:rPr>
        <w:rStyle w:val="31"/>
      </w:rPr>
    </w:pPr>
  </w:p>
  <w:p w14:paraId="24444DED">
    <w:pPr>
      <w:pStyle w:val="18"/>
    </w:pPr>
    <w:r>
      <w:rPr>
        <w:rFonts w:hint="eastAsia" w:ascii="仿宋_GB2312" w:eastAsia="仿宋_GB2312"/>
        <w:bCs/>
        <w:sz w:val="28"/>
      </w:rPr>
      <w:t>－</w:t>
    </w:r>
    <w:r>
      <w:rPr>
        <w:sz w:val="28"/>
      </w:rPr>
      <w:fldChar w:fldCharType="begin"/>
    </w:r>
    <w:r>
      <w:rPr>
        <w:sz w:val="28"/>
      </w:rPr>
      <w:instrText xml:space="preserve"> PAGE </w:instrText>
    </w:r>
    <w:r>
      <w:rPr>
        <w:sz w:val="28"/>
      </w:rPr>
      <w:fldChar w:fldCharType="separate"/>
    </w:r>
    <w:r>
      <w:rPr>
        <w:sz w:val="28"/>
      </w:rPr>
      <w:t>12</w:t>
    </w:r>
    <w:r>
      <w:rPr>
        <w:sz w:val="28"/>
      </w:rPr>
      <w:fldChar w:fldCharType="end"/>
    </w:r>
    <w:r>
      <w:rPr>
        <w:rFonts w:hint="eastAsia" w:ascii="仿宋_GB2312" w:eastAsia="仿宋_GB2312"/>
        <w:bCs/>
        <w:sz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pStyle w:val="103"/>
      <w:lvlText w:val="%1."/>
      <w:lvlJc w:val="left"/>
      <w:pPr>
        <w:tabs>
          <w:tab w:val="left" w:pos="567"/>
        </w:tabs>
        <w:ind w:left="567" w:hanging="567"/>
      </w:pPr>
      <w:rPr>
        <w:rFonts w:ascii="Times New Roman" w:hAnsi="Times New Roman" w:cs="Times New Roman"/>
        <w:color w:val="000000"/>
        <w:sz w:val="24"/>
        <w:szCs w:val="24"/>
      </w:rPr>
    </w:lvl>
    <w:lvl w:ilvl="1" w:tentative="0">
      <w:start w:val="1"/>
      <w:numFmt w:val="decimal"/>
      <w:lvlText w:val="%1.%2."/>
      <w:lvlJc w:val="left"/>
      <w:pPr>
        <w:tabs>
          <w:tab w:val="left" w:pos="851"/>
        </w:tabs>
        <w:ind w:left="851" w:hanging="851"/>
      </w:pPr>
      <w:rPr>
        <w:rFonts w:ascii="Times New Roman" w:hAnsi="Times New Roman" w:cs="Times New Roman"/>
        <w:color w:val="000000"/>
        <w:sz w:val="24"/>
        <w:szCs w:val="24"/>
      </w:rPr>
    </w:lvl>
    <w:lvl w:ilvl="2" w:tentative="0">
      <w:start w:val="1"/>
      <w:numFmt w:val="decimal"/>
      <w:lvlText w:val="%1.%2.%3."/>
      <w:lvlJc w:val="left"/>
      <w:pPr>
        <w:tabs>
          <w:tab w:val="left" w:pos="1134"/>
        </w:tabs>
        <w:ind w:left="1134" w:hanging="1134"/>
      </w:pPr>
      <w:rPr>
        <w:rFonts w:ascii="Times New Roman" w:hAnsi="Times New Roman" w:cs="Times New Roman"/>
        <w:color w:val="000000"/>
        <w:sz w:val="24"/>
        <w:szCs w:val="24"/>
      </w:rPr>
    </w:lvl>
    <w:lvl w:ilvl="3" w:tentative="0">
      <w:start w:val="1"/>
      <w:numFmt w:val="decimal"/>
      <w:lvlText w:val="%1.%2.%3.%4."/>
      <w:lvlJc w:val="left"/>
      <w:pPr>
        <w:tabs>
          <w:tab w:val="left" w:pos="1418"/>
        </w:tabs>
        <w:ind w:left="1418" w:hanging="1418"/>
      </w:pPr>
      <w:rPr>
        <w:rFonts w:ascii="Times New Roman" w:hAnsi="Times New Roman" w:cs="Times New Roman"/>
        <w:color w:val="000000"/>
        <w:sz w:val="24"/>
        <w:szCs w:val="24"/>
      </w:rPr>
    </w:lvl>
    <w:lvl w:ilvl="4" w:tentative="0">
      <w:start w:val="1"/>
      <w:numFmt w:val="decimal"/>
      <w:lvlText w:val="%1.%2.%3.%4.%5."/>
      <w:lvlJc w:val="left"/>
      <w:pPr>
        <w:tabs>
          <w:tab w:val="left" w:pos="1701"/>
        </w:tabs>
        <w:ind w:left="1701" w:hanging="1701"/>
      </w:pPr>
      <w:rPr>
        <w:rFonts w:ascii="Times New Roman" w:hAnsi="Times New Roman" w:cs="Times New Roman"/>
        <w:color w:val="000000"/>
        <w:sz w:val="24"/>
        <w:szCs w:val="24"/>
      </w:rPr>
    </w:lvl>
    <w:lvl w:ilvl="5" w:tentative="0">
      <w:start w:val="1"/>
      <w:numFmt w:val="decimal"/>
      <w:lvlText w:val="%1.%2.%3.%4.%5.%6."/>
      <w:lvlJc w:val="left"/>
      <w:pPr>
        <w:tabs>
          <w:tab w:val="left" w:pos="1985"/>
        </w:tabs>
        <w:ind w:left="1985" w:hanging="1985"/>
      </w:pPr>
      <w:rPr>
        <w:rFonts w:ascii="Times New Roman" w:hAnsi="Times New Roman" w:cs="Times New Roman"/>
        <w:color w:val="000000"/>
        <w:sz w:val="24"/>
        <w:szCs w:val="24"/>
      </w:rPr>
    </w:lvl>
    <w:lvl w:ilvl="6" w:tentative="0">
      <w:start w:val="1"/>
      <w:numFmt w:val="decimal"/>
      <w:lvlText w:val="%1.%2.%3.%4.%5.%6.%7."/>
      <w:lvlJc w:val="left"/>
      <w:pPr>
        <w:tabs>
          <w:tab w:val="left" w:pos="2268"/>
        </w:tabs>
        <w:ind w:left="2268" w:hanging="2268"/>
      </w:pPr>
      <w:rPr>
        <w:rFonts w:ascii="Times New Roman" w:hAnsi="Times New Roman" w:cs="Times New Roman"/>
        <w:color w:val="000000"/>
        <w:sz w:val="24"/>
        <w:szCs w:val="24"/>
      </w:rPr>
    </w:lvl>
    <w:lvl w:ilvl="7" w:tentative="0">
      <w:start w:val="1"/>
      <w:numFmt w:val="decimal"/>
      <w:lvlText w:val="%1.%2.%3.%4.%5.%6.%7.%8."/>
      <w:lvlJc w:val="left"/>
      <w:pPr>
        <w:tabs>
          <w:tab w:val="left" w:pos="2552"/>
        </w:tabs>
        <w:ind w:left="2552" w:hanging="2552"/>
      </w:pPr>
      <w:rPr>
        <w:rFonts w:ascii="Times New Roman" w:hAnsi="Times New Roman" w:cs="Times New Roman"/>
        <w:color w:val="000000"/>
        <w:sz w:val="24"/>
        <w:szCs w:val="24"/>
      </w:rPr>
    </w:lvl>
    <w:lvl w:ilvl="8" w:tentative="0">
      <w:start w:val="1"/>
      <w:numFmt w:val="decimal"/>
      <w:lvlText w:val="%1.%2.%3.%4.%5.%6.%7.%8.%9."/>
      <w:lvlJc w:val="left"/>
      <w:pPr>
        <w:tabs>
          <w:tab w:val="left" w:pos="2835"/>
        </w:tabs>
        <w:ind w:left="2835" w:hanging="2835"/>
      </w:pPr>
      <w:rPr>
        <w:rFonts w:hint="default" w:ascii="Univers" w:hAnsi="Univers" w:cs="Times New Roman"/>
        <w:sz w:val="24"/>
      </w:rPr>
    </w:lvl>
  </w:abstractNum>
  <w:abstractNum w:abstractNumId="1">
    <w:nsid w:val="5EA656DE"/>
    <w:multiLevelType w:val="multilevel"/>
    <w:tmpl w:val="5EA656DE"/>
    <w:lvl w:ilvl="0" w:tentative="0">
      <w:start w:val="1"/>
      <w:numFmt w:val="japaneseCounting"/>
      <w:pStyle w:val="88"/>
      <w:lvlText w:val="第%1条"/>
      <w:lvlJc w:val="left"/>
      <w:pPr>
        <w:ind w:left="3045" w:hanging="420"/>
      </w:pPr>
      <w:rPr>
        <w:rFonts w:hint="eastAsia" w:ascii="仿宋_GB2312" w:eastAsia="仿宋_GB2312" w:cs="Times New Roman"/>
        <w:b/>
        <w:sz w:val="30"/>
        <w:szCs w:val="30"/>
      </w:rPr>
    </w:lvl>
    <w:lvl w:ilvl="1" w:tentative="0">
      <w:start w:val="1"/>
      <w:numFmt w:val="chineseCountingThousand"/>
      <w:lvlText w:val="第%2条"/>
      <w:lvlJc w:val="left"/>
      <w:pPr>
        <w:tabs>
          <w:tab w:val="left" w:pos="3856"/>
        </w:tabs>
        <w:ind w:left="1928" w:firstLine="567"/>
      </w:pPr>
      <w:rPr>
        <w:rFonts w:hint="eastAsia" w:ascii="仿宋_GB2312" w:eastAsia="仿宋_GB2312" w:cs="Times New Roman"/>
        <w:b w:val="0"/>
        <w:i w:val="0"/>
        <w:strike w:val="0"/>
        <w:dstrike w:val="0"/>
        <w:spacing w:val="0"/>
        <w:w w:val="100"/>
        <w:kern w:val="0"/>
        <w:position w:val="0"/>
        <w:sz w:val="32"/>
        <w:szCs w:val="32"/>
        <w:u w:val="none"/>
      </w:rPr>
    </w:lvl>
    <w:lvl w:ilvl="2" w:tentative="0">
      <w:start w:val="1"/>
      <w:numFmt w:val="decimal"/>
      <w:lvlText w:val="%3."/>
      <w:lvlJc w:val="left"/>
      <w:pPr>
        <w:tabs>
          <w:tab w:val="left" w:pos="3595"/>
        </w:tabs>
        <w:ind w:left="3595" w:hanging="360"/>
      </w:pPr>
      <w:rPr>
        <w:rFonts w:cs="Times New Roman"/>
      </w:rPr>
    </w:lvl>
    <w:lvl w:ilvl="3" w:tentative="0">
      <w:start w:val="1"/>
      <w:numFmt w:val="decimal"/>
      <w:lvlText w:val="%4."/>
      <w:lvlJc w:val="left"/>
      <w:pPr>
        <w:tabs>
          <w:tab w:val="left" w:pos="4315"/>
        </w:tabs>
        <w:ind w:left="4315" w:hanging="360"/>
      </w:pPr>
      <w:rPr>
        <w:rFonts w:cs="Times New Roman"/>
      </w:rPr>
    </w:lvl>
    <w:lvl w:ilvl="4" w:tentative="0">
      <w:start w:val="1"/>
      <w:numFmt w:val="decimal"/>
      <w:lvlText w:val="%5."/>
      <w:lvlJc w:val="left"/>
      <w:pPr>
        <w:tabs>
          <w:tab w:val="left" w:pos="5035"/>
        </w:tabs>
        <w:ind w:left="5035" w:hanging="360"/>
      </w:pPr>
      <w:rPr>
        <w:rFonts w:cs="Times New Roman"/>
      </w:rPr>
    </w:lvl>
    <w:lvl w:ilvl="5" w:tentative="0">
      <w:start w:val="1"/>
      <w:numFmt w:val="decimal"/>
      <w:lvlText w:val="%6."/>
      <w:lvlJc w:val="left"/>
      <w:pPr>
        <w:tabs>
          <w:tab w:val="left" w:pos="5755"/>
        </w:tabs>
        <w:ind w:left="5755" w:hanging="360"/>
      </w:pPr>
      <w:rPr>
        <w:rFonts w:cs="Times New Roman"/>
      </w:rPr>
    </w:lvl>
    <w:lvl w:ilvl="6" w:tentative="0">
      <w:start w:val="1"/>
      <w:numFmt w:val="decimal"/>
      <w:lvlText w:val="%7."/>
      <w:lvlJc w:val="left"/>
      <w:pPr>
        <w:tabs>
          <w:tab w:val="left" w:pos="6475"/>
        </w:tabs>
        <w:ind w:left="6475" w:hanging="360"/>
      </w:pPr>
      <w:rPr>
        <w:rFonts w:cs="Times New Roman"/>
      </w:rPr>
    </w:lvl>
    <w:lvl w:ilvl="7" w:tentative="0">
      <w:start w:val="1"/>
      <w:numFmt w:val="decimal"/>
      <w:lvlText w:val="%8."/>
      <w:lvlJc w:val="left"/>
      <w:pPr>
        <w:tabs>
          <w:tab w:val="left" w:pos="7195"/>
        </w:tabs>
        <w:ind w:left="7195" w:hanging="360"/>
      </w:pPr>
      <w:rPr>
        <w:rFonts w:cs="Times New Roman"/>
      </w:rPr>
    </w:lvl>
    <w:lvl w:ilvl="8" w:tentative="0">
      <w:start w:val="1"/>
      <w:numFmt w:val="decimal"/>
      <w:lvlText w:val="%9."/>
      <w:lvlJc w:val="left"/>
      <w:pPr>
        <w:tabs>
          <w:tab w:val="left" w:pos="7915"/>
        </w:tabs>
        <w:ind w:left="7915" w:hanging="36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D32EF"/>
    <w:rsid w:val="00001C7D"/>
    <w:rsid w:val="00004247"/>
    <w:rsid w:val="00007153"/>
    <w:rsid w:val="000123C7"/>
    <w:rsid w:val="00015CF8"/>
    <w:rsid w:val="00023D06"/>
    <w:rsid w:val="00025A12"/>
    <w:rsid w:val="00025D14"/>
    <w:rsid w:val="00030A3E"/>
    <w:rsid w:val="00034D02"/>
    <w:rsid w:val="000373C8"/>
    <w:rsid w:val="00040EBC"/>
    <w:rsid w:val="00041A60"/>
    <w:rsid w:val="00042926"/>
    <w:rsid w:val="000432C6"/>
    <w:rsid w:val="00044E84"/>
    <w:rsid w:val="00045B5A"/>
    <w:rsid w:val="00055B23"/>
    <w:rsid w:val="00055D8A"/>
    <w:rsid w:val="00056418"/>
    <w:rsid w:val="00057D6A"/>
    <w:rsid w:val="0006008F"/>
    <w:rsid w:val="00060722"/>
    <w:rsid w:val="00065144"/>
    <w:rsid w:val="00065822"/>
    <w:rsid w:val="00066E70"/>
    <w:rsid w:val="00067FF1"/>
    <w:rsid w:val="000715CD"/>
    <w:rsid w:val="000747FA"/>
    <w:rsid w:val="00075702"/>
    <w:rsid w:val="0007649E"/>
    <w:rsid w:val="00076F96"/>
    <w:rsid w:val="00077308"/>
    <w:rsid w:val="00081D93"/>
    <w:rsid w:val="000825BD"/>
    <w:rsid w:val="00084847"/>
    <w:rsid w:val="0008558C"/>
    <w:rsid w:val="0008603B"/>
    <w:rsid w:val="00092467"/>
    <w:rsid w:val="000926AA"/>
    <w:rsid w:val="00094F31"/>
    <w:rsid w:val="000A2AE9"/>
    <w:rsid w:val="000A36F5"/>
    <w:rsid w:val="000A3859"/>
    <w:rsid w:val="000A4874"/>
    <w:rsid w:val="000A4E05"/>
    <w:rsid w:val="000A5CA0"/>
    <w:rsid w:val="000A78EC"/>
    <w:rsid w:val="000B135F"/>
    <w:rsid w:val="000B19DE"/>
    <w:rsid w:val="000B1C87"/>
    <w:rsid w:val="000B2003"/>
    <w:rsid w:val="000D3E58"/>
    <w:rsid w:val="000D5E80"/>
    <w:rsid w:val="000E0C54"/>
    <w:rsid w:val="000E0F35"/>
    <w:rsid w:val="000E1D7A"/>
    <w:rsid w:val="000E28C6"/>
    <w:rsid w:val="000E3BF1"/>
    <w:rsid w:val="000E7A26"/>
    <w:rsid w:val="000E7A4C"/>
    <w:rsid w:val="000F1729"/>
    <w:rsid w:val="000F3A20"/>
    <w:rsid w:val="000F3DDE"/>
    <w:rsid w:val="000F7690"/>
    <w:rsid w:val="00103077"/>
    <w:rsid w:val="00104481"/>
    <w:rsid w:val="00106537"/>
    <w:rsid w:val="001157A9"/>
    <w:rsid w:val="0011790D"/>
    <w:rsid w:val="00121D8C"/>
    <w:rsid w:val="00122B6D"/>
    <w:rsid w:val="00126898"/>
    <w:rsid w:val="00127BB8"/>
    <w:rsid w:val="001303BE"/>
    <w:rsid w:val="001313FC"/>
    <w:rsid w:val="001320F9"/>
    <w:rsid w:val="0013265E"/>
    <w:rsid w:val="00132F87"/>
    <w:rsid w:val="00135048"/>
    <w:rsid w:val="00135676"/>
    <w:rsid w:val="00136D79"/>
    <w:rsid w:val="00136E1D"/>
    <w:rsid w:val="00143741"/>
    <w:rsid w:val="00145463"/>
    <w:rsid w:val="00145E5C"/>
    <w:rsid w:val="00152423"/>
    <w:rsid w:val="00156E9B"/>
    <w:rsid w:val="0016249D"/>
    <w:rsid w:val="001628DD"/>
    <w:rsid w:val="00162B2D"/>
    <w:rsid w:val="00163F0D"/>
    <w:rsid w:val="00165363"/>
    <w:rsid w:val="001675AF"/>
    <w:rsid w:val="0017731B"/>
    <w:rsid w:val="00177844"/>
    <w:rsid w:val="00191A1F"/>
    <w:rsid w:val="0019316F"/>
    <w:rsid w:val="00195F7F"/>
    <w:rsid w:val="00197495"/>
    <w:rsid w:val="00197504"/>
    <w:rsid w:val="001A27B8"/>
    <w:rsid w:val="001A306E"/>
    <w:rsid w:val="001A4038"/>
    <w:rsid w:val="001A5E3D"/>
    <w:rsid w:val="001B0CC8"/>
    <w:rsid w:val="001B0E13"/>
    <w:rsid w:val="001B2E0F"/>
    <w:rsid w:val="001B412F"/>
    <w:rsid w:val="001B76C0"/>
    <w:rsid w:val="001C0319"/>
    <w:rsid w:val="001C078A"/>
    <w:rsid w:val="001C1D39"/>
    <w:rsid w:val="001C248C"/>
    <w:rsid w:val="001C265D"/>
    <w:rsid w:val="001C3676"/>
    <w:rsid w:val="001C5A32"/>
    <w:rsid w:val="001C5E9A"/>
    <w:rsid w:val="001C7595"/>
    <w:rsid w:val="001D29C8"/>
    <w:rsid w:val="001D5CF2"/>
    <w:rsid w:val="001D6097"/>
    <w:rsid w:val="001D6B24"/>
    <w:rsid w:val="001D71C5"/>
    <w:rsid w:val="001E1D78"/>
    <w:rsid w:val="001E2BC7"/>
    <w:rsid w:val="001E2F7B"/>
    <w:rsid w:val="001E52DC"/>
    <w:rsid w:val="001E53A2"/>
    <w:rsid w:val="001E55F0"/>
    <w:rsid w:val="001E594A"/>
    <w:rsid w:val="001F31C1"/>
    <w:rsid w:val="001F3DCC"/>
    <w:rsid w:val="001F658F"/>
    <w:rsid w:val="001F6A6E"/>
    <w:rsid w:val="00201124"/>
    <w:rsid w:val="002106B0"/>
    <w:rsid w:val="00210AB6"/>
    <w:rsid w:val="00211106"/>
    <w:rsid w:val="0021196D"/>
    <w:rsid w:val="00212492"/>
    <w:rsid w:val="002141CC"/>
    <w:rsid w:val="0021537B"/>
    <w:rsid w:val="00217D52"/>
    <w:rsid w:val="00220EFA"/>
    <w:rsid w:val="0022256E"/>
    <w:rsid w:val="0022274E"/>
    <w:rsid w:val="00222DC0"/>
    <w:rsid w:val="002243B6"/>
    <w:rsid w:val="00227A2C"/>
    <w:rsid w:val="00230603"/>
    <w:rsid w:val="00230694"/>
    <w:rsid w:val="00232702"/>
    <w:rsid w:val="00232BBB"/>
    <w:rsid w:val="00232F16"/>
    <w:rsid w:val="00233149"/>
    <w:rsid w:val="002344BE"/>
    <w:rsid w:val="00234A4F"/>
    <w:rsid w:val="00234E30"/>
    <w:rsid w:val="00235263"/>
    <w:rsid w:val="00240656"/>
    <w:rsid w:val="002436E6"/>
    <w:rsid w:val="00243E11"/>
    <w:rsid w:val="002441E9"/>
    <w:rsid w:val="00244718"/>
    <w:rsid w:val="00245FED"/>
    <w:rsid w:val="00247A8F"/>
    <w:rsid w:val="002549B0"/>
    <w:rsid w:val="00256A60"/>
    <w:rsid w:val="00260879"/>
    <w:rsid w:val="00260FCD"/>
    <w:rsid w:val="002618E8"/>
    <w:rsid w:val="0026217A"/>
    <w:rsid w:val="002635C2"/>
    <w:rsid w:val="00263787"/>
    <w:rsid w:val="002649A0"/>
    <w:rsid w:val="00266DD8"/>
    <w:rsid w:val="002679E4"/>
    <w:rsid w:val="00267B6F"/>
    <w:rsid w:val="00267D17"/>
    <w:rsid w:val="0027033D"/>
    <w:rsid w:val="00270D15"/>
    <w:rsid w:val="00271DEA"/>
    <w:rsid w:val="00272B98"/>
    <w:rsid w:val="00275429"/>
    <w:rsid w:val="0027565F"/>
    <w:rsid w:val="00275FED"/>
    <w:rsid w:val="00277FFE"/>
    <w:rsid w:val="00280575"/>
    <w:rsid w:val="002839B7"/>
    <w:rsid w:val="0028470E"/>
    <w:rsid w:val="002939FC"/>
    <w:rsid w:val="002948E6"/>
    <w:rsid w:val="00294A2C"/>
    <w:rsid w:val="002A028B"/>
    <w:rsid w:val="002A0A0B"/>
    <w:rsid w:val="002A0FC5"/>
    <w:rsid w:val="002A239C"/>
    <w:rsid w:val="002A3524"/>
    <w:rsid w:val="002A38C3"/>
    <w:rsid w:val="002A5B12"/>
    <w:rsid w:val="002A7D56"/>
    <w:rsid w:val="002B0D2D"/>
    <w:rsid w:val="002B34E9"/>
    <w:rsid w:val="002B3909"/>
    <w:rsid w:val="002B7FB9"/>
    <w:rsid w:val="002C44E0"/>
    <w:rsid w:val="002C5145"/>
    <w:rsid w:val="002D03C3"/>
    <w:rsid w:val="002D247D"/>
    <w:rsid w:val="002D5D60"/>
    <w:rsid w:val="002E07CD"/>
    <w:rsid w:val="002E2810"/>
    <w:rsid w:val="002E2C77"/>
    <w:rsid w:val="002E3469"/>
    <w:rsid w:val="002E42D0"/>
    <w:rsid w:val="002E4C05"/>
    <w:rsid w:val="002E4D4C"/>
    <w:rsid w:val="002E7143"/>
    <w:rsid w:val="002F0D79"/>
    <w:rsid w:val="002F19CD"/>
    <w:rsid w:val="002F3D59"/>
    <w:rsid w:val="00301B8F"/>
    <w:rsid w:val="0030332C"/>
    <w:rsid w:val="00304446"/>
    <w:rsid w:val="00304524"/>
    <w:rsid w:val="00304AB8"/>
    <w:rsid w:val="00306F9F"/>
    <w:rsid w:val="003103D2"/>
    <w:rsid w:val="00310AA0"/>
    <w:rsid w:val="003128D1"/>
    <w:rsid w:val="0031389B"/>
    <w:rsid w:val="00314881"/>
    <w:rsid w:val="00315A37"/>
    <w:rsid w:val="003203A2"/>
    <w:rsid w:val="00320E81"/>
    <w:rsid w:val="00323793"/>
    <w:rsid w:val="0032399D"/>
    <w:rsid w:val="00327E4E"/>
    <w:rsid w:val="003369A0"/>
    <w:rsid w:val="0034251F"/>
    <w:rsid w:val="00343987"/>
    <w:rsid w:val="003459FC"/>
    <w:rsid w:val="00350A49"/>
    <w:rsid w:val="0035170E"/>
    <w:rsid w:val="0035204B"/>
    <w:rsid w:val="00353B18"/>
    <w:rsid w:val="00353F36"/>
    <w:rsid w:val="003544A4"/>
    <w:rsid w:val="00355B57"/>
    <w:rsid w:val="003561F6"/>
    <w:rsid w:val="00363433"/>
    <w:rsid w:val="003642F6"/>
    <w:rsid w:val="00365389"/>
    <w:rsid w:val="003674EB"/>
    <w:rsid w:val="00370147"/>
    <w:rsid w:val="00370F08"/>
    <w:rsid w:val="00371056"/>
    <w:rsid w:val="003714B3"/>
    <w:rsid w:val="003721BA"/>
    <w:rsid w:val="0037348E"/>
    <w:rsid w:val="00373B90"/>
    <w:rsid w:val="003825B7"/>
    <w:rsid w:val="003844D8"/>
    <w:rsid w:val="0038457C"/>
    <w:rsid w:val="00384DBD"/>
    <w:rsid w:val="00386A61"/>
    <w:rsid w:val="0038722F"/>
    <w:rsid w:val="00387B66"/>
    <w:rsid w:val="0039017A"/>
    <w:rsid w:val="003935C7"/>
    <w:rsid w:val="00393AC8"/>
    <w:rsid w:val="00397420"/>
    <w:rsid w:val="003A4275"/>
    <w:rsid w:val="003A46E9"/>
    <w:rsid w:val="003A4957"/>
    <w:rsid w:val="003A5630"/>
    <w:rsid w:val="003A5A71"/>
    <w:rsid w:val="003A646D"/>
    <w:rsid w:val="003B1ED9"/>
    <w:rsid w:val="003B2F8E"/>
    <w:rsid w:val="003B45A3"/>
    <w:rsid w:val="003B7D3A"/>
    <w:rsid w:val="003C23AD"/>
    <w:rsid w:val="003C293C"/>
    <w:rsid w:val="003C37A4"/>
    <w:rsid w:val="003C37A5"/>
    <w:rsid w:val="003C7171"/>
    <w:rsid w:val="003D24C9"/>
    <w:rsid w:val="003D3027"/>
    <w:rsid w:val="003D4890"/>
    <w:rsid w:val="003D5445"/>
    <w:rsid w:val="003D73C7"/>
    <w:rsid w:val="003D7920"/>
    <w:rsid w:val="003E100F"/>
    <w:rsid w:val="003E75F6"/>
    <w:rsid w:val="003F318F"/>
    <w:rsid w:val="003F75F5"/>
    <w:rsid w:val="00401D7B"/>
    <w:rsid w:val="00401ED0"/>
    <w:rsid w:val="004050CB"/>
    <w:rsid w:val="0040559C"/>
    <w:rsid w:val="00412C9B"/>
    <w:rsid w:val="004156A9"/>
    <w:rsid w:val="00415ABF"/>
    <w:rsid w:val="004223D9"/>
    <w:rsid w:val="004235D3"/>
    <w:rsid w:val="00423A2B"/>
    <w:rsid w:val="0042579A"/>
    <w:rsid w:val="00425B16"/>
    <w:rsid w:val="0042799E"/>
    <w:rsid w:val="004318A5"/>
    <w:rsid w:val="00433D0E"/>
    <w:rsid w:val="004347DB"/>
    <w:rsid w:val="0043610F"/>
    <w:rsid w:val="00436F3C"/>
    <w:rsid w:val="00440411"/>
    <w:rsid w:val="004473CB"/>
    <w:rsid w:val="00450748"/>
    <w:rsid w:val="004512D0"/>
    <w:rsid w:val="00451DE9"/>
    <w:rsid w:val="00454698"/>
    <w:rsid w:val="00455485"/>
    <w:rsid w:val="00456542"/>
    <w:rsid w:val="00456CC6"/>
    <w:rsid w:val="00460CC9"/>
    <w:rsid w:val="00461CCC"/>
    <w:rsid w:val="00464517"/>
    <w:rsid w:val="004648F6"/>
    <w:rsid w:val="0046578C"/>
    <w:rsid w:val="00467671"/>
    <w:rsid w:val="00470C37"/>
    <w:rsid w:val="004729E7"/>
    <w:rsid w:val="004738B1"/>
    <w:rsid w:val="0047596A"/>
    <w:rsid w:val="00476F51"/>
    <w:rsid w:val="00480A92"/>
    <w:rsid w:val="00482808"/>
    <w:rsid w:val="0048367A"/>
    <w:rsid w:val="00483F26"/>
    <w:rsid w:val="00486163"/>
    <w:rsid w:val="004907A6"/>
    <w:rsid w:val="00490DD3"/>
    <w:rsid w:val="004964F8"/>
    <w:rsid w:val="00497FE2"/>
    <w:rsid w:val="004A178E"/>
    <w:rsid w:val="004A24E8"/>
    <w:rsid w:val="004A4E70"/>
    <w:rsid w:val="004B02FE"/>
    <w:rsid w:val="004B093C"/>
    <w:rsid w:val="004B2CC4"/>
    <w:rsid w:val="004B7CA4"/>
    <w:rsid w:val="004C19B8"/>
    <w:rsid w:val="004C2EB9"/>
    <w:rsid w:val="004C3061"/>
    <w:rsid w:val="004C36A0"/>
    <w:rsid w:val="004C3E81"/>
    <w:rsid w:val="004C5C9E"/>
    <w:rsid w:val="004C7695"/>
    <w:rsid w:val="004C7A14"/>
    <w:rsid w:val="004D006C"/>
    <w:rsid w:val="004D192C"/>
    <w:rsid w:val="004D2769"/>
    <w:rsid w:val="004D3CA9"/>
    <w:rsid w:val="004D56FB"/>
    <w:rsid w:val="004E3143"/>
    <w:rsid w:val="004E46A0"/>
    <w:rsid w:val="004E60FA"/>
    <w:rsid w:val="004E70D1"/>
    <w:rsid w:val="004F0560"/>
    <w:rsid w:val="004F0E96"/>
    <w:rsid w:val="004F282C"/>
    <w:rsid w:val="00501E8E"/>
    <w:rsid w:val="00502B77"/>
    <w:rsid w:val="00506CFA"/>
    <w:rsid w:val="00511DA3"/>
    <w:rsid w:val="00514115"/>
    <w:rsid w:val="00515589"/>
    <w:rsid w:val="005166C5"/>
    <w:rsid w:val="00524254"/>
    <w:rsid w:val="00524516"/>
    <w:rsid w:val="0052596B"/>
    <w:rsid w:val="005267E3"/>
    <w:rsid w:val="005269DB"/>
    <w:rsid w:val="00526EC7"/>
    <w:rsid w:val="00530BB1"/>
    <w:rsid w:val="0053123E"/>
    <w:rsid w:val="0053175B"/>
    <w:rsid w:val="00531853"/>
    <w:rsid w:val="0053321A"/>
    <w:rsid w:val="00537B28"/>
    <w:rsid w:val="00540E15"/>
    <w:rsid w:val="00545E78"/>
    <w:rsid w:val="00546621"/>
    <w:rsid w:val="0055053A"/>
    <w:rsid w:val="00550946"/>
    <w:rsid w:val="00551C59"/>
    <w:rsid w:val="00556AC5"/>
    <w:rsid w:val="00556F5A"/>
    <w:rsid w:val="00557DDC"/>
    <w:rsid w:val="00557E04"/>
    <w:rsid w:val="00564833"/>
    <w:rsid w:val="00565B5B"/>
    <w:rsid w:val="00565D30"/>
    <w:rsid w:val="00570D07"/>
    <w:rsid w:val="00570FA8"/>
    <w:rsid w:val="0057155E"/>
    <w:rsid w:val="00573516"/>
    <w:rsid w:val="00575A29"/>
    <w:rsid w:val="005761D3"/>
    <w:rsid w:val="0057782A"/>
    <w:rsid w:val="00581F1C"/>
    <w:rsid w:val="005841B7"/>
    <w:rsid w:val="0058429F"/>
    <w:rsid w:val="00584DE5"/>
    <w:rsid w:val="005852F4"/>
    <w:rsid w:val="00586A5C"/>
    <w:rsid w:val="005871A7"/>
    <w:rsid w:val="00591567"/>
    <w:rsid w:val="0059289B"/>
    <w:rsid w:val="00597C58"/>
    <w:rsid w:val="005B0A0A"/>
    <w:rsid w:val="005B1EF7"/>
    <w:rsid w:val="005B3346"/>
    <w:rsid w:val="005B4A0C"/>
    <w:rsid w:val="005B740A"/>
    <w:rsid w:val="005C0AA5"/>
    <w:rsid w:val="005C0E19"/>
    <w:rsid w:val="005C1D93"/>
    <w:rsid w:val="005C2403"/>
    <w:rsid w:val="005C7E51"/>
    <w:rsid w:val="005D1E77"/>
    <w:rsid w:val="005D34F3"/>
    <w:rsid w:val="005E4BD1"/>
    <w:rsid w:val="005E6B96"/>
    <w:rsid w:val="005E6D26"/>
    <w:rsid w:val="005F0B5C"/>
    <w:rsid w:val="005F1000"/>
    <w:rsid w:val="005F5CEB"/>
    <w:rsid w:val="006012ED"/>
    <w:rsid w:val="00604249"/>
    <w:rsid w:val="006046F4"/>
    <w:rsid w:val="00607B22"/>
    <w:rsid w:val="00613446"/>
    <w:rsid w:val="006160EB"/>
    <w:rsid w:val="006224DE"/>
    <w:rsid w:val="006226D3"/>
    <w:rsid w:val="00622999"/>
    <w:rsid w:val="006252D0"/>
    <w:rsid w:val="00625B9F"/>
    <w:rsid w:val="0062773F"/>
    <w:rsid w:val="00631857"/>
    <w:rsid w:val="006322C3"/>
    <w:rsid w:val="00634068"/>
    <w:rsid w:val="006347CB"/>
    <w:rsid w:val="0063617D"/>
    <w:rsid w:val="00636194"/>
    <w:rsid w:val="00636241"/>
    <w:rsid w:val="0063648A"/>
    <w:rsid w:val="0063751D"/>
    <w:rsid w:val="00640955"/>
    <w:rsid w:val="00642F6C"/>
    <w:rsid w:val="006430C3"/>
    <w:rsid w:val="006456C3"/>
    <w:rsid w:val="00647D43"/>
    <w:rsid w:val="00651302"/>
    <w:rsid w:val="00651BDA"/>
    <w:rsid w:val="006523DE"/>
    <w:rsid w:val="00652A6C"/>
    <w:rsid w:val="0065306F"/>
    <w:rsid w:val="00653F39"/>
    <w:rsid w:val="00656373"/>
    <w:rsid w:val="00657D26"/>
    <w:rsid w:val="00660EA6"/>
    <w:rsid w:val="00661A30"/>
    <w:rsid w:val="006626EC"/>
    <w:rsid w:val="006634DC"/>
    <w:rsid w:val="00663BF9"/>
    <w:rsid w:val="006643A1"/>
    <w:rsid w:val="00664A78"/>
    <w:rsid w:val="0066604E"/>
    <w:rsid w:val="00675DA4"/>
    <w:rsid w:val="0067618A"/>
    <w:rsid w:val="00677C37"/>
    <w:rsid w:val="00687AD3"/>
    <w:rsid w:val="00687B1F"/>
    <w:rsid w:val="006942A0"/>
    <w:rsid w:val="006950E9"/>
    <w:rsid w:val="00695BE1"/>
    <w:rsid w:val="006A2EFC"/>
    <w:rsid w:val="006A5E0F"/>
    <w:rsid w:val="006B212A"/>
    <w:rsid w:val="006B3B78"/>
    <w:rsid w:val="006B3EFA"/>
    <w:rsid w:val="006B42DD"/>
    <w:rsid w:val="006B71BA"/>
    <w:rsid w:val="006B7AD2"/>
    <w:rsid w:val="006C271C"/>
    <w:rsid w:val="006C4D4D"/>
    <w:rsid w:val="006C4F79"/>
    <w:rsid w:val="006C6CFB"/>
    <w:rsid w:val="006D070F"/>
    <w:rsid w:val="006D5D36"/>
    <w:rsid w:val="006D77DA"/>
    <w:rsid w:val="006E1373"/>
    <w:rsid w:val="006E1852"/>
    <w:rsid w:val="006E2493"/>
    <w:rsid w:val="006E3C7D"/>
    <w:rsid w:val="006E3D07"/>
    <w:rsid w:val="006F0FD0"/>
    <w:rsid w:val="006F1AC8"/>
    <w:rsid w:val="006F3C07"/>
    <w:rsid w:val="006F4BC0"/>
    <w:rsid w:val="006F76EC"/>
    <w:rsid w:val="00700E2A"/>
    <w:rsid w:val="00702262"/>
    <w:rsid w:val="00702B5A"/>
    <w:rsid w:val="00702F9F"/>
    <w:rsid w:val="00706175"/>
    <w:rsid w:val="00713A56"/>
    <w:rsid w:val="0071491B"/>
    <w:rsid w:val="00717276"/>
    <w:rsid w:val="007202D5"/>
    <w:rsid w:val="0072046E"/>
    <w:rsid w:val="0072316A"/>
    <w:rsid w:val="007315AB"/>
    <w:rsid w:val="00733A2F"/>
    <w:rsid w:val="00737881"/>
    <w:rsid w:val="00737B33"/>
    <w:rsid w:val="0074005F"/>
    <w:rsid w:val="0074121D"/>
    <w:rsid w:val="00743198"/>
    <w:rsid w:val="00743305"/>
    <w:rsid w:val="007437FC"/>
    <w:rsid w:val="00747D97"/>
    <w:rsid w:val="007527F4"/>
    <w:rsid w:val="00753327"/>
    <w:rsid w:val="007533EB"/>
    <w:rsid w:val="00755115"/>
    <w:rsid w:val="007572FA"/>
    <w:rsid w:val="00760416"/>
    <w:rsid w:val="00765BBB"/>
    <w:rsid w:val="007677C1"/>
    <w:rsid w:val="00772D4D"/>
    <w:rsid w:val="00772E38"/>
    <w:rsid w:val="00773E8A"/>
    <w:rsid w:val="0077613F"/>
    <w:rsid w:val="0077623D"/>
    <w:rsid w:val="007808CE"/>
    <w:rsid w:val="007825D2"/>
    <w:rsid w:val="007830C3"/>
    <w:rsid w:val="00784B4B"/>
    <w:rsid w:val="00784FDA"/>
    <w:rsid w:val="0078510A"/>
    <w:rsid w:val="00785918"/>
    <w:rsid w:val="00790B83"/>
    <w:rsid w:val="007A097C"/>
    <w:rsid w:val="007A0D40"/>
    <w:rsid w:val="007A3627"/>
    <w:rsid w:val="007A6813"/>
    <w:rsid w:val="007B0FD7"/>
    <w:rsid w:val="007B1705"/>
    <w:rsid w:val="007B1D1F"/>
    <w:rsid w:val="007B20D3"/>
    <w:rsid w:val="007B647F"/>
    <w:rsid w:val="007B6D9E"/>
    <w:rsid w:val="007C0CA3"/>
    <w:rsid w:val="007C26B5"/>
    <w:rsid w:val="007C277F"/>
    <w:rsid w:val="007C2840"/>
    <w:rsid w:val="007C377E"/>
    <w:rsid w:val="007C5711"/>
    <w:rsid w:val="007C59A1"/>
    <w:rsid w:val="007C728C"/>
    <w:rsid w:val="007D0941"/>
    <w:rsid w:val="007D16C1"/>
    <w:rsid w:val="007D3C28"/>
    <w:rsid w:val="007D3DD0"/>
    <w:rsid w:val="007D5C87"/>
    <w:rsid w:val="007D70E3"/>
    <w:rsid w:val="007E3363"/>
    <w:rsid w:val="007E39BE"/>
    <w:rsid w:val="007F247C"/>
    <w:rsid w:val="007F6781"/>
    <w:rsid w:val="007F6C5F"/>
    <w:rsid w:val="00801517"/>
    <w:rsid w:val="0080331D"/>
    <w:rsid w:val="00803482"/>
    <w:rsid w:val="00803C9B"/>
    <w:rsid w:val="00810099"/>
    <w:rsid w:val="00812B58"/>
    <w:rsid w:val="008131EF"/>
    <w:rsid w:val="00813912"/>
    <w:rsid w:val="00817688"/>
    <w:rsid w:val="00821C89"/>
    <w:rsid w:val="00821D4C"/>
    <w:rsid w:val="00822ABF"/>
    <w:rsid w:val="00824394"/>
    <w:rsid w:val="0082486A"/>
    <w:rsid w:val="00824A87"/>
    <w:rsid w:val="00826807"/>
    <w:rsid w:val="00826992"/>
    <w:rsid w:val="008272B9"/>
    <w:rsid w:val="00832781"/>
    <w:rsid w:val="008328A3"/>
    <w:rsid w:val="00836B7B"/>
    <w:rsid w:val="00837048"/>
    <w:rsid w:val="00842134"/>
    <w:rsid w:val="00847709"/>
    <w:rsid w:val="00850425"/>
    <w:rsid w:val="00850919"/>
    <w:rsid w:val="00850BE1"/>
    <w:rsid w:val="0085158C"/>
    <w:rsid w:val="00854C50"/>
    <w:rsid w:val="008600BD"/>
    <w:rsid w:val="008637C1"/>
    <w:rsid w:val="00863F8B"/>
    <w:rsid w:val="00864D13"/>
    <w:rsid w:val="00865189"/>
    <w:rsid w:val="00865EA5"/>
    <w:rsid w:val="00870D86"/>
    <w:rsid w:val="00871824"/>
    <w:rsid w:val="00872F14"/>
    <w:rsid w:val="00874B93"/>
    <w:rsid w:val="00876B78"/>
    <w:rsid w:val="008804F2"/>
    <w:rsid w:val="00882E61"/>
    <w:rsid w:val="00883A4B"/>
    <w:rsid w:val="00883BB2"/>
    <w:rsid w:val="00887655"/>
    <w:rsid w:val="008876D1"/>
    <w:rsid w:val="0088799E"/>
    <w:rsid w:val="0089079B"/>
    <w:rsid w:val="00896230"/>
    <w:rsid w:val="00896FD1"/>
    <w:rsid w:val="008A5BEB"/>
    <w:rsid w:val="008A5E4F"/>
    <w:rsid w:val="008B2795"/>
    <w:rsid w:val="008B2F51"/>
    <w:rsid w:val="008B3745"/>
    <w:rsid w:val="008C09C1"/>
    <w:rsid w:val="008C0A41"/>
    <w:rsid w:val="008C2274"/>
    <w:rsid w:val="008C3EF1"/>
    <w:rsid w:val="008C76F6"/>
    <w:rsid w:val="008D0B9E"/>
    <w:rsid w:val="008D3ECB"/>
    <w:rsid w:val="008D40AB"/>
    <w:rsid w:val="008D4424"/>
    <w:rsid w:val="008D7607"/>
    <w:rsid w:val="008D7852"/>
    <w:rsid w:val="008E0EB8"/>
    <w:rsid w:val="008E2831"/>
    <w:rsid w:val="008E2B10"/>
    <w:rsid w:val="008E2B5E"/>
    <w:rsid w:val="008E38FD"/>
    <w:rsid w:val="008E4675"/>
    <w:rsid w:val="008E6141"/>
    <w:rsid w:val="008E64AA"/>
    <w:rsid w:val="008E67E1"/>
    <w:rsid w:val="008E70EF"/>
    <w:rsid w:val="008E779F"/>
    <w:rsid w:val="008F115A"/>
    <w:rsid w:val="008F1D0D"/>
    <w:rsid w:val="008F279F"/>
    <w:rsid w:val="008F5BDC"/>
    <w:rsid w:val="008F6424"/>
    <w:rsid w:val="00900BA6"/>
    <w:rsid w:val="00900D17"/>
    <w:rsid w:val="009014DC"/>
    <w:rsid w:val="009023DE"/>
    <w:rsid w:val="0090442A"/>
    <w:rsid w:val="00910AFE"/>
    <w:rsid w:val="00910C49"/>
    <w:rsid w:val="00911C77"/>
    <w:rsid w:val="0091360C"/>
    <w:rsid w:val="00914DA3"/>
    <w:rsid w:val="009156B2"/>
    <w:rsid w:val="0091791D"/>
    <w:rsid w:val="00920E8C"/>
    <w:rsid w:val="009225B6"/>
    <w:rsid w:val="009227A4"/>
    <w:rsid w:val="009267B5"/>
    <w:rsid w:val="0092681A"/>
    <w:rsid w:val="009274DB"/>
    <w:rsid w:val="009279CA"/>
    <w:rsid w:val="00931828"/>
    <w:rsid w:val="009329BE"/>
    <w:rsid w:val="00932D6A"/>
    <w:rsid w:val="00937FA6"/>
    <w:rsid w:val="00942841"/>
    <w:rsid w:val="0094344B"/>
    <w:rsid w:val="00944CA6"/>
    <w:rsid w:val="009469CA"/>
    <w:rsid w:val="00946AF3"/>
    <w:rsid w:val="00946E57"/>
    <w:rsid w:val="00956996"/>
    <w:rsid w:val="00956D22"/>
    <w:rsid w:val="009571BD"/>
    <w:rsid w:val="00961E9B"/>
    <w:rsid w:val="00962833"/>
    <w:rsid w:val="00962E5E"/>
    <w:rsid w:val="009661BD"/>
    <w:rsid w:val="00967F26"/>
    <w:rsid w:val="00972165"/>
    <w:rsid w:val="0097258E"/>
    <w:rsid w:val="0097636E"/>
    <w:rsid w:val="00981F0B"/>
    <w:rsid w:val="00984982"/>
    <w:rsid w:val="009856EB"/>
    <w:rsid w:val="0098660E"/>
    <w:rsid w:val="009876E3"/>
    <w:rsid w:val="00990027"/>
    <w:rsid w:val="00992635"/>
    <w:rsid w:val="00995B90"/>
    <w:rsid w:val="009A45F5"/>
    <w:rsid w:val="009A52E1"/>
    <w:rsid w:val="009A54EE"/>
    <w:rsid w:val="009B04E7"/>
    <w:rsid w:val="009B2C2E"/>
    <w:rsid w:val="009B3A90"/>
    <w:rsid w:val="009B697A"/>
    <w:rsid w:val="009B7FE0"/>
    <w:rsid w:val="009C61AC"/>
    <w:rsid w:val="009D0CF1"/>
    <w:rsid w:val="009D1433"/>
    <w:rsid w:val="009D1623"/>
    <w:rsid w:val="009D52E2"/>
    <w:rsid w:val="009D5BDA"/>
    <w:rsid w:val="009D5CD7"/>
    <w:rsid w:val="009D6E0C"/>
    <w:rsid w:val="009D7092"/>
    <w:rsid w:val="009E1613"/>
    <w:rsid w:val="009E3CA9"/>
    <w:rsid w:val="009E4AFF"/>
    <w:rsid w:val="009E4F2A"/>
    <w:rsid w:val="009E66D3"/>
    <w:rsid w:val="009E76CC"/>
    <w:rsid w:val="009F0D46"/>
    <w:rsid w:val="009F0DE7"/>
    <w:rsid w:val="009F1898"/>
    <w:rsid w:val="009F1F5F"/>
    <w:rsid w:val="009F3071"/>
    <w:rsid w:val="009F4E89"/>
    <w:rsid w:val="00A011C4"/>
    <w:rsid w:val="00A013DA"/>
    <w:rsid w:val="00A049BE"/>
    <w:rsid w:val="00A102AD"/>
    <w:rsid w:val="00A11E61"/>
    <w:rsid w:val="00A12A4E"/>
    <w:rsid w:val="00A13044"/>
    <w:rsid w:val="00A138FF"/>
    <w:rsid w:val="00A151ED"/>
    <w:rsid w:val="00A165BD"/>
    <w:rsid w:val="00A213F5"/>
    <w:rsid w:val="00A22583"/>
    <w:rsid w:val="00A2393F"/>
    <w:rsid w:val="00A271E5"/>
    <w:rsid w:val="00A27D95"/>
    <w:rsid w:val="00A35972"/>
    <w:rsid w:val="00A40D16"/>
    <w:rsid w:val="00A4133D"/>
    <w:rsid w:val="00A429BF"/>
    <w:rsid w:val="00A43E50"/>
    <w:rsid w:val="00A4426B"/>
    <w:rsid w:val="00A444F2"/>
    <w:rsid w:val="00A47F0F"/>
    <w:rsid w:val="00A505ED"/>
    <w:rsid w:val="00A50FA8"/>
    <w:rsid w:val="00A54074"/>
    <w:rsid w:val="00A576FA"/>
    <w:rsid w:val="00A67700"/>
    <w:rsid w:val="00A715FB"/>
    <w:rsid w:val="00A76668"/>
    <w:rsid w:val="00A839F1"/>
    <w:rsid w:val="00A83B31"/>
    <w:rsid w:val="00A843AB"/>
    <w:rsid w:val="00A852EF"/>
    <w:rsid w:val="00A8789D"/>
    <w:rsid w:val="00A87BB6"/>
    <w:rsid w:val="00A91DF7"/>
    <w:rsid w:val="00A91F70"/>
    <w:rsid w:val="00A924DE"/>
    <w:rsid w:val="00A93CE5"/>
    <w:rsid w:val="00A9403B"/>
    <w:rsid w:val="00A9416E"/>
    <w:rsid w:val="00A94B78"/>
    <w:rsid w:val="00A95046"/>
    <w:rsid w:val="00A9543E"/>
    <w:rsid w:val="00A9709A"/>
    <w:rsid w:val="00A97815"/>
    <w:rsid w:val="00A97ED5"/>
    <w:rsid w:val="00AA1A8B"/>
    <w:rsid w:val="00AA238C"/>
    <w:rsid w:val="00AA3D7C"/>
    <w:rsid w:val="00AB1C92"/>
    <w:rsid w:val="00AB2B60"/>
    <w:rsid w:val="00AB331D"/>
    <w:rsid w:val="00AB3AB3"/>
    <w:rsid w:val="00AB749B"/>
    <w:rsid w:val="00AB7CE1"/>
    <w:rsid w:val="00AC12AE"/>
    <w:rsid w:val="00AC3767"/>
    <w:rsid w:val="00AC38E7"/>
    <w:rsid w:val="00AC495F"/>
    <w:rsid w:val="00AC58A3"/>
    <w:rsid w:val="00AC7176"/>
    <w:rsid w:val="00AD27F5"/>
    <w:rsid w:val="00AD3D98"/>
    <w:rsid w:val="00AD407F"/>
    <w:rsid w:val="00AD66B6"/>
    <w:rsid w:val="00AE1AD1"/>
    <w:rsid w:val="00AE1C6A"/>
    <w:rsid w:val="00AE37A4"/>
    <w:rsid w:val="00AE74EE"/>
    <w:rsid w:val="00AF1C67"/>
    <w:rsid w:val="00AF3753"/>
    <w:rsid w:val="00B00C58"/>
    <w:rsid w:val="00B01BDE"/>
    <w:rsid w:val="00B03655"/>
    <w:rsid w:val="00B0573B"/>
    <w:rsid w:val="00B07B8B"/>
    <w:rsid w:val="00B127DC"/>
    <w:rsid w:val="00B1419A"/>
    <w:rsid w:val="00B17073"/>
    <w:rsid w:val="00B17E6D"/>
    <w:rsid w:val="00B205BE"/>
    <w:rsid w:val="00B24DED"/>
    <w:rsid w:val="00B274D6"/>
    <w:rsid w:val="00B27721"/>
    <w:rsid w:val="00B3095A"/>
    <w:rsid w:val="00B318A4"/>
    <w:rsid w:val="00B33921"/>
    <w:rsid w:val="00B3428E"/>
    <w:rsid w:val="00B352BC"/>
    <w:rsid w:val="00B41CF9"/>
    <w:rsid w:val="00B42677"/>
    <w:rsid w:val="00B5283F"/>
    <w:rsid w:val="00B57B90"/>
    <w:rsid w:val="00B62790"/>
    <w:rsid w:val="00B661EC"/>
    <w:rsid w:val="00B6696B"/>
    <w:rsid w:val="00B67E73"/>
    <w:rsid w:val="00B72D35"/>
    <w:rsid w:val="00B73134"/>
    <w:rsid w:val="00B73B59"/>
    <w:rsid w:val="00B81C86"/>
    <w:rsid w:val="00B84D0F"/>
    <w:rsid w:val="00B85CB9"/>
    <w:rsid w:val="00B86C6A"/>
    <w:rsid w:val="00B9008D"/>
    <w:rsid w:val="00B91F88"/>
    <w:rsid w:val="00B95AC1"/>
    <w:rsid w:val="00B972D5"/>
    <w:rsid w:val="00BA08DC"/>
    <w:rsid w:val="00BA71DE"/>
    <w:rsid w:val="00BA798F"/>
    <w:rsid w:val="00BB0484"/>
    <w:rsid w:val="00BB196F"/>
    <w:rsid w:val="00BB491B"/>
    <w:rsid w:val="00BB4EBB"/>
    <w:rsid w:val="00BB711D"/>
    <w:rsid w:val="00BB7B84"/>
    <w:rsid w:val="00BC4132"/>
    <w:rsid w:val="00BC5AE5"/>
    <w:rsid w:val="00BC66F7"/>
    <w:rsid w:val="00BD0B83"/>
    <w:rsid w:val="00BD27FF"/>
    <w:rsid w:val="00BD329E"/>
    <w:rsid w:val="00BE1E28"/>
    <w:rsid w:val="00BE2432"/>
    <w:rsid w:val="00BE3C9B"/>
    <w:rsid w:val="00BE458C"/>
    <w:rsid w:val="00BE5DEB"/>
    <w:rsid w:val="00BF01C8"/>
    <w:rsid w:val="00BF02E0"/>
    <w:rsid w:val="00BF03E4"/>
    <w:rsid w:val="00BF1067"/>
    <w:rsid w:val="00BF4692"/>
    <w:rsid w:val="00BF54AF"/>
    <w:rsid w:val="00BF69B9"/>
    <w:rsid w:val="00BF7CEC"/>
    <w:rsid w:val="00C010F2"/>
    <w:rsid w:val="00C04696"/>
    <w:rsid w:val="00C074F2"/>
    <w:rsid w:val="00C13461"/>
    <w:rsid w:val="00C13FFE"/>
    <w:rsid w:val="00C141BA"/>
    <w:rsid w:val="00C167D3"/>
    <w:rsid w:val="00C177C8"/>
    <w:rsid w:val="00C24220"/>
    <w:rsid w:val="00C3069F"/>
    <w:rsid w:val="00C314A7"/>
    <w:rsid w:val="00C34157"/>
    <w:rsid w:val="00C34AC1"/>
    <w:rsid w:val="00C36242"/>
    <w:rsid w:val="00C36F56"/>
    <w:rsid w:val="00C379BA"/>
    <w:rsid w:val="00C37FDA"/>
    <w:rsid w:val="00C4130D"/>
    <w:rsid w:val="00C42C11"/>
    <w:rsid w:val="00C42E98"/>
    <w:rsid w:val="00C43757"/>
    <w:rsid w:val="00C448E0"/>
    <w:rsid w:val="00C52770"/>
    <w:rsid w:val="00C554A3"/>
    <w:rsid w:val="00C57EE8"/>
    <w:rsid w:val="00C656A0"/>
    <w:rsid w:val="00C659B1"/>
    <w:rsid w:val="00C66584"/>
    <w:rsid w:val="00C66C32"/>
    <w:rsid w:val="00C70250"/>
    <w:rsid w:val="00C70E82"/>
    <w:rsid w:val="00C72CEB"/>
    <w:rsid w:val="00C73209"/>
    <w:rsid w:val="00C74F21"/>
    <w:rsid w:val="00C761FD"/>
    <w:rsid w:val="00C762F4"/>
    <w:rsid w:val="00C833B0"/>
    <w:rsid w:val="00C84700"/>
    <w:rsid w:val="00C85236"/>
    <w:rsid w:val="00C8595A"/>
    <w:rsid w:val="00C86B02"/>
    <w:rsid w:val="00C86E5D"/>
    <w:rsid w:val="00C86FEF"/>
    <w:rsid w:val="00C9066A"/>
    <w:rsid w:val="00C959C2"/>
    <w:rsid w:val="00C962A7"/>
    <w:rsid w:val="00CA08D1"/>
    <w:rsid w:val="00CA1284"/>
    <w:rsid w:val="00CA1ABB"/>
    <w:rsid w:val="00CA394C"/>
    <w:rsid w:val="00CA5E67"/>
    <w:rsid w:val="00CB132D"/>
    <w:rsid w:val="00CB5201"/>
    <w:rsid w:val="00CB5610"/>
    <w:rsid w:val="00CB64F4"/>
    <w:rsid w:val="00CC093D"/>
    <w:rsid w:val="00CC2E77"/>
    <w:rsid w:val="00CC2E7A"/>
    <w:rsid w:val="00CC4111"/>
    <w:rsid w:val="00CC485A"/>
    <w:rsid w:val="00CC7109"/>
    <w:rsid w:val="00CD0E0B"/>
    <w:rsid w:val="00CD127E"/>
    <w:rsid w:val="00CD261A"/>
    <w:rsid w:val="00CD3395"/>
    <w:rsid w:val="00CD5F94"/>
    <w:rsid w:val="00CE00E9"/>
    <w:rsid w:val="00CE13F7"/>
    <w:rsid w:val="00CE1C93"/>
    <w:rsid w:val="00CE3BE8"/>
    <w:rsid w:val="00CE6134"/>
    <w:rsid w:val="00CF1715"/>
    <w:rsid w:val="00CF3DEF"/>
    <w:rsid w:val="00CF409C"/>
    <w:rsid w:val="00CF5088"/>
    <w:rsid w:val="00CF75B4"/>
    <w:rsid w:val="00CF7F11"/>
    <w:rsid w:val="00D016F4"/>
    <w:rsid w:val="00D01BBE"/>
    <w:rsid w:val="00D040DC"/>
    <w:rsid w:val="00D0552B"/>
    <w:rsid w:val="00D05D21"/>
    <w:rsid w:val="00D0686C"/>
    <w:rsid w:val="00D07D94"/>
    <w:rsid w:val="00D07DD8"/>
    <w:rsid w:val="00D07E97"/>
    <w:rsid w:val="00D13A35"/>
    <w:rsid w:val="00D13BFC"/>
    <w:rsid w:val="00D14F9D"/>
    <w:rsid w:val="00D15A21"/>
    <w:rsid w:val="00D16F07"/>
    <w:rsid w:val="00D20661"/>
    <w:rsid w:val="00D2253E"/>
    <w:rsid w:val="00D23733"/>
    <w:rsid w:val="00D24329"/>
    <w:rsid w:val="00D26514"/>
    <w:rsid w:val="00D30F64"/>
    <w:rsid w:val="00D4152E"/>
    <w:rsid w:val="00D41B5C"/>
    <w:rsid w:val="00D41D37"/>
    <w:rsid w:val="00D42EEE"/>
    <w:rsid w:val="00D44F1A"/>
    <w:rsid w:val="00D45DBE"/>
    <w:rsid w:val="00D4657B"/>
    <w:rsid w:val="00D46CDD"/>
    <w:rsid w:val="00D47D2F"/>
    <w:rsid w:val="00D51D8C"/>
    <w:rsid w:val="00D542BF"/>
    <w:rsid w:val="00D5706F"/>
    <w:rsid w:val="00D61499"/>
    <w:rsid w:val="00D614DC"/>
    <w:rsid w:val="00D61909"/>
    <w:rsid w:val="00D61C74"/>
    <w:rsid w:val="00D627C9"/>
    <w:rsid w:val="00D64812"/>
    <w:rsid w:val="00D64971"/>
    <w:rsid w:val="00D671AC"/>
    <w:rsid w:val="00D712AB"/>
    <w:rsid w:val="00D728E3"/>
    <w:rsid w:val="00D731DD"/>
    <w:rsid w:val="00D7460C"/>
    <w:rsid w:val="00D76E4A"/>
    <w:rsid w:val="00D76F42"/>
    <w:rsid w:val="00D774F7"/>
    <w:rsid w:val="00D814C1"/>
    <w:rsid w:val="00D81A51"/>
    <w:rsid w:val="00D8304C"/>
    <w:rsid w:val="00D83DE2"/>
    <w:rsid w:val="00D867B7"/>
    <w:rsid w:val="00D90C14"/>
    <w:rsid w:val="00D91B5C"/>
    <w:rsid w:val="00D91C9F"/>
    <w:rsid w:val="00D92119"/>
    <w:rsid w:val="00D92B4B"/>
    <w:rsid w:val="00D93EB7"/>
    <w:rsid w:val="00D95F6B"/>
    <w:rsid w:val="00D9630E"/>
    <w:rsid w:val="00D96B8E"/>
    <w:rsid w:val="00D97317"/>
    <w:rsid w:val="00D9743F"/>
    <w:rsid w:val="00D97FA0"/>
    <w:rsid w:val="00DA4932"/>
    <w:rsid w:val="00DA4BD9"/>
    <w:rsid w:val="00DA72ED"/>
    <w:rsid w:val="00DB200B"/>
    <w:rsid w:val="00DB42D5"/>
    <w:rsid w:val="00DB5F8F"/>
    <w:rsid w:val="00DC1826"/>
    <w:rsid w:val="00DC22B1"/>
    <w:rsid w:val="00DC2730"/>
    <w:rsid w:val="00DC2AA2"/>
    <w:rsid w:val="00DC3B96"/>
    <w:rsid w:val="00DC439B"/>
    <w:rsid w:val="00DD0013"/>
    <w:rsid w:val="00DD1F3D"/>
    <w:rsid w:val="00DD2DF5"/>
    <w:rsid w:val="00DD561A"/>
    <w:rsid w:val="00DE301F"/>
    <w:rsid w:val="00DE37DF"/>
    <w:rsid w:val="00DE38BC"/>
    <w:rsid w:val="00DE421D"/>
    <w:rsid w:val="00DE4905"/>
    <w:rsid w:val="00DE7FCC"/>
    <w:rsid w:val="00DF1725"/>
    <w:rsid w:val="00DF21E2"/>
    <w:rsid w:val="00DF527D"/>
    <w:rsid w:val="00DF59AD"/>
    <w:rsid w:val="00DF7696"/>
    <w:rsid w:val="00E02B93"/>
    <w:rsid w:val="00E05AE9"/>
    <w:rsid w:val="00E06E44"/>
    <w:rsid w:val="00E10910"/>
    <w:rsid w:val="00E1170D"/>
    <w:rsid w:val="00E11A6F"/>
    <w:rsid w:val="00E124E5"/>
    <w:rsid w:val="00E23056"/>
    <w:rsid w:val="00E24818"/>
    <w:rsid w:val="00E26798"/>
    <w:rsid w:val="00E26808"/>
    <w:rsid w:val="00E26A5C"/>
    <w:rsid w:val="00E26BC1"/>
    <w:rsid w:val="00E27F6A"/>
    <w:rsid w:val="00E3026C"/>
    <w:rsid w:val="00E31491"/>
    <w:rsid w:val="00E326D2"/>
    <w:rsid w:val="00E32C07"/>
    <w:rsid w:val="00E33D69"/>
    <w:rsid w:val="00E346E5"/>
    <w:rsid w:val="00E35AAE"/>
    <w:rsid w:val="00E367FD"/>
    <w:rsid w:val="00E4056B"/>
    <w:rsid w:val="00E40C07"/>
    <w:rsid w:val="00E43C6C"/>
    <w:rsid w:val="00E44550"/>
    <w:rsid w:val="00E449BA"/>
    <w:rsid w:val="00E46E15"/>
    <w:rsid w:val="00E5043D"/>
    <w:rsid w:val="00E50CE8"/>
    <w:rsid w:val="00E5173A"/>
    <w:rsid w:val="00E51EB6"/>
    <w:rsid w:val="00E57C14"/>
    <w:rsid w:val="00E610DA"/>
    <w:rsid w:val="00E6461E"/>
    <w:rsid w:val="00E71441"/>
    <w:rsid w:val="00E71BF0"/>
    <w:rsid w:val="00E80F43"/>
    <w:rsid w:val="00E818EC"/>
    <w:rsid w:val="00E81A7A"/>
    <w:rsid w:val="00E82B0D"/>
    <w:rsid w:val="00E833C4"/>
    <w:rsid w:val="00E86D70"/>
    <w:rsid w:val="00E87DED"/>
    <w:rsid w:val="00E92748"/>
    <w:rsid w:val="00E93766"/>
    <w:rsid w:val="00E95344"/>
    <w:rsid w:val="00E95AB8"/>
    <w:rsid w:val="00E963E8"/>
    <w:rsid w:val="00E96BC2"/>
    <w:rsid w:val="00E970D1"/>
    <w:rsid w:val="00EA0DC0"/>
    <w:rsid w:val="00EA1936"/>
    <w:rsid w:val="00EA19EE"/>
    <w:rsid w:val="00EA1F9C"/>
    <w:rsid w:val="00EA35F3"/>
    <w:rsid w:val="00EA766F"/>
    <w:rsid w:val="00EA7994"/>
    <w:rsid w:val="00EA7C50"/>
    <w:rsid w:val="00EB0D3C"/>
    <w:rsid w:val="00EB0EDF"/>
    <w:rsid w:val="00EB1950"/>
    <w:rsid w:val="00EB231F"/>
    <w:rsid w:val="00EB4255"/>
    <w:rsid w:val="00EB4F58"/>
    <w:rsid w:val="00EB59F8"/>
    <w:rsid w:val="00EB71B2"/>
    <w:rsid w:val="00EC06BA"/>
    <w:rsid w:val="00EC21DD"/>
    <w:rsid w:val="00EC3A09"/>
    <w:rsid w:val="00EC6FF1"/>
    <w:rsid w:val="00EC778B"/>
    <w:rsid w:val="00ED240E"/>
    <w:rsid w:val="00ED3827"/>
    <w:rsid w:val="00ED42EC"/>
    <w:rsid w:val="00ED6233"/>
    <w:rsid w:val="00EE3EE6"/>
    <w:rsid w:val="00EE6733"/>
    <w:rsid w:val="00EF0F9B"/>
    <w:rsid w:val="00EF1F4E"/>
    <w:rsid w:val="00EF5671"/>
    <w:rsid w:val="00EF61D8"/>
    <w:rsid w:val="00EF64EB"/>
    <w:rsid w:val="00F026C1"/>
    <w:rsid w:val="00F0311C"/>
    <w:rsid w:val="00F03516"/>
    <w:rsid w:val="00F12172"/>
    <w:rsid w:val="00F1244D"/>
    <w:rsid w:val="00F16739"/>
    <w:rsid w:val="00F247F7"/>
    <w:rsid w:val="00F268FA"/>
    <w:rsid w:val="00F30D3E"/>
    <w:rsid w:val="00F33585"/>
    <w:rsid w:val="00F35D72"/>
    <w:rsid w:val="00F40887"/>
    <w:rsid w:val="00F41C82"/>
    <w:rsid w:val="00F4274C"/>
    <w:rsid w:val="00F428B1"/>
    <w:rsid w:val="00F43401"/>
    <w:rsid w:val="00F43E37"/>
    <w:rsid w:val="00F47271"/>
    <w:rsid w:val="00F47FC3"/>
    <w:rsid w:val="00F51D5A"/>
    <w:rsid w:val="00F52872"/>
    <w:rsid w:val="00F53D54"/>
    <w:rsid w:val="00F56915"/>
    <w:rsid w:val="00F61DD5"/>
    <w:rsid w:val="00F70340"/>
    <w:rsid w:val="00F72B44"/>
    <w:rsid w:val="00F73B34"/>
    <w:rsid w:val="00F73EAA"/>
    <w:rsid w:val="00F74DCA"/>
    <w:rsid w:val="00F823A1"/>
    <w:rsid w:val="00F8244E"/>
    <w:rsid w:val="00F851BC"/>
    <w:rsid w:val="00F872D0"/>
    <w:rsid w:val="00F902DB"/>
    <w:rsid w:val="00F94115"/>
    <w:rsid w:val="00F96976"/>
    <w:rsid w:val="00FA1581"/>
    <w:rsid w:val="00FA2532"/>
    <w:rsid w:val="00FB37DA"/>
    <w:rsid w:val="00FB46E4"/>
    <w:rsid w:val="00FB4AB8"/>
    <w:rsid w:val="00FB723D"/>
    <w:rsid w:val="00FC4E08"/>
    <w:rsid w:val="00FC60FB"/>
    <w:rsid w:val="00FC7A1C"/>
    <w:rsid w:val="00FD1AFA"/>
    <w:rsid w:val="00FD285C"/>
    <w:rsid w:val="00FD305F"/>
    <w:rsid w:val="00FD32EF"/>
    <w:rsid w:val="00FD4291"/>
    <w:rsid w:val="00FD5A59"/>
    <w:rsid w:val="00FE10FC"/>
    <w:rsid w:val="00FE1AD3"/>
    <w:rsid w:val="00FE1C97"/>
    <w:rsid w:val="00FE2137"/>
    <w:rsid w:val="00FE7B4A"/>
    <w:rsid w:val="00FF15AB"/>
    <w:rsid w:val="00FF1D6C"/>
    <w:rsid w:val="00FF20FC"/>
    <w:rsid w:val="00FF2685"/>
    <w:rsid w:val="00FF3412"/>
    <w:rsid w:val="00FF5017"/>
    <w:rsid w:val="00FF56C0"/>
    <w:rsid w:val="00FF57A6"/>
    <w:rsid w:val="58963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iPriority="99"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7"/>
    <w:qFormat/>
    <w:uiPriority w:val="0"/>
    <w:pPr>
      <w:keepNext/>
      <w:keepLines/>
      <w:spacing w:before="260" w:after="260" w:line="416" w:lineRule="auto"/>
      <w:outlineLvl w:val="1"/>
    </w:pPr>
    <w:rPr>
      <w:rFonts w:ascii="Arial" w:hAnsi="Arial" w:eastAsia="黑体"/>
      <w:b/>
      <w:bCs/>
      <w:kern w:val="0"/>
      <w:sz w:val="32"/>
      <w:szCs w:val="32"/>
    </w:rPr>
  </w:style>
  <w:style w:type="paragraph" w:styleId="4">
    <w:name w:val="heading 3"/>
    <w:basedOn w:val="1"/>
    <w:next w:val="1"/>
    <w:link w:val="38"/>
    <w:qFormat/>
    <w:uiPriority w:val="0"/>
    <w:pPr>
      <w:keepNext/>
      <w:keepLines/>
      <w:spacing w:before="260" w:after="260" w:line="416" w:lineRule="auto"/>
      <w:outlineLvl w:val="2"/>
    </w:pPr>
    <w:rPr>
      <w:b/>
      <w:bCs/>
      <w:kern w:val="0"/>
      <w:sz w:val="32"/>
      <w:szCs w:val="32"/>
    </w:rPr>
  </w:style>
  <w:style w:type="paragraph" w:styleId="5">
    <w:name w:val="heading 4"/>
    <w:basedOn w:val="1"/>
    <w:next w:val="1"/>
    <w:link w:val="39"/>
    <w:semiHidden/>
    <w:unhideWhenUsed/>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0"/>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1"/>
    <w:semiHidden/>
    <w:unhideWhenUsed/>
    <w:qFormat/>
    <w:uiPriority w:val="0"/>
    <w:pPr>
      <w:keepNext/>
      <w:keepLines/>
      <w:spacing w:before="240" w:after="64" w:line="319" w:lineRule="auto"/>
      <w:outlineLvl w:val="5"/>
    </w:pPr>
    <w:rPr>
      <w:rFonts w:ascii="Arial" w:hAnsi="Arial" w:eastAsia="黑体"/>
      <w:b/>
      <w:bCs/>
      <w:sz w:val="24"/>
      <w:szCs w:val="24"/>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8">
    <w:name w:val="annotation text"/>
    <w:basedOn w:val="1"/>
    <w:link w:val="57"/>
    <w:qFormat/>
    <w:uiPriority w:val="0"/>
    <w:pPr>
      <w:jc w:val="left"/>
    </w:pPr>
    <w:rPr>
      <w:kern w:val="0"/>
      <w:sz w:val="24"/>
      <w:szCs w:val="24"/>
    </w:rPr>
  </w:style>
  <w:style w:type="paragraph" w:styleId="9">
    <w:name w:val="Body Text 3"/>
    <w:basedOn w:val="1"/>
    <w:link w:val="78"/>
    <w:qFormat/>
    <w:uiPriority w:val="0"/>
    <w:pPr>
      <w:spacing w:line="840" w:lineRule="exact"/>
      <w:jc w:val="center"/>
    </w:pPr>
    <w:rPr>
      <w:rFonts w:ascii="方正大标宋简体" w:hAnsi="宋体" w:eastAsia="方正大标宋简体"/>
      <w:bCs/>
      <w:sz w:val="42"/>
      <w:szCs w:val="42"/>
      <w:lang w:val="en-US" w:eastAsia="zh-CN"/>
    </w:rPr>
  </w:style>
  <w:style w:type="paragraph" w:styleId="10">
    <w:name w:val="Body Text"/>
    <w:basedOn w:val="1"/>
    <w:link w:val="70"/>
    <w:qFormat/>
    <w:uiPriority w:val="0"/>
    <w:pPr>
      <w:spacing w:after="120"/>
    </w:pPr>
    <w:rPr>
      <w:rFonts w:eastAsia="Times New Roman"/>
      <w:szCs w:val="24"/>
      <w:lang w:val="en-US" w:eastAsia="zh-CN"/>
    </w:rPr>
  </w:style>
  <w:style w:type="paragraph" w:styleId="11">
    <w:name w:val="Body Text Indent"/>
    <w:basedOn w:val="1"/>
    <w:link w:val="43"/>
    <w:qFormat/>
    <w:uiPriority w:val="0"/>
    <w:pPr>
      <w:tabs>
        <w:tab w:val="left" w:pos="7020"/>
      </w:tabs>
      <w:spacing w:line="600" w:lineRule="exact"/>
      <w:ind w:firstLine="600" w:firstLineChars="200"/>
    </w:pPr>
    <w:rPr>
      <w:rFonts w:ascii="仿宋_GB2312" w:eastAsia="仿宋_GB2312"/>
      <w:sz w:val="30"/>
      <w:szCs w:val="24"/>
    </w:rPr>
  </w:style>
  <w:style w:type="paragraph" w:styleId="12">
    <w:name w:val="Block Text"/>
    <w:basedOn w:val="1"/>
    <w:unhideWhenUsed/>
    <w:qFormat/>
    <w:uiPriority w:val="99"/>
    <w:pPr>
      <w:widowControl/>
      <w:spacing w:after="240"/>
      <w:jc w:val="left"/>
    </w:pPr>
    <w:rPr>
      <w:kern w:val="0"/>
      <w:sz w:val="24"/>
      <w:lang w:eastAsia="en-US"/>
    </w:rPr>
  </w:style>
  <w:style w:type="paragraph" w:styleId="13">
    <w:name w:val="Plain Text"/>
    <w:basedOn w:val="1"/>
    <w:link w:val="50"/>
    <w:qFormat/>
    <w:uiPriority w:val="0"/>
    <w:rPr>
      <w:rFonts w:ascii="宋体" w:hAnsi="Courier New" w:cs="Courier New"/>
      <w:szCs w:val="21"/>
    </w:rPr>
  </w:style>
  <w:style w:type="paragraph" w:styleId="14">
    <w:name w:val="Date"/>
    <w:basedOn w:val="1"/>
    <w:next w:val="1"/>
    <w:link w:val="46"/>
    <w:qFormat/>
    <w:uiPriority w:val="0"/>
    <w:rPr>
      <w:rFonts w:ascii="楷体_GB2312" w:eastAsia="楷体_GB2312"/>
      <w:sz w:val="32"/>
    </w:rPr>
  </w:style>
  <w:style w:type="paragraph" w:styleId="15">
    <w:name w:val="Body Text Indent 2"/>
    <w:basedOn w:val="1"/>
    <w:link w:val="73"/>
    <w:qFormat/>
    <w:uiPriority w:val="0"/>
    <w:pPr>
      <w:spacing w:line="600" w:lineRule="exact"/>
      <w:ind w:firstLine="600" w:firstLineChars="200"/>
    </w:pPr>
    <w:rPr>
      <w:rFonts w:ascii="仿宋_GB2312" w:hAnsi="宋体" w:eastAsia="仿宋_GB2312"/>
      <w:sz w:val="30"/>
      <w:szCs w:val="30"/>
      <w:lang w:val="en-US" w:eastAsia="zh-CN"/>
    </w:rPr>
  </w:style>
  <w:style w:type="paragraph" w:styleId="16">
    <w:name w:val="endnote text"/>
    <w:basedOn w:val="1"/>
    <w:link w:val="56"/>
    <w:qFormat/>
    <w:uiPriority w:val="0"/>
    <w:pPr>
      <w:snapToGrid w:val="0"/>
      <w:jc w:val="left"/>
    </w:pPr>
    <w:rPr>
      <w:kern w:val="0"/>
      <w:sz w:val="24"/>
      <w:szCs w:val="24"/>
    </w:rPr>
  </w:style>
  <w:style w:type="paragraph" w:styleId="17">
    <w:name w:val="Balloon Text"/>
    <w:basedOn w:val="1"/>
    <w:link w:val="45"/>
    <w:qFormat/>
    <w:uiPriority w:val="0"/>
    <w:rPr>
      <w:sz w:val="18"/>
      <w:szCs w:val="18"/>
    </w:rPr>
  </w:style>
  <w:style w:type="paragraph" w:styleId="18">
    <w:name w:val="footer"/>
    <w:basedOn w:val="1"/>
    <w:link w:val="42"/>
    <w:qFormat/>
    <w:uiPriority w:val="99"/>
    <w:pPr>
      <w:tabs>
        <w:tab w:val="center" w:pos="4153"/>
        <w:tab w:val="right" w:pos="8306"/>
      </w:tabs>
      <w:snapToGrid w:val="0"/>
      <w:jc w:val="left"/>
    </w:pPr>
    <w:rPr>
      <w:sz w:val="18"/>
      <w:szCs w:val="18"/>
    </w:rPr>
  </w:style>
  <w:style w:type="paragraph" w:styleId="19">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20">
    <w:name w:val="Subtitle"/>
    <w:basedOn w:val="1"/>
    <w:next w:val="1"/>
    <w:link w:val="99"/>
    <w:qFormat/>
    <w:uiPriority w:val="0"/>
    <w:pPr>
      <w:spacing w:before="240" w:after="60" w:line="312" w:lineRule="auto"/>
      <w:jc w:val="center"/>
      <w:outlineLvl w:val="1"/>
    </w:pPr>
    <w:rPr>
      <w:rFonts w:ascii="Cambria" w:hAnsi="Cambria"/>
      <w:b/>
      <w:bCs/>
      <w:kern w:val="28"/>
      <w:sz w:val="32"/>
      <w:szCs w:val="32"/>
    </w:rPr>
  </w:style>
  <w:style w:type="paragraph" w:styleId="21">
    <w:name w:val="footnote text"/>
    <w:basedOn w:val="1"/>
    <w:link w:val="83"/>
    <w:uiPriority w:val="0"/>
    <w:pPr>
      <w:snapToGrid w:val="0"/>
      <w:jc w:val="left"/>
    </w:pPr>
    <w:rPr>
      <w:rFonts w:eastAsia="Times New Roman"/>
      <w:sz w:val="18"/>
      <w:szCs w:val="18"/>
      <w:lang w:val="en-US" w:eastAsia="zh-CN"/>
    </w:rPr>
  </w:style>
  <w:style w:type="paragraph" w:styleId="22">
    <w:name w:val="Body Text Indent 3"/>
    <w:basedOn w:val="1"/>
    <w:link w:val="76"/>
    <w:uiPriority w:val="0"/>
    <w:pPr>
      <w:autoSpaceDE w:val="0"/>
      <w:autoSpaceDN w:val="0"/>
      <w:adjustRightInd w:val="0"/>
      <w:spacing w:line="760" w:lineRule="exact"/>
      <w:ind w:firstLine="560"/>
      <w:jc w:val="left"/>
    </w:pPr>
    <w:rPr>
      <w:rFonts w:ascii="仿宋_GB2312" w:eastAsia="仿宋_GB2312"/>
      <w:kern w:val="0"/>
      <w:sz w:val="30"/>
      <w:szCs w:val="28"/>
      <w:lang w:val="zh-CN" w:eastAsia="zh-CN"/>
    </w:rPr>
  </w:style>
  <w:style w:type="paragraph" w:styleId="23">
    <w:name w:val="Body Text 2"/>
    <w:basedOn w:val="1"/>
    <w:link w:val="52"/>
    <w:qFormat/>
    <w:uiPriority w:val="0"/>
    <w:pPr>
      <w:spacing w:line="840" w:lineRule="exact"/>
      <w:jc w:val="center"/>
    </w:pPr>
    <w:rPr>
      <w:rFonts w:ascii="宋体" w:hAnsi="Courier New"/>
      <w:kern w:val="0"/>
      <w:szCs w:val="21"/>
    </w:rPr>
  </w:style>
  <w:style w:type="paragraph" w:styleId="24">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25">
    <w:name w:val="Title"/>
    <w:basedOn w:val="1"/>
    <w:next w:val="20"/>
    <w:link w:val="100"/>
    <w:qFormat/>
    <w:uiPriority w:val="0"/>
    <w:pPr>
      <w:widowControl/>
      <w:suppressAutoHyphens/>
      <w:overflowPunct w:val="0"/>
      <w:autoSpaceDE w:val="0"/>
      <w:jc w:val="center"/>
    </w:pPr>
    <w:rPr>
      <w:rFonts w:ascii="ClassGarmnd BT" w:hAnsi="ClassGarmnd BT" w:cs="ClassGarmnd BT"/>
      <w:b/>
      <w:kern w:val="1"/>
      <w:sz w:val="32"/>
      <w:lang w:val="en-AU" w:eastAsia="ar-SA"/>
    </w:rPr>
  </w:style>
  <w:style w:type="paragraph" w:styleId="26">
    <w:name w:val="annotation subject"/>
    <w:basedOn w:val="8"/>
    <w:next w:val="8"/>
    <w:link w:val="85"/>
    <w:uiPriority w:val="0"/>
    <w:rPr>
      <w:b/>
      <w:bCs/>
      <w:kern w:val="2"/>
      <w:sz w:val="21"/>
      <w:lang w:val="en-US" w:eastAsia="zh-CN"/>
    </w:rPr>
  </w:style>
  <w:style w:type="character" w:styleId="29">
    <w:name w:val="Strong"/>
    <w:basedOn w:val="28"/>
    <w:qFormat/>
    <w:uiPriority w:val="22"/>
    <w:rPr>
      <w:b/>
      <w:bCs/>
    </w:rPr>
  </w:style>
  <w:style w:type="character" w:styleId="30">
    <w:name w:val="endnote reference"/>
    <w:qFormat/>
    <w:uiPriority w:val="0"/>
    <w:rPr>
      <w:rFonts w:cs="Times New Roman"/>
      <w:vertAlign w:val="superscript"/>
    </w:rPr>
  </w:style>
  <w:style w:type="character" w:styleId="31">
    <w:name w:val="page number"/>
    <w:basedOn w:val="28"/>
    <w:qFormat/>
    <w:uiPriority w:val="0"/>
  </w:style>
  <w:style w:type="character" w:styleId="32">
    <w:name w:val="FollowedHyperlink"/>
    <w:basedOn w:val="28"/>
    <w:qFormat/>
    <w:uiPriority w:val="0"/>
    <w:rPr>
      <w:color w:val="800080"/>
      <w:u w:val="single"/>
    </w:rPr>
  </w:style>
  <w:style w:type="character" w:styleId="33">
    <w:name w:val="Hyperlink"/>
    <w:qFormat/>
    <w:uiPriority w:val="0"/>
    <w:rPr>
      <w:rFonts w:cs="Times New Roman"/>
      <w:color w:val="0000FF"/>
      <w:u w:val="single"/>
    </w:rPr>
  </w:style>
  <w:style w:type="character" w:styleId="34">
    <w:name w:val="annotation reference"/>
    <w:qFormat/>
    <w:uiPriority w:val="99"/>
    <w:rPr>
      <w:rFonts w:cs="Times New Roman"/>
      <w:sz w:val="21"/>
      <w:szCs w:val="21"/>
    </w:rPr>
  </w:style>
  <w:style w:type="character" w:styleId="35">
    <w:name w:val="footnote reference"/>
    <w:basedOn w:val="28"/>
    <w:unhideWhenUsed/>
    <w:uiPriority w:val="0"/>
    <w:rPr>
      <w:vertAlign w:val="superscript"/>
    </w:rPr>
  </w:style>
  <w:style w:type="character" w:customStyle="1" w:styleId="36">
    <w:name w:val="标题 1 Char"/>
    <w:link w:val="2"/>
    <w:qFormat/>
    <w:locked/>
    <w:uiPriority w:val="0"/>
    <w:rPr>
      <w:rFonts w:eastAsia="宋体"/>
      <w:b/>
      <w:bCs/>
      <w:kern w:val="44"/>
      <w:sz w:val="44"/>
      <w:szCs w:val="44"/>
      <w:lang w:bidi="ar-SA"/>
    </w:rPr>
  </w:style>
  <w:style w:type="character" w:customStyle="1" w:styleId="37">
    <w:name w:val="标题 2 Char"/>
    <w:link w:val="3"/>
    <w:qFormat/>
    <w:locked/>
    <w:uiPriority w:val="0"/>
    <w:rPr>
      <w:rFonts w:ascii="Arial" w:hAnsi="Arial" w:eastAsia="黑体"/>
      <w:b/>
      <w:bCs/>
      <w:sz w:val="32"/>
      <w:szCs w:val="32"/>
      <w:lang w:bidi="ar-SA"/>
    </w:rPr>
  </w:style>
  <w:style w:type="character" w:customStyle="1" w:styleId="38">
    <w:name w:val="标题 3 Char"/>
    <w:link w:val="4"/>
    <w:semiHidden/>
    <w:qFormat/>
    <w:locked/>
    <w:uiPriority w:val="0"/>
    <w:rPr>
      <w:rFonts w:eastAsia="宋体"/>
      <w:b/>
      <w:bCs/>
      <w:sz w:val="32"/>
      <w:szCs w:val="32"/>
      <w:lang w:bidi="ar-SA"/>
    </w:rPr>
  </w:style>
  <w:style w:type="character" w:customStyle="1" w:styleId="39">
    <w:name w:val="标题 4 Char"/>
    <w:basedOn w:val="28"/>
    <w:link w:val="5"/>
    <w:semiHidden/>
    <w:qFormat/>
    <w:uiPriority w:val="0"/>
    <w:rPr>
      <w:rFonts w:ascii="Cambria" w:hAnsi="Cambria" w:eastAsia="宋体" w:cs="Times New Roman"/>
      <w:b/>
      <w:bCs/>
      <w:kern w:val="2"/>
      <w:sz w:val="28"/>
      <w:szCs w:val="28"/>
    </w:rPr>
  </w:style>
  <w:style w:type="character" w:customStyle="1" w:styleId="40">
    <w:name w:val="标题 5 Char"/>
    <w:basedOn w:val="28"/>
    <w:link w:val="6"/>
    <w:semiHidden/>
    <w:qFormat/>
    <w:uiPriority w:val="0"/>
    <w:rPr>
      <w:b/>
      <w:bCs/>
      <w:kern w:val="2"/>
      <w:sz w:val="28"/>
      <w:szCs w:val="28"/>
    </w:rPr>
  </w:style>
  <w:style w:type="character" w:customStyle="1" w:styleId="41">
    <w:name w:val="标题 6 Char"/>
    <w:basedOn w:val="28"/>
    <w:link w:val="7"/>
    <w:semiHidden/>
    <w:qFormat/>
    <w:uiPriority w:val="0"/>
    <w:rPr>
      <w:rFonts w:ascii="Arial" w:hAnsi="Arial" w:eastAsia="黑体"/>
      <w:b/>
      <w:bCs/>
      <w:kern w:val="2"/>
      <w:sz w:val="24"/>
      <w:szCs w:val="24"/>
    </w:rPr>
  </w:style>
  <w:style w:type="character" w:customStyle="1" w:styleId="42">
    <w:name w:val="页脚 Char"/>
    <w:link w:val="18"/>
    <w:qFormat/>
    <w:locked/>
    <w:uiPriority w:val="99"/>
    <w:rPr>
      <w:rFonts w:eastAsia="宋体"/>
      <w:kern w:val="2"/>
      <w:sz w:val="18"/>
      <w:szCs w:val="18"/>
      <w:lang w:val="en-US" w:eastAsia="zh-CN" w:bidi="ar-SA"/>
    </w:rPr>
  </w:style>
  <w:style w:type="character" w:customStyle="1" w:styleId="43">
    <w:name w:val="正文文本缩进 Char"/>
    <w:basedOn w:val="28"/>
    <w:link w:val="11"/>
    <w:qFormat/>
    <w:uiPriority w:val="0"/>
    <w:rPr>
      <w:rFonts w:ascii="仿宋_GB2312" w:eastAsia="仿宋_GB2312"/>
      <w:kern w:val="2"/>
      <w:sz w:val="30"/>
      <w:szCs w:val="24"/>
      <w:lang w:val="en-US" w:eastAsia="zh-CN" w:bidi="ar-SA"/>
    </w:rPr>
  </w:style>
  <w:style w:type="character" w:customStyle="1" w:styleId="44">
    <w:name w:val="页眉 Char"/>
    <w:link w:val="19"/>
    <w:qFormat/>
    <w:locked/>
    <w:uiPriority w:val="0"/>
    <w:rPr>
      <w:rFonts w:eastAsia="宋体"/>
      <w:kern w:val="2"/>
      <w:sz w:val="18"/>
      <w:szCs w:val="18"/>
      <w:lang w:val="en-US" w:eastAsia="zh-CN" w:bidi="ar-SA"/>
    </w:rPr>
  </w:style>
  <w:style w:type="character" w:customStyle="1" w:styleId="45">
    <w:name w:val="批注框文本 Char"/>
    <w:link w:val="17"/>
    <w:qFormat/>
    <w:locked/>
    <w:uiPriority w:val="0"/>
    <w:rPr>
      <w:rFonts w:eastAsia="宋体"/>
      <w:kern w:val="2"/>
      <w:sz w:val="18"/>
      <w:szCs w:val="18"/>
      <w:lang w:val="en-US" w:eastAsia="zh-CN" w:bidi="ar-SA"/>
    </w:rPr>
  </w:style>
  <w:style w:type="character" w:customStyle="1" w:styleId="46">
    <w:name w:val="日期 Char"/>
    <w:basedOn w:val="28"/>
    <w:link w:val="14"/>
    <w:qFormat/>
    <w:uiPriority w:val="0"/>
    <w:rPr>
      <w:rFonts w:ascii="楷体_GB2312" w:eastAsia="楷体_GB2312"/>
      <w:kern w:val="2"/>
      <w:sz w:val="32"/>
      <w:lang w:val="en-US" w:eastAsia="zh-CN" w:bidi="ar-SA"/>
    </w:rPr>
  </w:style>
  <w:style w:type="paragraph" w:customStyle="1" w:styleId="47">
    <w:name w:val="dash6b63_6587"/>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48">
    <w:name w:val="dash6b63_6587__char"/>
    <w:basedOn w:val="28"/>
    <w:qFormat/>
    <w:uiPriority w:val="0"/>
  </w:style>
  <w:style w:type="character" w:customStyle="1" w:styleId="49">
    <w:name w:val="dash6b63_005f6587_005f_005fchar__char"/>
    <w:basedOn w:val="28"/>
    <w:qFormat/>
    <w:uiPriority w:val="0"/>
  </w:style>
  <w:style w:type="character" w:customStyle="1" w:styleId="50">
    <w:name w:val="纯文本 Char"/>
    <w:basedOn w:val="28"/>
    <w:link w:val="13"/>
    <w:qFormat/>
    <w:uiPriority w:val="0"/>
    <w:rPr>
      <w:rFonts w:ascii="宋体" w:hAnsi="Courier New" w:eastAsia="宋体" w:cs="Courier New"/>
      <w:kern w:val="2"/>
      <w:sz w:val="21"/>
      <w:szCs w:val="21"/>
      <w:lang w:val="en-US" w:eastAsia="zh-CN" w:bidi="ar-SA"/>
    </w:rPr>
  </w:style>
  <w:style w:type="paragraph" w:customStyle="1" w:styleId="51">
    <w:name w:val="p0"/>
    <w:basedOn w:val="1"/>
    <w:qFormat/>
    <w:uiPriority w:val="0"/>
    <w:pPr>
      <w:widowControl/>
    </w:pPr>
    <w:rPr>
      <w:kern w:val="0"/>
      <w:szCs w:val="21"/>
    </w:rPr>
  </w:style>
  <w:style w:type="character" w:customStyle="1" w:styleId="52">
    <w:name w:val="正文文本 2 Char"/>
    <w:link w:val="23"/>
    <w:qFormat/>
    <w:locked/>
    <w:uiPriority w:val="0"/>
    <w:rPr>
      <w:rFonts w:ascii="宋体" w:hAnsi="Courier New" w:eastAsia="宋体"/>
      <w:sz w:val="21"/>
      <w:szCs w:val="21"/>
      <w:lang w:bidi="ar-SA"/>
    </w:rPr>
  </w:style>
  <w:style w:type="paragraph" w:styleId="53">
    <w:name w:val="List Paragraph"/>
    <w:basedOn w:val="1"/>
    <w:link w:val="54"/>
    <w:qFormat/>
    <w:uiPriority w:val="34"/>
    <w:pPr>
      <w:ind w:firstLine="420" w:firstLineChars="200"/>
    </w:pPr>
    <w:rPr>
      <w:szCs w:val="24"/>
    </w:rPr>
  </w:style>
  <w:style w:type="character" w:customStyle="1" w:styleId="54">
    <w:name w:val="列出段落 Char"/>
    <w:link w:val="53"/>
    <w:qFormat/>
    <w:uiPriority w:val="34"/>
    <w:rPr>
      <w:kern w:val="2"/>
      <w:sz w:val="21"/>
      <w:szCs w:val="24"/>
    </w:rPr>
  </w:style>
  <w:style w:type="paragraph" w:customStyle="1" w:styleId="55">
    <w:name w:val="列出段落1"/>
    <w:basedOn w:val="1"/>
    <w:qFormat/>
    <w:uiPriority w:val="0"/>
    <w:pPr>
      <w:ind w:firstLine="420" w:firstLineChars="200"/>
    </w:pPr>
    <w:rPr>
      <w:rFonts w:ascii="Calibri" w:hAnsi="Calibri"/>
      <w:szCs w:val="22"/>
    </w:rPr>
  </w:style>
  <w:style w:type="character" w:customStyle="1" w:styleId="56">
    <w:name w:val="尾注文本 Char"/>
    <w:link w:val="16"/>
    <w:qFormat/>
    <w:locked/>
    <w:uiPriority w:val="0"/>
    <w:rPr>
      <w:rFonts w:eastAsia="宋体"/>
      <w:sz w:val="24"/>
      <w:szCs w:val="24"/>
      <w:lang w:bidi="ar-SA"/>
    </w:rPr>
  </w:style>
  <w:style w:type="character" w:customStyle="1" w:styleId="57">
    <w:name w:val="批注文字 Char"/>
    <w:link w:val="8"/>
    <w:qFormat/>
    <w:locked/>
    <w:uiPriority w:val="0"/>
    <w:rPr>
      <w:rFonts w:eastAsia="宋体"/>
      <w:sz w:val="24"/>
      <w:szCs w:val="24"/>
      <w:lang w:bidi="ar-SA"/>
    </w:rPr>
  </w:style>
  <w:style w:type="paragraph" w:customStyle="1" w:styleId="58">
    <w:name w:val="00正文"/>
    <w:basedOn w:val="1"/>
    <w:qFormat/>
    <w:uiPriority w:val="0"/>
    <w:pPr>
      <w:snapToGrid w:val="0"/>
      <w:spacing w:beforeLines="50" w:afterLines="50" w:line="360" w:lineRule="auto"/>
      <w:ind w:firstLine="200" w:firstLineChars="200"/>
    </w:pPr>
    <w:rPr>
      <w:rFonts w:ascii="宋体" w:hAnsi="宋体"/>
      <w:sz w:val="24"/>
      <w:szCs w:val="24"/>
    </w:rPr>
  </w:style>
  <w:style w:type="paragraph" w:customStyle="1" w:styleId="59">
    <w:name w:val="List Paragraph11"/>
    <w:basedOn w:val="1"/>
    <w:qFormat/>
    <w:uiPriority w:val="0"/>
    <w:pPr>
      <w:ind w:firstLine="420" w:firstLineChars="200"/>
    </w:pPr>
    <w:rPr>
      <w:rFonts w:ascii="Calibri" w:hAnsi="Calibri"/>
      <w:szCs w:val="22"/>
    </w:rPr>
  </w:style>
  <w:style w:type="paragraph" w:customStyle="1" w:styleId="60">
    <w:name w:val="内页正文"/>
    <w:link w:val="61"/>
    <w:qFormat/>
    <w:locked/>
    <w:uiPriority w:val="0"/>
    <w:pPr>
      <w:suppressAutoHyphens/>
      <w:spacing w:after="120"/>
      <w:jc w:val="both"/>
    </w:pPr>
    <w:rPr>
      <w:rFonts w:ascii="Arial" w:hAnsi="Arial" w:eastAsia="汉仪中等线简" w:cs="Times New Roman"/>
      <w:color w:val="000000"/>
      <w:sz w:val="18"/>
      <w:szCs w:val="18"/>
      <w:lang w:val="en-US" w:eastAsia="zh-CN" w:bidi="ar-SA"/>
    </w:rPr>
  </w:style>
  <w:style w:type="character" w:customStyle="1" w:styleId="61">
    <w:name w:val="内页正文 Char"/>
    <w:link w:val="60"/>
    <w:qFormat/>
    <w:uiPriority w:val="0"/>
    <w:rPr>
      <w:rFonts w:ascii="Arial" w:hAnsi="Arial" w:eastAsia="汉仪中等线简"/>
      <w:color w:val="000000"/>
      <w:sz w:val="18"/>
      <w:szCs w:val="18"/>
      <w:lang w:bidi="ar-SA"/>
    </w:rPr>
  </w:style>
  <w:style w:type="paragraph" w:customStyle="1" w:styleId="62">
    <w:name w:val="Default"/>
    <w:qFormat/>
    <w:uiPriority w:val="0"/>
    <w:pPr>
      <w:widowControl w:val="0"/>
      <w:autoSpaceDE w:val="0"/>
      <w:autoSpaceDN w:val="0"/>
      <w:adjustRightInd w:val="0"/>
    </w:pPr>
    <w:rPr>
      <w:rFonts w:ascii="仿宋_GB2312" w:hAnsi="Calibri" w:eastAsia="仿宋_GB2312" w:cs="仿宋_GB2312"/>
      <w:color w:val="000000"/>
      <w:sz w:val="24"/>
      <w:szCs w:val="24"/>
      <w:lang w:val="en-US" w:eastAsia="zh-CN" w:bidi="ar-SA"/>
    </w:rPr>
  </w:style>
  <w:style w:type="paragraph" w:customStyle="1" w:styleId="63">
    <w:name w:val="No Spacing"/>
    <w:qFormat/>
    <w:uiPriority w:val="0"/>
    <w:pPr>
      <w:widowControl w:val="0"/>
      <w:jc w:val="both"/>
    </w:pPr>
    <w:rPr>
      <w:rFonts w:ascii="Calibri" w:hAnsi="Calibri" w:eastAsia="宋体" w:cs="Times New Roman"/>
      <w:kern w:val="2"/>
      <w:sz w:val="21"/>
      <w:szCs w:val="22"/>
      <w:lang w:val="en-US" w:eastAsia="zh-CN" w:bidi="ar-SA"/>
    </w:rPr>
  </w:style>
  <w:style w:type="character" w:customStyle="1" w:styleId="64">
    <w:name w:val=" Char Char15"/>
    <w:basedOn w:val="28"/>
    <w:qFormat/>
    <w:uiPriority w:val="0"/>
    <w:rPr>
      <w:rFonts w:eastAsia="宋体"/>
      <w:b/>
      <w:bCs/>
      <w:kern w:val="44"/>
      <w:sz w:val="44"/>
      <w:szCs w:val="44"/>
      <w:lang w:val="en-US" w:eastAsia="zh-CN" w:bidi="ar-SA"/>
    </w:rPr>
  </w:style>
  <w:style w:type="character" w:customStyle="1" w:styleId="65">
    <w:name w:val=" Char Char14"/>
    <w:basedOn w:val="28"/>
    <w:qFormat/>
    <w:uiPriority w:val="0"/>
    <w:rPr>
      <w:rFonts w:eastAsia="宋体"/>
      <w:b/>
      <w:bCs/>
      <w:kern w:val="2"/>
      <w:sz w:val="32"/>
      <w:szCs w:val="32"/>
      <w:lang w:val="en-US" w:eastAsia="zh-CN" w:bidi="ar-SA"/>
    </w:rPr>
  </w:style>
  <w:style w:type="character" w:customStyle="1" w:styleId="66">
    <w:name w:val=" Char Char13"/>
    <w:basedOn w:val="28"/>
    <w:qFormat/>
    <w:uiPriority w:val="0"/>
    <w:rPr>
      <w:rFonts w:eastAsia="宋体"/>
      <w:kern w:val="2"/>
      <w:sz w:val="18"/>
      <w:szCs w:val="18"/>
      <w:lang w:val="en-US" w:eastAsia="zh-CN" w:bidi="ar-SA"/>
    </w:rPr>
  </w:style>
  <w:style w:type="character" w:customStyle="1" w:styleId="67">
    <w:name w:val=" Char Char12"/>
    <w:basedOn w:val="28"/>
    <w:qFormat/>
    <w:uiPriority w:val="0"/>
    <w:rPr>
      <w:rFonts w:eastAsia="宋体"/>
      <w:kern w:val="2"/>
      <w:sz w:val="18"/>
      <w:szCs w:val="18"/>
      <w:lang w:val="en-US" w:eastAsia="zh-CN" w:bidi="ar-SA"/>
    </w:rPr>
  </w:style>
  <w:style w:type="character" w:customStyle="1" w:styleId="68">
    <w:name w:val="正文文本缩进 Char1"/>
    <w:basedOn w:val="28"/>
    <w:qFormat/>
    <w:uiPriority w:val="0"/>
    <w:rPr>
      <w:kern w:val="2"/>
      <w:sz w:val="21"/>
      <w:szCs w:val="24"/>
    </w:rPr>
  </w:style>
  <w:style w:type="character" w:customStyle="1" w:styleId="69">
    <w:name w:val="日期 Char1"/>
    <w:basedOn w:val="28"/>
    <w:qFormat/>
    <w:uiPriority w:val="0"/>
    <w:rPr>
      <w:kern w:val="2"/>
      <w:sz w:val="21"/>
      <w:szCs w:val="24"/>
    </w:rPr>
  </w:style>
  <w:style w:type="character" w:customStyle="1" w:styleId="70">
    <w:name w:val="正文文本 Char"/>
    <w:basedOn w:val="28"/>
    <w:link w:val="10"/>
    <w:qFormat/>
    <w:uiPriority w:val="0"/>
    <w:rPr>
      <w:rFonts w:eastAsia="Times New Roman"/>
      <w:kern w:val="2"/>
      <w:sz w:val="21"/>
      <w:szCs w:val="24"/>
      <w:lang w:val="en-US" w:eastAsia="zh-CN"/>
    </w:rPr>
  </w:style>
  <w:style w:type="character" w:customStyle="1" w:styleId="71">
    <w:name w:val="正文文本 Char1"/>
    <w:basedOn w:val="28"/>
    <w:qFormat/>
    <w:uiPriority w:val="0"/>
    <w:rPr>
      <w:kern w:val="2"/>
      <w:sz w:val="21"/>
      <w:szCs w:val="24"/>
    </w:rPr>
  </w:style>
  <w:style w:type="character" w:customStyle="1" w:styleId="72">
    <w:name w:val="批注框文本 Char1"/>
    <w:basedOn w:val="28"/>
    <w:uiPriority w:val="0"/>
    <w:rPr>
      <w:kern w:val="2"/>
      <w:sz w:val="18"/>
      <w:szCs w:val="18"/>
    </w:rPr>
  </w:style>
  <w:style w:type="character" w:customStyle="1" w:styleId="73">
    <w:name w:val="正文文本缩进 2 Char"/>
    <w:basedOn w:val="28"/>
    <w:link w:val="15"/>
    <w:qFormat/>
    <w:uiPriority w:val="0"/>
    <w:rPr>
      <w:rFonts w:ascii="仿宋_GB2312" w:hAnsi="宋体" w:eastAsia="仿宋_GB2312"/>
      <w:kern w:val="2"/>
      <w:sz w:val="30"/>
      <w:szCs w:val="30"/>
      <w:lang w:val="en-US" w:eastAsia="zh-CN"/>
    </w:rPr>
  </w:style>
  <w:style w:type="character" w:customStyle="1" w:styleId="74">
    <w:name w:val="正文文本缩进 2 Char1"/>
    <w:basedOn w:val="28"/>
    <w:qFormat/>
    <w:uiPriority w:val="0"/>
    <w:rPr>
      <w:kern w:val="2"/>
      <w:sz w:val="21"/>
      <w:szCs w:val="24"/>
    </w:rPr>
  </w:style>
  <w:style w:type="character" w:customStyle="1" w:styleId="75">
    <w:name w:val="正文文本 2 Char1"/>
    <w:basedOn w:val="28"/>
    <w:qFormat/>
    <w:uiPriority w:val="0"/>
    <w:rPr>
      <w:kern w:val="2"/>
      <w:sz w:val="21"/>
      <w:szCs w:val="24"/>
    </w:rPr>
  </w:style>
  <w:style w:type="character" w:customStyle="1" w:styleId="76">
    <w:name w:val="正文文本缩进 3 Char"/>
    <w:basedOn w:val="28"/>
    <w:link w:val="22"/>
    <w:qFormat/>
    <w:uiPriority w:val="0"/>
    <w:rPr>
      <w:rFonts w:ascii="仿宋_GB2312" w:eastAsia="仿宋_GB2312"/>
      <w:sz w:val="30"/>
      <w:szCs w:val="28"/>
      <w:lang w:val="zh-CN" w:eastAsia="zh-CN"/>
    </w:rPr>
  </w:style>
  <w:style w:type="character" w:customStyle="1" w:styleId="77">
    <w:name w:val="正文文本缩进 3 Char1"/>
    <w:basedOn w:val="28"/>
    <w:qFormat/>
    <w:uiPriority w:val="0"/>
    <w:rPr>
      <w:kern w:val="2"/>
      <w:sz w:val="16"/>
      <w:szCs w:val="16"/>
    </w:rPr>
  </w:style>
  <w:style w:type="character" w:customStyle="1" w:styleId="78">
    <w:name w:val="正文文本 3 Char"/>
    <w:basedOn w:val="28"/>
    <w:link w:val="9"/>
    <w:qFormat/>
    <w:uiPriority w:val="0"/>
    <w:rPr>
      <w:rFonts w:ascii="方正大标宋简体" w:hAnsi="宋体" w:eastAsia="方正大标宋简体"/>
      <w:bCs/>
      <w:kern w:val="2"/>
      <w:sz w:val="42"/>
      <w:szCs w:val="42"/>
      <w:lang w:val="en-US" w:eastAsia="zh-CN"/>
    </w:rPr>
  </w:style>
  <w:style w:type="character" w:customStyle="1" w:styleId="79">
    <w:name w:val="正文文本 3 Char1"/>
    <w:basedOn w:val="28"/>
    <w:uiPriority w:val="0"/>
    <w:rPr>
      <w:kern w:val="2"/>
      <w:sz w:val="16"/>
      <w:szCs w:val="16"/>
    </w:rPr>
  </w:style>
  <w:style w:type="character" w:customStyle="1" w:styleId="80">
    <w:name w:val="纯文本 Char1"/>
    <w:basedOn w:val="28"/>
    <w:qFormat/>
    <w:uiPriority w:val="0"/>
    <w:rPr>
      <w:rFonts w:ascii="宋体" w:hAnsi="Courier New" w:cs="Courier New"/>
      <w:kern w:val="2"/>
      <w:sz w:val="21"/>
      <w:szCs w:val="21"/>
    </w:rPr>
  </w:style>
  <w:style w:type="character" w:customStyle="1" w:styleId="81">
    <w:name w:val="条款 Char"/>
    <w:link w:val="82"/>
    <w:qFormat/>
    <w:uiPriority w:val="0"/>
    <w:rPr>
      <w:rFonts w:ascii="仿宋_GB2312" w:hAnsi="Calibri" w:eastAsia="仿宋_GB2312"/>
      <w:color w:val="000000"/>
      <w:sz w:val="28"/>
      <w:lang w:bidi="ar-SA"/>
    </w:rPr>
  </w:style>
  <w:style w:type="paragraph" w:customStyle="1" w:styleId="82">
    <w:name w:val="条款"/>
    <w:basedOn w:val="1"/>
    <w:link w:val="81"/>
    <w:qFormat/>
    <w:uiPriority w:val="0"/>
    <w:pPr>
      <w:widowControl/>
      <w:wordWrap w:val="0"/>
      <w:adjustRightInd w:val="0"/>
      <w:spacing w:line="360" w:lineRule="auto"/>
      <w:ind w:right="272" w:firstLine="560" w:firstLineChars="200"/>
    </w:pPr>
    <w:rPr>
      <w:rFonts w:ascii="仿宋_GB2312" w:hAnsi="Calibri" w:eastAsia="仿宋_GB2312"/>
      <w:color w:val="000000"/>
      <w:kern w:val="0"/>
      <w:sz w:val="28"/>
    </w:rPr>
  </w:style>
  <w:style w:type="character" w:customStyle="1" w:styleId="83">
    <w:name w:val="脚注文本 Char"/>
    <w:basedOn w:val="28"/>
    <w:link w:val="21"/>
    <w:qFormat/>
    <w:uiPriority w:val="0"/>
    <w:rPr>
      <w:rFonts w:eastAsia="Times New Roman"/>
      <w:kern w:val="2"/>
      <w:sz w:val="18"/>
      <w:szCs w:val="18"/>
      <w:lang w:val="en-US" w:eastAsia="zh-CN"/>
    </w:rPr>
  </w:style>
  <w:style w:type="character" w:customStyle="1" w:styleId="84">
    <w:name w:val="脚注文本 Char1"/>
    <w:basedOn w:val="28"/>
    <w:qFormat/>
    <w:uiPriority w:val="0"/>
    <w:rPr>
      <w:kern w:val="2"/>
      <w:sz w:val="18"/>
      <w:szCs w:val="18"/>
    </w:rPr>
  </w:style>
  <w:style w:type="character" w:customStyle="1" w:styleId="85">
    <w:name w:val="批注主题 Char"/>
    <w:basedOn w:val="57"/>
    <w:link w:val="26"/>
    <w:qFormat/>
    <w:uiPriority w:val="0"/>
    <w:rPr>
      <w:b/>
      <w:bCs/>
      <w:kern w:val="2"/>
      <w:sz w:val="21"/>
    </w:rPr>
  </w:style>
  <w:style w:type="paragraph" w:customStyle="1" w:styleId="86">
    <w:name w:val="Char3"/>
    <w:basedOn w:val="1"/>
    <w:uiPriority w:val="0"/>
    <w:rPr>
      <w:szCs w:val="21"/>
    </w:rPr>
  </w:style>
  <w:style w:type="paragraph" w:customStyle="1" w:styleId="87">
    <w:name w:val="doc-a2"/>
    <w:basedOn w:val="1"/>
    <w:qFormat/>
    <w:uiPriority w:val="0"/>
    <w:pPr>
      <w:widowControl/>
      <w:spacing w:before="225" w:after="100" w:afterAutospacing="1" w:line="450" w:lineRule="atLeast"/>
      <w:ind w:firstLine="480"/>
      <w:jc w:val="left"/>
    </w:pPr>
    <w:rPr>
      <w:rFonts w:ascii="微软雅黑" w:hAnsi="微软雅黑" w:eastAsia="微软雅黑" w:cs="宋体"/>
      <w:kern w:val="0"/>
      <w:szCs w:val="21"/>
    </w:rPr>
  </w:style>
  <w:style w:type="paragraph" w:customStyle="1" w:styleId="88">
    <w:name w:val="样式1"/>
    <w:basedOn w:val="1"/>
    <w:link w:val="89"/>
    <w:qFormat/>
    <w:uiPriority w:val="0"/>
    <w:pPr>
      <w:numPr>
        <w:ilvl w:val="0"/>
        <w:numId w:val="1"/>
      </w:numPr>
      <w:tabs>
        <w:tab w:val="left" w:pos="2127"/>
      </w:tabs>
      <w:adjustRightInd w:val="0"/>
      <w:snapToGrid w:val="0"/>
      <w:spacing w:line="540" w:lineRule="exact"/>
      <w:ind w:left="988"/>
    </w:pPr>
    <w:rPr>
      <w:rFonts w:ascii="仿宋_GB2312" w:hAnsi="宋体" w:eastAsia="仿宋_GB2312"/>
      <w:kern w:val="0"/>
      <w:sz w:val="30"/>
      <w:szCs w:val="30"/>
    </w:rPr>
  </w:style>
  <w:style w:type="character" w:customStyle="1" w:styleId="89">
    <w:name w:val="样式1 Char"/>
    <w:link w:val="88"/>
    <w:qFormat/>
    <w:locked/>
    <w:uiPriority w:val="0"/>
    <w:rPr>
      <w:rFonts w:ascii="仿宋_GB2312" w:hAnsi="宋体" w:eastAsia="仿宋_GB2312"/>
      <w:sz w:val="30"/>
      <w:szCs w:val="30"/>
      <w:lang w:val="en-US" w:eastAsia="zh-CN" w:bidi="ar-SA"/>
    </w:rPr>
  </w:style>
  <w:style w:type="paragraph" w:customStyle="1" w:styleId="90">
    <w:name w:val="SSE正文"/>
    <w:basedOn w:val="1"/>
    <w:link w:val="91"/>
    <w:qFormat/>
    <w:uiPriority w:val="0"/>
    <w:pPr>
      <w:ind w:firstLine="200" w:firstLineChars="200"/>
    </w:pPr>
    <w:rPr>
      <w:rFonts w:eastAsia="仿宋_GB2312"/>
      <w:sz w:val="28"/>
      <w:szCs w:val="28"/>
    </w:rPr>
  </w:style>
  <w:style w:type="character" w:customStyle="1" w:styleId="91">
    <w:name w:val="SSE正文 Char"/>
    <w:basedOn w:val="28"/>
    <w:link w:val="90"/>
    <w:qFormat/>
    <w:uiPriority w:val="0"/>
    <w:rPr>
      <w:rFonts w:eastAsia="仿宋_GB2312"/>
      <w:kern w:val="2"/>
      <w:sz w:val="28"/>
      <w:szCs w:val="28"/>
    </w:rPr>
  </w:style>
  <w:style w:type="paragraph" w:customStyle="1" w:styleId="92">
    <w:name w:val="默认"/>
    <w:qFormat/>
    <w:uiPriority w:val="0"/>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Helvetica" w:cs="Arial Unicode MS"/>
      <w:color w:val="000000"/>
      <w:sz w:val="22"/>
      <w:szCs w:val="22"/>
      <w:lang w:val="zh-CN" w:eastAsia="zh-CN" w:bidi="ar-SA"/>
    </w:rPr>
  </w:style>
  <w:style w:type="paragraph" w:customStyle="1" w:styleId="93">
    <w:name w:val="Message Heading"/>
    <w:basedOn w:val="1"/>
    <w:next w:val="1"/>
    <w:qFormat/>
    <w:uiPriority w:val="0"/>
    <w:pPr>
      <w:widowControl/>
      <w:spacing w:after="120" w:line="320" w:lineRule="atLeast"/>
      <w:jc w:val="left"/>
    </w:pPr>
    <w:rPr>
      <w:rFonts w:ascii="Frutiger 45 Light" w:hAnsi="Frutiger 45 Light" w:eastAsia="华文楷体"/>
      <w:b/>
      <w:color w:val="3783FF"/>
      <w:kern w:val="0"/>
      <w:sz w:val="28"/>
    </w:rPr>
  </w:style>
  <w:style w:type="paragraph" w:customStyle="1" w:styleId="94">
    <w:name w:val="SSE标题1"/>
    <w:basedOn w:val="2"/>
    <w:link w:val="95"/>
    <w:qFormat/>
    <w:uiPriority w:val="0"/>
    <w:pPr>
      <w:spacing w:before="0" w:after="120" w:line="240" w:lineRule="auto"/>
      <w:ind w:left="1232" w:hanging="630"/>
    </w:pPr>
    <w:rPr>
      <w:rFonts w:eastAsia="黑体"/>
      <w:sz w:val="30"/>
      <w:szCs w:val="30"/>
      <w:lang w:val="en-US" w:eastAsia="zh-CN"/>
    </w:rPr>
  </w:style>
  <w:style w:type="character" w:customStyle="1" w:styleId="95">
    <w:name w:val="SSE标题1 Char"/>
    <w:basedOn w:val="28"/>
    <w:link w:val="94"/>
    <w:qFormat/>
    <w:uiPriority w:val="0"/>
    <w:rPr>
      <w:rFonts w:eastAsia="黑体"/>
      <w:b/>
      <w:bCs/>
      <w:kern w:val="44"/>
      <w:sz w:val="30"/>
      <w:szCs w:val="30"/>
    </w:rPr>
  </w:style>
  <w:style w:type="paragraph" w:customStyle="1" w:styleId="96">
    <w:name w:val="SSE标题0"/>
    <w:basedOn w:val="1"/>
    <w:link w:val="97"/>
    <w:qFormat/>
    <w:uiPriority w:val="0"/>
    <w:pPr>
      <w:spacing w:before="100" w:beforeAutospacing="1" w:after="100" w:afterAutospacing="1"/>
      <w:jc w:val="center"/>
    </w:pPr>
    <w:rPr>
      <w:rFonts w:eastAsia="华文中宋"/>
      <w:b/>
      <w:sz w:val="44"/>
      <w:szCs w:val="44"/>
    </w:rPr>
  </w:style>
  <w:style w:type="character" w:customStyle="1" w:styleId="97">
    <w:name w:val="SSE标题0 Char"/>
    <w:basedOn w:val="28"/>
    <w:link w:val="96"/>
    <w:uiPriority w:val="0"/>
    <w:rPr>
      <w:rFonts w:eastAsia="华文中宋"/>
      <w:b/>
      <w:kern w:val="2"/>
      <w:sz w:val="44"/>
      <w:szCs w:val="44"/>
    </w:rPr>
  </w:style>
  <w:style w:type="paragraph" w:customStyle="1" w:styleId="98">
    <w:name w:val="Стандартный HTML"/>
    <w:basedOn w:val="1"/>
    <w:qFormat/>
    <w:uiPriority w:val="0"/>
    <w:pPr>
      <w:widowControl/>
      <w:suppressAutoHyphens/>
      <w:jc w:val="left"/>
    </w:pPr>
    <w:rPr>
      <w:rFonts w:ascii="Courier New" w:hAnsi="Courier New" w:cs="Courier New"/>
      <w:kern w:val="1"/>
      <w:sz w:val="20"/>
      <w:lang w:eastAsia="ar-SA"/>
    </w:rPr>
  </w:style>
  <w:style w:type="character" w:customStyle="1" w:styleId="99">
    <w:name w:val="副标题 Char"/>
    <w:basedOn w:val="28"/>
    <w:link w:val="20"/>
    <w:uiPriority w:val="0"/>
    <w:rPr>
      <w:rFonts w:ascii="Cambria" w:hAnsi="Cambria" w:cs="Times New Roman"/>
      <w:b/>
      <w:bCs/>
      <w:kern w:val="28"/>
      <w:sz w:val="32"/>
      <w:szCs w:val="32"/>
    </w:rPr>
  </w:style>
  <w:style w:type="character" w:customStyle="1" w:styleId="100">
    <w:name w:val="标题 Char"/>
    <w:basedOn w:val="28"/>
    <w:link w:val="25"/>
    <w:qFormat/>
    <w:uiPriority w:val="0"/>
    <w:rPr>
      <w:rFonts w:ascii="ClassGarmnd BT" w:hAnsi="ClassGarmnd BT" w:eastAsia="宋体" w:cs="ClassGarmnd BT"/>
      <w:b/>
      <w:kern w:val="1"/>
      <w:sz w:val="32"/>
      <w:lang w:val="en-AU" w:eastAsia="ar-SA"/>
    </w:rPr>
  </w:style>
  <w:style w:type="paragraph" w:customStyle="1" w:styleId="101">
    <w:name w:val="Основной текст 2"/>
    <w:basedOn w:val="1"/>
    <w:uiPriority w:val="0"/>
    <w:pPr>
      <w:widowControl/>
      <w:suppressAutoHyphens/>
      <w:overflowPunct w:val="0"/>
      <w:autoSpaceDE w:val="0"/>
    </w:pPr>
    <w:rPr>
      <w:rFonts w:ascii="ClassGarmnd BT" w:hAnsi="ClassGarmnd BT" w:cs="ClassGarmnd BT"/>
      <w:color w:val="000000"/>
      <w:kern w:val="1"/>
      <w:sz w:val="20"/>
      <w:lang w:val="en-AU" w:eastAsia="ar-SA"/>
    </w:rPr>
  </w:style>
  <w:style w:type="paragraph" w:customStyle="1" w:styleId="102">
    <w:name w:val="List Paragraph1"/>
    <w:basedOn w:val="1"/>
    <w:qFormat/>
    <w:uiPriority w:val="0"/>
    <w:pPr>
      <w:suppressAutoHyphens/>
      <w:ind w:left="720"/>
    </w:pPr>
    <w:rPr>
      <w:kern w:val="1"/>
      <w:sz w:val="32"/>
      <w:szCs w:val="24"/>
      <w:lang w:eastAsia="ar-SA"/>
    </w:rPr>
  </w:style>
  <w:style w:type="paragraph" w:customStyle="1" w:styleId="103">
    <w:name w:val="Style1"/>
    <w:basedOn w:val="1"/>
    <w:qFormat/>
    <w:uiPriority w:val="0"/>
    <w:pPr>
      <w:numPr>
        <w:ilvl w:val="0"/>
        <w:numId w:val="2"/>
      </w:numPr>
      <w:suppressAutoHyphens/>
    </w:pPr>
    <w:rPr>
      <w:kern w:val="1"/>
      <w:szCs w:val="24"/>
      <w:lang w:eastAsia="ar-SA"/>
    </w:rPr>
  </w:style>
  <w:style w:type="character" w:customStyle="1" w:styleId="104">
    <w:name w:val="语句 Char"/>
    <w:link w:val="105"/>
    <w:locked/>
    <w:uiPriority w:val="0"/>
    <w:rPr>
      <w:rFonts w:ascii="仿宋_GB2312" w:eastAsia="仿宋_GB2312"/>
      <w:b/>
      <w:i/>
      <w:sz w:val="30"/>
      <w:szCs w:val="30"/>
    </w:rPr>
  </w:style>
  <w:style w:type="paragraph" w:customStyle="1" w:styleId="105">
    <w:name w:val="语句"/>
    <w:basedOn w:val="1"/>
    <w:link w:val="104"/>
    <w:qFormat/>
    <w:uiPriority w:val="0"/>
    <w:pPr>
      <w:widowControl/>
      <w:snapToGrid w:val="0"/>
      <w:spacing w:line="540" w:lineRule="exact"/>
      <w:ind w:firstLine="567" w:firstLineChars="189"/>
    </w:pPr>
    <w:rPr>
      <w:rFonts w:ascii="仿宋_GB2312" w:eastAsia="仿宋_GB2312"/>
      <w:b/>
      <w:i/>
      <w:kern w:val="0"/>
      <w:sz w:val="30"/>
      <w:szCs w:val="30"/>
    </w:rPr>
  </w:style>
  <w:style w:type="character" w:customStyle="1" w:styleId="106">
    <w:name w:val="KK一级 Char"/>
    <w:link w:val="107"/>
    <w:locked/>
    <w:uiPriority w:val="0"/>
    <w:rPr>
      <w:rFonts w:ascii="仿宋_GB2312" w:hAnsi="Calibri" w:eastAsia="仿宋_GB2312"/>
      <w:b/>
      <w:bCs/>
      <w:sz w:val="30"/>
      <w:szCs w:val="30"/>
    </w:rPr>
  </w:style>
  <w:style w:type="paragraph" w:customStyle="1" w:styleId="107">
    <w:name w:val="KK一级"/>
    <w:basedOn w:val="1"/>
    <w:link w:val="106"/>
    <w:qFormat/>
    <w:uiPriority w:val="0"/>
    <w:pPr>
      <w:spacing w:line="600" w:lineRule="exact"/>
      <w:jc w:val="left"/>
    </w:pPr>
    <w:rPr>
      <w:rFonts w:ascii="仿宋_GB2312" w:hAnsi="Calibri" w:eastAsia="仿宋_GB2312"/>
      <w:b/>
      <w:bCs/>
      <w:kern w:val="0"/>
      <w:sz w:val="30"/>
      <w:szCs w:val="30"/>
    </w:rPr>
  </w:style>
  <w:style w:type="character" w:customStyle="1" w:styleId="108">
    <w:name w:val="KK二级 Char"/>
    <w:link w:val="109"/>
    <w:qFormat/>
    <w:locked/>
    <w:uiPriority w:val="0"/>
    <w:rPr>
      <w:rFonts w:ascii="仿宋_GB2312" w:hAnsi="Calibri" w:eastAsia="仿宋_GB2312"/>
      <w:b/>
      <w:bCs/>
      <w:sz w:val="30"/>
      <w:szCs w:val="30"/>
    </w:rPr>
  </w:style>
  <w:style w:type="paragraph" w:customStyle="1" w:styleId="109">
    <w:name w:val="KK二级"/>
    <w:basedOn w:val="1"/>
    <w:link w:val="108"/>
    <w:qFormat/>
    <w:uiPriority w:val="0"/>
    <w:pPr>
      <w:spacing w:line="600" w:lineRule="exact"/>
      <w:jc w:val="left"/>
    </w:pPr>
    <w:rPr>
      <w:rFonts w:ascii="仿宋_GB2312" w:hAnsi="Calibri" w:eastAsia="仿宋_GB2312"/>
      <w:b/>
      <w:bCs/>
      <w:kern w:val="0"/>
      <w:sz w:val="30"/>
      <w:szCs w:val="30"/>
    </w:rPr>
  </w:style>
  <w:style w:type="character" w:customStyle="1" w:styleId="110">
    <w:name w:val="eee Char"/>
    <w:link w:val="111"/>
    <w:qFormat/>
    <w:locked/>
    <w:uiPriority w:val="0"/>
    <w:rPr>
      <w:rFonts w:ascii="宋体" w:hAnsi="宋体"/>
      <w:sz w:val="24"/>
      <w:szCs w:val="24"/>
    </w:rPr>
  </w:style>
  <w:style w:type="paragraph" w:customStyle="1" w:styleId="111">
    <w:name w:val="eee"/>
    <w:basedOn w:val="1"/>
    <w:link w:val="110"/>
    <w:qFormat/>
    <w:uiPriority w:val="0"/>
    <w:pPr>
      <w:autoSpaceDE w:val="0"/>
      <w:autoSpaceDN w:val="0"/>
      <w:adjustRightInd w:val="0"/>
      <w:spacing w:line="360" w:lineRule="auto"/>
      <w:ind w:firstLine="480" w:firstLineChars="200"/>
    </w:pPr>
    <w:rPr>
      <w:rFonts w:ascii="宋体" w:hAnsi="宋体"/>
      <w:kern w:val="0"/>
      <w:sz w:val="24"/>
      <w:szCs w:val="24"/>
    </w:rPr>
  </w:style>
  <w:style w:type="character" w:customStyle="1" w:styleId="112">
    <w:name w:val="SSE内容提要正文 Char"/>
    <w:link w:val="113"/>
    <w:qFormat/>
    <w:locked/>
    <w:uiPriority w:val="0"/>
    <w:rPr>
      <w:rFonts w:ascii="仿宋_GB2312" w:eastAsia="仿宋_GB2312"/>
      <w:sz w:val="28"/>
    </w:rPr>
  </w:style>
  <w:style w:type="paragraph" w:customStyle="1" w:styleId="113">
    <w:name w:val="SSE内容提要正文"/>
    <w:basedOn w:val="1"/>
    <w:link w:val="112"/>
    <w:qFormat/>
    <w:uiPriority w:val="0"/>
    <w:pPr>
      <w:ind w:firstLine="560" w:firstLineChars="200"/>
    </w:pPr>
    <w:rPr>
      <w:rFonts w:ascii="仿宋_GB2312" w:eastAsia="仿宋_GB2312"/>
      <w:kern w:val="0"/>
      <w:sz w:val="28"/>
    </w:rPr>
  </w:style>
  <w:style w:type="character" w:customStyle="1" w:styleId="114">
    <w:name w:val="SSE资料来源 Char"/>
    <w:link w:val="115"/>
    <w:locked/>
    <w:uiPriority w:val="0"/>
    <w:rPr>
      <w:rFonts w:ascii="仿宋_GB2312" w:eastAsia="仿宋_GB2312"/>
      <w:color w:val="000000"/>
    </w:rPr>
  </w:style>
  <w:style w:type="paragraph" w:customStyle="1" w:styleId="115">
    <w:name w:val="SSE资料来源"/>
    <w:basedOn w:val="1"/>
    <w:link w:val="114"/>
    <w:qFormat/>
    <w:uiPriority w:val="0"/>
    <w:pPr>
      <w:spacing w:after="100" w:afterAutospacing="1"/>
      <w:ind w:firstLine="200" w:firstLineChars="200"/>
    </w:pPr>
    <w:rPr>
      <w:rFonts w:ascii="仿宋_GB2312" w:eastAsia="仿宋_GB2312"/>
      <w:color w:val="000000"/>
      <w:kern w:val="0"/>
      <w:sz w:val="20"/>
    </w:rPr>
  </w:style>
  <w:style w:type="character" w:customStyle="1" w:styleId="116">
    <w:name w:val="SSE标题2 Char"/>
    <w:link w:val="117"/>
    <w:locked/>
    <w:uiPriority w:val="0"/>
    <w:rPr>
      <w:rFonts w:ascii="仿宋_GB2312" w:eastAsia="仿宋_GB2312"/>
      <w:b/>
      <w:bCs/>
      <w:sz w:val="28"/>
      <w:szCs w:val="28"/>
    </w:rPr>
  </w:style>
  <w:style w:type="paragraph" w:customStyle="1" w:styleId="117">
    <w:name w:val="SSE标题2"/>
    <w:basedOn w:val="3"/>
    <w:link w:val="116"/>
    <w:qFormat/>
    <w:uiPriority w:val="0"/>
    <w:pPr>
      <w:spacing w:beforeLines="50" w:after="0" w:line="240" w:lineRule="auto"/>
    </w:pPr>
    <w:rPr>
      <w:rFonts w:ascii="仿宋_GB2312" w:hAnsi="Times New Roman" w:eastAsia="仿宋_GB2312"/>
      <w:sz w:val="28"/>
      <w:szCs w:val="28"/>
    </w:rPr>
  </w:style>
  <w:style w:type="character" w:customStyle="1" w:styleId="118">
    <w:name w:val="SSE表格文字 Char"/>
    <w:link w:val="119"/>
    <w:locked/>
    <w:uiPriority w:val="0"/>
    <w:rPr>
      <w:rFonts w:ascii="仿宋_GB2312" w:eastAsia="仿宋_GB2312"/>
      <w:color w:val="000000"/>
      <w:sz w:val="24"/>
      <w:szCs w:val="24"/>
    </w:rPr>
  </w:style>
  <w:style w:type="paragraph" w:customStyle="1" w:styleId="119">
    <w:name w:val="SSE表格文字"/>
    <w:basedOn w:val="1"/>
    <w:link w:val="118"/>
    <w:qFormat/>
    <w:uiPriority w:val="0"/>
    <w:pPr>
      <w:widowControl/>
      <w:jc w:val="center"/>
    </w:pPr>
    <w:rPr>
      <w:rFonts w:ascii="仿宋_GB2312" w:eastAsia="仿宋_GB2312"/>
      <w:color w:val="000000"/>
      <w:kern w:val="0"/>
      <w:sz w:val="24"/>
      <w:szCs w:val="24"/>
    </w:rPr>
  </w:style>
  <w:style w:type="character" w:customStyle="1" w:styleId="120">
    <w:name w:val="SSE图表标题 Char"/>
    <w:link w:val="121"/>
    <w:locked/>
    <w:uiPriority w:val="0"/>
    <w:rPr>
      <w:rFonts w:ascii="仿宋_GB2312" w:eastAsia="仿宋_GB2312"/>
      <w:b/>
      <w:bCs/>
      <w:color w:val="000000"/>
      <w:sz w:val="24"/>
      <w:szCs w:val="24"/>
    </w:rPr>
  </w:style>
  <w:style w:type="paragraph" w:customStyle="1" w:styleId="121">
    <w:name w:val="SSE图表标题"/>
    <w:basedOn w:val="7"/>
    <w:link w:val="120"/>
    <w:uiPriority w:val="0"/>
    <w:pPr>
      <w:spacing w:beforeLines="50" w:after="0" w:line="240" w:lineRule="auto"/>
      <w:jc w:val="center"/>
    </w:pPr>
    <w:rPr>
      <w:rFonts w:ascii="仿宋_GB2312" w:hAnsi="Times New Roman" w:eastAsia="仿宋_GB2312"/>
      <w:color w:val="000000"/>
      <w:kern w:val="0"/>
    </w:rPr>
  </w:style>
  <w:style w:type="character" w:customStyle="1" w:styleId="122">
    <w:name w:val="标题 1 字符"/>
    <w:uiPriority w:val="9"/>
    <w:rPr>
      <w:rFonts w:hint="default" w:ascii="Calibri" w:hAnsi="Calibri" w:eastAsia="宋体" w:cs="Times New Roman"/>
      <w:b/>
      <w:bCs/>
      <w:kern w:val="44"/>
      <w:sz w:val="44"/>
      <w:szCs w:val="44"/>
    </w:rPr>
  </w:style>
  <w:style w:type="character" w:customStyle="1" w:styleId="123">
    <w:name w:val="标题 2 字符"/>
    <w:semiHidden/>
    <w:uiPriority w:val="9"/>
    <w:rPr>
      <w:rFonts w:hint="default" w:ascii="Cambria" w:hAnsi="Cambria" w:eastAsia="宋体" w:cs="Times New Roman"/>
      <w:b/>
      <w:bCs/>
      <w:sz w:val="32"/>
      <w:szCs w:val="32"/>
    </w:rPr>
  </w:style>
  <w:style w:type="character" w:customStyle="1" w:styleId="124">
    <w:name w:val="标题 3 字符"/>
    <w:semiHidden/>
    <w:qFormat/>
    <w:uiPriority w:val="9"/>
    <w:rPr>
      <w:rFonts w:hint="default" w:ascii="Calibri" w:hAnsi="Calibri" w:eastAsia="宋体" w:cs="Times New Roman"/>
      <w:b/>
      <w:bCs/>
      <w:sz w:val="32"/>
      <w:szCs w:val="32"/>
    </w:rPr>
  </w:style>
  <w:style w:type="character" w:customStyle="1" w:styleId="125">
    <w:name w:val="标题 4 字符"/>
    <w:semiHidden/>
    <w:qFormat/>
    <w:uiPriority w:val="9"/>
    <w:rPr>
      <w:rFonts w:hint="default" w:ascii="Cambria" w:hAnsi="Cambria" w:eastAsia="宋体" w:cs="Times New Roman"/>
      <w:b/>
      <w:bCs/>
      <w:sz w:val="28"/>
      <w:szCs w:val="28"/>
    </w:rPr>
  </w:style>
  <w:style w:type="character" w:customStyle="1" w:styleId="126">
    <w:name w:val="标题 6 字符"/>
    <w:semiHidden/>
    <w:qFormat/>
    <w:uiPriority w:val="9"/>
    <w:rPr>
      <w:rFonts w:hint="default" w:ascii="Cambria" w:hAnsi="Cambria" w:eastAsia="宋体" w:cs="Times New Roman"/>
      <w:b/>
      <w:bCs/>
      <w:sz w:val="24"/>
      <w:szCs w:val="24"/>
    </w:rPr>
  </w:style>
  <w:style w:type="character" w:customStyle="1" w:styleId="127">
    <w:name w:val="页眉 字符"/>
    <w:semiHidden/>
    <w:qFormat/>
    <w:uiPriority w:val="99"/>
    <w:rPr>
      <w:rFonts w:hint="default" w:ascii="Calibri" w:hAnsi="Calibri" w:eastAsia="宋体" w:cs="Times New Roman"/>
      <w:sz w:val="18"/>
      <w:szCs w:val="18"/>
    </w:rPr>
  </w:style>
  <w:style w:type="character" w:customStyle="1" w:styleId="128">
    <w:name w:val="页脚 字符"/>
    <w:semiHidden/>
    <w:qFormat/>
    <w:uiPriority w:val="99"/>
    <w:rPr>
      <w:rFonts w:hint="default" w:ascii="Calibri" w:hAnsi="Calibri" w:eastAsia="宋体" w:cs="Times New Roman"/>
      <w:sz w:val="18"/>
      <w:szCs w:val="18"/>
    </w:rPr>
  </w:style>
  <w:style w:type="character" w:customStyle="1" w:styleId="129">
    <w:name w:val="正文文本缩进 字符"/>
    <w:semiHidden/>
    <w:uiPriority w:val="99"/>
    <w:rPr>
      <w:rFonts w:hint="default" w:ascii="Calibri" w:hAnsi="Calibri" w:eastAsia="宋体" w:cs="Times New Roman"/>
    </w:rPr>
  </w:style>
  <w:style w:type="character" w:customStyle="1" w:styleId="130">
    <w:name w:val="批注框文本 字符"/>
    <w:semiHidden/>
    <w:uiPriority w:val="99"/>
    <w:rPr>
      <w:rFonts w:hint="default" w:ascii="Calibri" w:hAnsi="Calibri" w:eastAsia="宋体" w:cs="Times New Roman"/>
      <w:sz w:val="18"/>
      <w:szCs w:val="18"/>
    </w:rPr>
  </w:style>
  <w:style w:type="character" w:customStyle="1" w:styleId="131">
    <w:name w:val="日期 字符"/>
    <w:semiHidden/>
    <w:uiPriority w:val="99"/>
    <w:rPr>
      <w:rFonts w:hint="default" w:ascii="Calibri" w:hAnsi="Calibri" w:eastAsia="宋体" w:cs="Times New Roman"/>
    </w:rPr>
  </w:style>
  <w:style w:type="character" w:customStyle="1" w:styleId="132">
    <w:name w:val="纯文本 字符"/>
    <w:semiHidden/>
    <w:uiPriority w:val="99"/>
    <w:rPr>
      <w:rFonts w:hint="eastAsia" w:ascii="宋体" w:hAnsi="Courier New" w:eastAsia="宋体" w:cs="Courier New"/>
    </w:rPr>
  </w:style>
  <w:style w:type="character" w:customStyle="1" w:styleId="133">
    <w:name w:val="正文文本 2 字符"/>
    <w:semiHidden/>
    <w:uiPriority w:val="99"/>
    <w:rPr>
      <w:rFonts w:hint="default" w:ascii="Calibri" w:hAnsi="Calibri" w:eastAsia="宋体" w:cs="Times New Roman"/>
    </w:rPr>
  </w:style>
  <w:style w:type="character" w:customStyle="1" w:styleId="134">
    <w:name w:val="尾注文本 Char1"/>
    <w:basedOn w:val="28"/>
    <w:qFormat/>
    <w:locked/>
    <w:uiPriority w:val="0"/>
    <w:rPr>
      <w:rFonts w:ascii="Times New Roman" w:hAnsi="Times New Roman" w:eastAsia="宋体" w:cs="Times New Roman"/>
      <w:kern w:val="0"/>
      <w:sz w:val="24"/>
      <w:szCs w:val="24"/>
    </w:rPr>
  </w:style>
  <w:style w:type="character" w:customStyle="1" w:styleId="135">
    <w:name w:val="尾注文本 字符"/>
    <w:semiHidden/>
    <w:uiPriority w:val="99"/>
    <w:rPr>
      <w:rFonts w:hint="default" w:ascii="Calibri" w:hAnsi="Calibri" w:eastAsia="宋体" w:cs="Times New Roman"/>
    </w:rPr>
  </w:style>
  <w:style w:type="character" w:customStyle="1" w:styleId="136">
    <w:name w:val="批注文字 Char1"/>
    <w:basedOn w:val="28"/>
    <w:qFormat/>
    <w:locked/>
    <w:uiPriority w:val="0"/>
    <w:rPr>
      <w:rFonts w:ascii="Times New Roman" w:hAnsi="Times New Roman" w:eastAsia="宋体" w:cs="Times New Roman"/>
      <w:kern w:val="0"/>
      <w:sz w:val="24"/>
      <w:szCs w:val="24"/>
    </w:rPr>
  </w:style>
  <w:style w:type="character" w:customStyle="1" w:styleId="137">
    <w:name w:val="批注文字 字符"/>
    <w:semiHidden/>
    <w:qFormat/>
    <w:uiPriority w:val="99"/>
    <w:rPr>
      <w:rFonts w:hint="default" w:ascii="Calibri" w:hAnsi="Calibri" w:eastAsia="宋体" w:cs="Times New Roman"/>
    </w:rPr>
  </w:style>
  <w:style w:type="character" w:customStyle="1" w:styleId="138">
    <w:name w:val="正文文本 字符"/>
    <w:semiHidden/>
    <w:uiPriority w:val="99"/>
    <w:rPr>
      <w:rFonts w:hint="default" w:ascii="Calibri" w:hAnsi="Calibri" w:eastAsia="宋体" w:cs="Times New Roman"/>
    </w:rPr>
  </w:style>
  <w:style w:type="character" w:customStyle="1" w:styleId="139">
    <w:name w:val="正文文本缩进 2 字符"/>
    <w:semiHidden/>
    <w:uiPriority w:val="99"/>
    <w:rPr>
      <w:rFonts w:hint="default" w:ascii="Calibri" w:hAnsi="Calibri" w:eastAsia="宋体" w:cs="Times New Roman"/>
    </w:rPr>
  </w:style>
  <w:style w:type="character" w:customStyle="1" w:styleId="140">
    <w:name w:val="正文文本缩进 3 字符"/>
    <w:semiHidden/>
    <w:uiPriority w:val="99"/>
    <w:rPr>
      <w:rFonts w:hint="default" w:ascii="Calibri" w:hAnsi="Calibri" w:eastAsia="宋体" w:cs="Times New Roman"/>
      <w:sz w:val="16"/>
      <w:szCs w:val="16"/>
    </w:rPr>
  </w:style>
  <w:style w:type="character" w:customStyle="1" w:styleId="141">
    <w:name w:val="正文文本 3 字符"/>
    <w:semiHidden/>
    <w:uiPriority w:val="99"/>
    <w:rPr>
      <w:rFonts w:hint="default" w:ascii="Calibri" w:hAnsi="Calibri" w:eastAsia="宋体" w:cs="Times New Roman"/>
      <w:sz w:val="16"/>
      <w:szCs w:val="16"/>
    </w:rPr>
  </w:style>
  <w:style w:type="character" w:customStyle="1" w:styleId="142">
    <w:name w:val="脚注文本 字符"/>
    <w:semiHidden/>
    <w:qFormat/>
    <w:uiPriority w:val="99"/>
    <w:rPr>
      <w:rFonts w:hint="default" w:ascii="Calibri" w:hAnsi="Calibri" w:eastAsia="宋体" w:cs="Times New Roman"/>
      <w:sz w:val="18"/>
      <w:szCs w:val="18"/>
    </w:rPr>
  </w:style>
  <w:style w:type="character" w:customStyle="1" w:styleId="143">
    <w:name w:val="批注主题 Char1"/>
    <w:basedOn w:val="136"/>
    <w:qFormat/>
    <w:locked/>
    <w:uiPriority w:val="0"/>
    <w:rPr>
      <w:b/>
      <w:bCs/>
    </w:rPr>
  </w:style>
  <w:style w:type="character" w:customStyle="1" w:styleId="144">
    <w:name w:val="批注主题 字符"/>
    <w:semiHidden/>
    <w:qFormat/>
    <w:uiPriority w:val="99"/>
    <w:rPr>
      <w:rFonts w:hint="default" w:ascii="Calibri" w:hAnsi="Calibri" w:eastAsia="宋体" w:cs="Times New Roman"/>
      <w:b/>
      <w:bCs/>
    </w:rPr>
  </w:style>
  <w:style w:type="character" w:customStyle="1" w:styleId="145">
    <w:name w:val="标题 Char1"/>
    <w:basedOn w:val="28"/>
    <w:qFormat/>
    <w:locked/>
    <w:uiPriority w:val="0"/>
    <w:rPr>
      <w:rFonts w:ascii="Arial" w:hAnsi="Arial" w:eastAsia="宋体" w:cs="Times New Roman"/>
      <w:b/>
      <w:bCs/>
      <w:kern w:val="0"/>
      <w:sz w:val="32"/>
      <w:szCs w:val="32"/>
    </w:rPr>
  </w:style>
  <w:style w:type="character" w:customStyle="1" w:styleId="146">
    <w:name w:val="标题 字符"/>
    <w:qFormat/>
    <w:uiPriority w:val="10"/>
    <w:rPr>
      <w:rFonts w:hint="default" w:ascii="Cambria" w:hAnsi="Cambria" w:eastAsia="宋体" w:cs="Times New Roman"/>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BC956-11F5-4AD1-9D09-FD6782D03616}">
  <ds:schemaRefs/>
</ds:datastoreItem>
</file>

<file path=docProps/app.xml><?xml version="1.0" encoding="utf-8"?>
<Properties xmlns="http://schemas.openxmlformats.org/officeDocument/2006/extended-properties" xmlns:vt="http://schemas.openxmlformats.org/officeDocument/2006/docPropsVTypes">
  <Template>Normal</Template>
  <Pages>11</Pages>
  <Words>5814</Words>
  <Characters>5836</Characters>
  <Lines>43</Lines>
  <Paragraphs>12</Paragraphs>
  <TotalTime>2</TotalTime>
  <ScaleCrop>false</ScaleCrop>
  <LinksUpToDate>false</LinksUpToDate>
  <CharactersWithSpaces>5851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2019-01-18T09:14:00Z</dcterms:created>
  <dc:creator>费琼(编号)</dc:creator>
  <cp:lastModifiedBy>妮妮橙  จุ๊บ</cp:lastModifiedBy>
  <cp:lastPrinted>2019-01-18T07:51:00Z</cp:lastPrinted>
  <dcterms:modified xsi:type="dcterms:W3CDTF">2025-07-09T05:43:01Z</dcterms:modified>
  <dc:title>上海证券交易所会议纪要</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eyJoZGlkIjoiMTU4ZWRiMTZhMjAzZTczZTMwYjAxYTVhNTEzNDEwOWMiLCJ1c2VySWQiOiIxMDQyNTAzNzc4In0=</vt:lpwstr>
  </property>
  <property fmtid="{D5CDD505-2E9C-101B-9397-08002B2CF9AE}" pid="3" name="KSOProductBuildVer">
    <vt:lpwstr>2052-12.1.0.21915</vt:lpwstr>
  </property>
  <property fmtid="{D5CDD505-2E9C-101B-9397-08002B2CF9AE}" pid="4" name="ICV">
    <vt:lpwstr>71B8DD5FA3E14A8599E11EE29C90D6F5_12</vt:lpwstr>
  </property>
</Properties>
</file>