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4A658B">
      <w:pPr>
        <w:snapToGrid w:val="0"/>
        <w:spacing w:line="560" w:lineRule="exact"/>
        <w:jc w:val="center"/>
      </w:pPr>
      <w:r>
        <w:rPr>
          <w:rFonts w:ascii="方正大标宋简体;Arial Unicode MS" w:hAnsi="方正大标宋简体;Arial Unicode MS" w:eastAsia="方正大标宋简体;Arial Unicode MS" w:cs="黑体;SimHei"/>
          <w:sz w:val="42"/>
          <w:szCs w:val="42"/>
        </w:rPr>
        <w:t>上海证券交易所信用保护工具交易业务指引</w:t>
      </w:r>
      <w:r>
        <w:rPr>
          <w:rFonts w:ascii="仿宋_GB2312" w:hAnsi="仿宋_GB2312" w:eastAsia="仿宋_GB2312" w:cs="黑体;SimHei"/>
          <w:b/>
          <w:sz w:val="30"/>
          <w:szCs w:val="30"/>
        </w:rPr>
        <w:t>（2022年修订）</w:t>
      </w:r>
    </w:p>
    <w:p w14:paraId="33CB851E">
      <w:pPr>
        <w:pStyle w:val="139"/>
        <w:snapToGrid w:val="0"/>
        <w:spacing w:line="560" w:lineRule="exact"/>
        <w:ind w:right="0" w:firstLine="0"/>
        <w:jc w:val="center"/>
        <w:rPr>
          <w:rFonts w:ascii="仿宋_GB2312" w:hAnsi="仿宋_GB2312" w:eastAsia="黑体;SimHei" w:cs="黑体;SimHei"/>
          <w:b/>
          <w:sz w:val="30"/>
          <w:szCs w:val="30"/>
        </w:rPr>
      </w:pPr>
    </w:p>
    <w:p w14:paraId="1068CDE1">
      <w:pPr>
        <w:pStyle w:val="139"/>
        <w:snapToGrid w:val="0"/>
        <w:spacing w:line="560" w:lineRule="exact"/>
        <w:ind w:right="0" w:firstLine="0"/>
        <w:jc w:val="center"/>
        <w:rPr>
          <w:rFonts w:eastAsia="黑体;SimHei"/>
          <w:b/>
          <w:sz w:val="30"/>
          <w:szCs w:val="30"/>
        </w:rPr>
      </w:pPr>
      <w:r>
        <w:rPr>
          <w:rFonts w:eastAsia="黑体;SimHei"/>
          <w:b/>
          <w:sz w:val="30"/>
          <w:szCs w:val="30"/>
        </w:rPr>
        <w:t>第一章</w:t>
      </w:r>
      <w:r>
        <w:rPr>
          <w:rFonts w:eastAsia="Times New Roman"/>
          <w:b/>
          <w:sz w:val="30"/>
          <w:szCs w:val="30"/>
        </w:rPr>
        <w:t xml:space="preserve"> </w:t>
      </w:r>
      <w:r>
        <w:rPr>
          <w:rFonts w:eastAsia="黑体;SimHei"/>
          <w:b/>
          <w:sz w:val="30"/>
          <w:szCs w:val="30"/>
        </w:rPr>
        <w:t>总则</w:t>
      </w:r>
    </w:p>
    <w:p w14:paraId="0BD9876F">
      <w:pPr>
        <w:pStyle w:val="139"/>
        <w:numPr>
          <w:ilvl w:val="1"/>
          <w:numId w:val="0"/>
        </w:numPr>
        <w:snapToGrid w:val="0"/>
        <w:spacing w:line="560" w:lineRule="exact"/>
        <w:ind w:left="0" w:leftChars="0" w:right="0" w:rightChars="0" w:firstLine="600" w:firstLineChars="0"/>
        <w:rPr>
          <w:rFonts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第一条</w:t>
      </w:r>
      <w:r>
        <w:rPr>
          <w:rFonts w:eastAsia="仿宋_GB2312"/>
          <w:sz w:val="30"/>
          <w:szCs w:val="30"/>
        </w:rPr>
        <w:t>为了促进信用保护工具市场健康稳定发展，</w:t>
      </w:r>
      <w:r>
        <w:rPr>
          <w:rFonts w:eastAsia="仿宋_GB2312" w:cs="宋体;SimSun"/>
          <w:sz w:val="30"/>
          <w:szCs w:val="30"/>
        </w:rPr>
        <w:t>保护投资者的合法权益，</w:t>
      </w:r>
      <w:r>
        <w:rPr>
          <w:rFonts w:eastAsia="仿宋_GB2312"/>
          <w:sz w:val="30"/>
          <w:szCs w:val="30"/>
        </w:rPr>
        <w:t>根据</w:t>
      </w:r>
      <w:r>
        <w:rPr>
          <w:rFonts w:eastAsia="仿宋_GB2312" w:cs="宋体;SimSun"/>
          <w:sz w:val="30"/>
          <w:szCs w:val="30"/>
        </w:rPr>
        <w:t>《中华人民共和国证券法》《中华人民共和国合同法》等法律、</w:t>
      </w:r>
      <w:r>
        <w:rPr>
          <w:rFonts w:eastAsia="仿宋_GB2312"/>
          <w:sz w:val="30"/>
          <w:szCs w:val="30"/>
        </w:rPr>
        <w:t>行政法规、部门规章及《上海证券交易所</w:t>
      </w:r>
      <w:r>
        <w:rPr>
          <w:rFonts w:eastAsia="Times New Roman"/>
          <w:sz w:val="30"/>
          <w:szCs w:val="30"/>
        </w:rPr>
        <w:t xml:space="preserve"> </w:t>
      </w:r>
      <w:r>
        <w:rPr>
          <w:rFonts w:eastAsia="仿宋_GB2312"/>
          <w:sz w:val="30"/>
          <w:szCs w:val="30"/>
        </w:rPr>
        <w:t>中国证券登记结算有限责任公司信用保护工具业务管理试点办法》等相关业务规则，制定本指引。</w:t>
      </w:r>
    </w:p>
    <w:p w14:paraId="3FB38C7E">
      <w:pPr>
        <w:pStyle w:val="139"/>
        <w:numPr>
          <w:ilvl w:val="1"/>
          <w:numId w:val="0"/>
        </w:numPr>
        <w:snapToGrid w:val="0"/>
        <w:spacing w:line="560" w:lineRule="exact"/>
        <w:ind w:left="0" w:leftChars="0" w:right="0" w:rightChars="0" w:firstLine="600" w:firstLineChars="0"/>
        <w:rPr>
          <w:rFonts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第二条</w:t>
      </w:r>
      <w:r>
        <w:rPr>
          <w:rFonts w:eastAsia="仿宋_GB2312"/>
          <w:sz w:val="30"/>
          <w:szCs w:val="30"/>
        </w:rPr>
        <w:t>信用保护工具包括信用保护合约（以下简称合约）和信用保护凭证（以下简称凭证）。</w:t>
      </w:r>
    </w:p>
    <w:p w14:paraId="03E2A620">
      <w:pPr>
        <w:pStyle w:val="139"/>
        <w:numPr>
          <w:ilvl w:val="1"/>
          <w:numId w:val="0"/>
        </w:numPr>
        <w:snapToGrid w:val="0"/>
        <w:spacing w:line="560" w:lineRule="exact"/>
        <w:ind w:left="0" w:leftChars="0" w:right="0" w:rightChars="0" w:firstLine="600" w:firstLineChars="0"/>
        <w:rPr>
          <w:rFonts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第三条</w:t>
      </w:r>
      <w:r>
        <w:rPr>
          <w:rFonts w:eastAsia="仿宋_GB2312"/>
          <w:sz w:val="30"/>
          <w:szCs w:val="30"/>
        </w:rPr>
        <w:t>市场参与者应当诚实守信，按照相关规定和约定履行义务。</w:t>
      </w:r>
    </w:p>
    <w:p w14:paraId="37B02ACF">
      <w:pPr>
        <w:pStyle w:val="139"/>
        <w:numPr>
          <w:ilvl w:val="1"/>
          <w:numId w:val="0"/>
        </w:numPr>
        <w:snapToGrid w:val="0"/>
        <w:spacing w:line="560" w:lineRule="exact"/>
        <w:ind w:left="0" w:leftChars="0" w:right="0" w:rightChars="0" w:firstLine="600" w:firstLineChars="0"/>
        <w:rPr>
          <w:rFonts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第四条</w:t>
      </w:r>
      <w:r>
        <w:rPr>
          <w:rFonts w:eastAsia="仿宋_GB2312" w:cs="宋体;SimSun"/>
          <w:sz w:val="30"/>
          <w:szCs w:val="30"/>
        </w:rPr>
        <w:t>市场参与者应当保证提交或者披露的相关资质申请文件、凭证创设文件及信息披露等文件真实、准确、完整、及时，不存在虚假记载、误导性陈述或者重大遗漏，不得欺诈或者误导投资者。</w:t>
      </w:r>
    </w:p>
    <w:p w14:paraId="28D0CC09">
      <w:pPr>
        <w:pStyle w:val="139"/>
        <w:numPr>
          <w:ilvl w:val="1"/>
          <w:numId w:val="0"/>
        </w:numPr>
        <w:snapToGrid w:val="0"/>
        <w:spacing w:line="560" w:lineRule="exact"/>
        <w:ind w:left="0" w:leftChars="0" w:right="0" w:rightChars="0" w:firstLine="600" w:firstLineChars="0"/>
        <w:rPr>
          <w:rFonts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第五条</w:t>
      </w:r>
      <w:r>
        <w:rPr>
          <w:rFonts w:eastAsia="仿宋_GB2312" w:cs="宋体;SimSun"/>
          <w:sz w:val="30"/>
          <w:szCs w:val="30"/>
        </w:rPr>
        <w:t>为凭证创设、挂牌交易提供服务的资信评级机构、会计师事务所等专业机构及其相关人员应当勤勉尽责，严格遵守执业规范和监管规则，按规定和约定履行义务。</w:t>
      </w:r>
    </w:p>
    <w:p w14:paraId="7AA33F42">
      <w:pPr>
        <w:pStyle w:val="139"/>
        <w:numPr>
          <w:ilvl w:val="1"/>
          <w:numId w:val="0"/>
        </w:numPr>
        <w:snapToGrid w:val="0"/>
        <w:spacing w:line="560" w:lineRule="exact"/>
        <w:ind w:left="0" w:leftChars="0" w:right="0" w:rightChars="0" w:firstLine="600" w:firstLineChars="0"/>
        <w:rPr>
          <w:rFonts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第六条</w:t>
      </w:r>
      <w:r>
        <w:rPr>
          <w:rFonts w:eastAsia="仿宋_GB2312"/>
          <w:sz w:val="30"/>
          <w:szCs w:val="30"/>
        </w:rPr>
        <w:t>上海证券交易所（以下简称本所）对信用保护工具相关市场参与者进行备案，并</w:t>
      </w:r>
      <w:r>
        <w:rPr>
          <w:rFonts w:eastAsia="仿宋_GB2312" w:cs="宋体;SimSun"/>
          <w:sz w:val="30"/>
          <w:szCs w:val="30"/>
        </w:rPr>
        <w:t>为信用保护工具业务有序开展提供服务，不表明对投资风险或者收益等做出判断或保证。信用保护工具业务的风险，由交易双方自行承担。</w:t>
      </w:r>
    </w:p>
    <w:p w14:paraId="71E38BED">
      <w:pPr>
        <w:pStyle w:val="139"/>
        <w:numPr>
          <w:ilvl w:val="1"/>
          <w:numId w:val="0"/>
        </w:numPr>
        <w:snapToGrid w:val="0"/>
        <w:spacing w:line="560" w:lineRule="exact"/>
        <w:ind w:left="0" w:leftChars="0" w:right="0" w:rightChars="0" w:firstLine="600" w:firstLineChars="0"/>
        <w:rPr>
          <w:rFonts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第七条</w:t>
      </w:r>
      <w:r>
        <w:rPr>
          <w:rFonts w:eastAsia="仿宋_GB2312" w:cs="宋体;SimSun"/>
          <w:sz w:val="30"/>
          <w:szCs w:val="30"/>
        </w:rPr>
        <w:t>本所对信用保护工具的市场参与者实行分类管理，并实行投资者适当性管理制度。</w:t>
      </w:r>
    </w:p>
    <w:p w14:paraId="4811C755">
      <w:pPr>
        <w:snapToGrid w:val="0"/>
        <w:spacing w:line="560" w:lineRule="exact"/>
        <w:ind w:right="0" w:firstLine="600"/>
        <w:rPr>
          <w:rFonts w:eastAsia="仿宋_GB2312"/>
          <w:sz w:val="30"/>
          <w:szCs w:val="30"/>
        </w:rPr>
      </w:pPr>
      <w:r>
        <w:rPr>
          <w:rFonts w:eastAsia="仿宋_GB2312" w:cs="宋体;SimSun"/>
          <w:sz w:val="30"/>
          <w:szCs w:val="30"/>
        </w:rPr>
        <w:t>本所可以根据市场情况和市场参与者资信状况的变化，调整分类管理标准、交易机制以及投资者适当性安排。</w:t>
      </w:r>
    </w:p>
    <w:p w14:paraId="2B886FE6">
      <w:pPr>
        <w:pStyle w:val="139"/>
        <w:numPr>
          <w:ilvl w:val="1"/>
          <w:numId w:val="0"/>
        </w:numPr>
        <w:snapToGrid w:val="0"/>
        <w:spacing w:line="560" w:lineRule="exact"/>
        <w:ind w:left="0" w:leftChars="0" w:right="0" w:rightChars="0" w:firstLine="600" w:firstLineChars="0"/>
        <w:rPr>
          <w:rFonts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第八条</w:t>
      </w:r>
      <w:r>
        <w:rPr>
          <w:rFonts w:eastAsia="仿宋_GB2312" w:cs="宋体;SimSun"/>
          <w:sz w:val="30"/>
          <w:szCs w:val="30"/>
        </w:rPr>
        <w:t>市场参与者应当遵守法律、行政法规、部门规章、其他规范性文件、本指引及本所其他相关规定，履行相关协议约定和承诺。</w:t>
      </w:r>
    </w:p>
    <w:p w14:paraId="6D3E2AF4">
      <w:pPr>
        <w:snapToGrid w:val="0"/>
        <w:spacing w:line="560" w:lineRule="exact"/>
        <w:ind w:right="0" w:firstLine="600"/>
        <w:rPr>
          <w:rFonts w:eastAsia="仿宋_GB2312"/>
          <w:sz w:val="30"/>
          <w:szCs w:val="30"/>
        </w:rPr>
      </w:pPr>
      <w:r>
        <w:rPr>
          <w:rFonts w:eastAsia="仿宋_GB2312" w:cs="宋体;SimSun"/>
          <w:sz w:val="30"/>
          <w:szCs w:val="30"/>
        </w:rPr>
        <w:t>本所根据本指引及其他相关规定，对市场参与者及相关人员进行自律管理。</w:t>
      </w:r>
    </w:p>
    <w:p w14:paraId="351468F4">
      <w:pPr>
        <w:widowControl/>
        <w:snapToGrid w:val="0"/>
        <w:spacing w:line="560" w:lineRule="exact"/>
        <w:jc w:val="center"/>
        <w:rPr>
          <w:rFonts w:eastAsia="黑体;SimHei"/>
          <w:b/>
          <w:sz w:val="30"/>
          <w:szCs w:val="30"/>
        </w:rPr>
      </w:pPr>
      <w:r>
        <w:rPr>
          <w:rFonts w:eastAsia="黑体;SimHei"/>
          <w:b/>
          <w:sz w:val="30"/>
          <w:szCs w:val="30"/>
        </w:rPr>
        <w:t>第二章</w:t>
      </w:r>
      <w:r>
        <w:rPr>
          <w:rFonts w:eastAsia="Times New Roman"/>
          <w:b/>
          <w:sz w:val="30"/>
          <w:szCs w:val="30"/>
        </w:rPr>
        <w:t xml:space="preserve"> </w:t>
      </w:r>
      <w:r>
        <w:rPr>
          <w:rFonts w:eastAsia="黑体;SimHei"/>
          <w:b/>
          <w:sz w:val="30"/>
          <w:szCs w:val="30"/>
        </w:rPr>
        <w:t>参与者管理</w:t>
      </w:r>
    </w:p>
    <w:p w14:paraId="6AA7E273">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第九条</w:t>
      </w:r>
      <w:r>
        <w:rPr>
          <w:rFonts w:ascii="仿宋_GB2312" w:hAnsi="仿宋_GB2312" w:eastAsia="仿宋_GB2312" w:cs="宋体;SimSun"/>
          <w:sz w:val="30"/>
          <w:szCs w:val="30"/>
        </w:rPr>
        <w:t>信用保护工具参与者的投资者适当性应当与本所债券市场投资者适当性管理相关规定的参考实体受保护债务投资者适当性标准保持一致。参考实体受保护的多个债务投资者适当性标准不一致的，以受保护债务中较高的投资者适当性标准为准；受保护债务投资者适当性标准不明确的，限于专业投资者中的机构投资者参与信用保护工具交易。本所可以根据市场发展情况，调整信用保护工具投资者适当性标准。</w:t>
      </w:r>
    </w:p>
    <w:p w14:paraId="44A90CAB">
      <w:pPr>
        <w:snapToGrid w:val="0"/>
        <w:spacing w:line="560" w:lineRule="exact"/>
        <w:ind w:right="0" w:firstLine="600"/>
        <w:rPr>
          <w:rFonts w:ascii="仿宋_GB2312" w:hAnsi="仿宋_GB2312" w:eastAsia="仿宋_GB2312"/>
          <w:sz w:val="30"/>
          <w:szCs w:val="30"/>
        </w:rPr>
      </w:pPr>
      <w:r>
        <w:rPr>
          <w:rFonts w:ascii="仿宋_GB2312" w:hAnsi="仿宋_GB2312" w:eastAsia="仿宋_GB2312" w:cs="宋体;SimSun"/>
          <w:sz w:val="30"/>
          <w:szCs w:val="30"/>
        </w:rPr>
        <w:t>交易双方应当充分知悉信用保护工具的相关规则，了解信用保护工具的相关风险，根据本指引规定的条件及自身的风险承受能力评估是否适合参与信用保护工具业务，并自行承担风险。</w:t>
      </w:r>
    </w:p>
    <w:p w14:paraId="61F8F58F">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第十条</w:t>
      </w:r>
      <w:r>
        <w:rPr>
          <w:rFonts w:ascii="仿宋_GB2312" w:hAnsi="仿宋_GB2312" w:eastAsia="仿宋_GB2312"/>
          <w:sz w:val="30"/>
          <w:szCs w:val="30"/>
        </w:rPr>
        <w:t>符合以下条件的金融机构、信用增进机构等经本所备案可成为合约核心交易商（以下简称核心交易商）：</w:t>
      </w:r>
    </w:p>
    <w:p w14:paraId="69F5F4D3">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（一）具有较丰富的信用风险管理经验和较强的信用风险承担能力；</w:t>
      </w:r>
    </w:p>
    <w:p w14:paraId="7A6C6086">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（二）具有相对独立的信用保护工具交易团队，建立完备的信用风险管理工具内部操作规程和业务管理制度；</w:t>
      </w:r>
    </w:p>
    <w:p w14:paraId="588234A3">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（三）近3年未因重大的证券期货违法行为被采取过重大行政监管措施或者受到行政、刑事处罚；</w:t>
      </w:r>
    </w:p>
    <w:p w14:paraId="345E6E65">
      <w:pPr>
        <w:pStyle w:val="139"/>
        <w:snapToGrid w:val="0"/>
        <w:spacing w:line="560" w:lineRule="exact"/>
        <w:ind w:right="0" w:firstLine="600"/>
        <w:rPr>
          <w:rFonts w:ascii="仿宋_GB2312" w:hAnsi="仿宋_GB2312" w:eastAsia="仿宋_GB2312"/>
          <w:sz w:val="30"/>
          <w:szCs w:val="30"/>
        </w:rPr>
      </w:pPr>
      <w:bookmarkStart w:id="0" w:name="OLE_LINK9"/>
      <w:bookmarkEnd w:id="0"/>
      <w:r>
        <w:rPr>
          <w:rFonts w:ascii="仿宋_GB2312" w:hAnsi="仿宋_GB2312" w:eastAsia="仿宋_GB2312"/>
          <w:sz w:val="30"/>
          <w:szCs w:val="30"/>
        </w:rPr>
        <w:t>（四）本所要求的其他条件。</w:t>
      </w:r>
    </w:p>
    <w:p w14:paraId="603C4118">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bookmarkStart w:id="1" w:name="OLE_LINK9"/>
      <w:bookmarkEnd w:id="1"/>
      <w:r>
        <w:rPr>
          <w:rFonts w:hint="eastAsia" w:ascii="仿宋_GB2312" w:hAnsi="仿宋_GB2312" w:eastAsia="仿宋_GB2312" w:cs="Times New Roman"/>
          <w:b/>
          <w:bCs/>
          <w:color w:val="auto"/>
          <w:kern w:val="2"/>
          <w:sz w:val="30"/>
          <w:szCs w:val="30"/>
          <w:lang w:val="en-US" w:eastAsia="zh-CN" w:bidi="ar-SA"/>
        </w:rPr>
        <w:t>第十一条</w:t>
      </w:r>
      <w:r>
        <w:rPr>
          <w:rFonts w:ascii="仿宋_GB2312" w:hAnsi="仿宋_GB2312" w:eastAsia="仿宋_GB2312"/>
          <w:sz w:val="30"/>
          <w:szCs w:val="30"/>
        </w:rPr>
        <w:t>符合以下条件的核心交易商经本所备案可成为凭证创设机构（以下简称创设机构）：</w:t>
      </w:r>
    </w:p>
    <w:p w14:paraId="40AC77C8">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（一）最近一年末净资产不少于40亿元；</w:t>
      </w:r>
    </w:p>
    <w:p w14:paraId="1640779F">
      <w:pPr>
        <w:pStyle w:val="139"/>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（二）具有较强的信用风险管理和评估能力，并配备5名以上（含5名）的风险管理人员；</w:t>
      </w:r>
    </w:p>
    <w:p w14:paraId="2D26F3D1">
      <w:pPr>
        <w:pStyle w:val="139"/>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（三）本所要求的其他条件。</w:t>
      </w:r>
    </w:p>
    <w:p w14:paraId="62D84307">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第十二条</w:t>
      </w:r>
      <w:r>
        <w:rPr>
          <w:rFonts w:ascii="仿宋_GB2312" w:hAnsi="仿宋_GB2312" w:eastAsia="仿宋_GB2312"/>
          <w:sz w:val="30"/>
          <w:szCs w:val="30"/>
        </w:rPr>
        <w:t>投资者拟成为核心交易商或者创设机构的，应当向本所提交以下</w:t>
      </w:r>
      <w:r>
        <w:rPr>
          <w:rFonts w:ascii="仿宋_GB2312" w:hAnsi="仿宋_GB2312" w:eastAsia="仿宋_GB2312" w:cs="宋体;SimSun"/>
          <w:sz w:val="30"/>
          <w:szCs w:val="30"/>
        </w:rPr>
        <w:t>资质备案</w:t>
      </w:r>
      <w:r>
        <w:rPr>
          <w:rFonts w:ascii="仿宋_GB2312" w:hAnsi="仿宋_GB2312" w:eastAsia="仿宋_GB2312"/>
          <w:sz w:val="30"/>
          <w:szCs w:val="30"/>
        </w:rPr>
        <w:t>文件：</w:t>
      </w:r>
    </w:p>
    <w:p w14:paraId="6E8943E0">
      <w:pPr>
        <w:pStyle w:val="139"/>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（一）信用保护合约核心交易商/凭证创设机构资质申请信息表；</w:t>
      </w:r>
    </w:p>
    <w:p w14:paraId="156D1556">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（二）最近一个会计年度经审计的总资产、净资产的说明及相关证明文件；</w:t>
      </w:r>
    </w:p>
    <w:p w14:paraId="51BDDF6B">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（三）公司信用保护工具交易团队、信用保护工具业务内部操作规程和业务管理制度或者业务系统说明；</w:t>
      </w:r>
    </w:p>
    <w:p w14:paraId="3A4FBFEE">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（四）</w:t>
      </w:r>
      <w:r>
        <w:rPr>
          <w:rFonts w:ascii="仿宋_GB2312" w:hAnsi="仿宋_GB2312" w:eastAsia="仿宋_GB2312"/>
          <w:sz w:val="30"/>
          <w:szCs w:val="28"/>
        </w:rPr>
        <w:t>近3</w:t>
      </w:r>
      <w:r>
        <w:rPr>
          <w:rFonts w:ascii="仿宋_GB2312" w:hAnsi="仿宋_GB2312" w:eastAsia="仿宋_GB2312"/>
          <w:sz w:val="30"/>
          <w:szCs w:val="30"/>
        </w:rPr>
        <w:t>年未因重大的证券期货违法行为被采取过重大行政监管措施或者受到行政、刑事处罚的承诺函；</w:t>
      </w:r>
    </w:p>
    <w:p w14:paraId="2D5DBAD4">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（五）本所要求的其他文件。</w:t>
      </w:r>
    </w:p>
    <w:p w14:paraId="6DE1DC15">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第十三条</w:t>
      </w:r>
      <w:r>
        <w:rPr>
          <w:rFonts w:ascii="仿宋_GB2312" w:hAnsi="仿宋_GB2312" w:eastAsia="仿宋_GB2312" w:cs="宋体;SimSun"/>
          <w:sz w:val="30"/>
          <w:szCs w:val="30"/>
        </w:rPr>
        <w:t>本所收到相关文件后，对市场参与者是否符合备案要求</w:t>
      </w:r>
      <w:r>
        <w:rPr>
          <w:rFonts w:ascii="仿宋_GB2312" w:hAnsi="仿宋_GB2312" w:eastAsia="仿宋_GB2312"/>
          <w:color w:val="000000"/>
          <w:sz w:val="30"/>
          <w:szCs w:val="30"/>
        </w:rPr>
        <w:t>进行核查。符合备案要求的，本所</w:t>
      </w:r>
      <w:r>
        <w:rPr>
          <w:rFonts w:ascii="仿宋_GB2312" w:hAnsi="仿宋_GB2312" w:eastAsia="仿宋_GB2312" w:cs="宋体;SimSun"/>
          <w:sz w:val="30"/>
          <w:szCs w:val="30"/>
        </w:rPr>
        <w:t>为相关市场参与者开通信用保护工具交易功能，并向市场披露；不符合备案要求的，本所及时告知相关市场参与者理由。</w:t>
      </w:r>
    </w:p>
    <w:p w14:paraId="0DE126AE">
      <w:pPr>
        <w:widowControl/>
        <w:snapToGrid w:val="0"/>
        <w:spacing w:line="560" w:lineRule="exact"/>
        <w:jc w:val="center"/>
        <w:rPr>
          <w:rFonts w:eastAsia="黑体;SimHei"/>
          <w:b/>
          <w:sz w:val="30"/>
          <w:szCs w:val="30"/>
        </w:rPr>
      </w:pPr>
      <w:r>
        <w:rPr>
          <w:rFonts w:eastAsia="黑体;SimHei"/>
          <w:b/>
          <w:sz w:val="30"/>
          <w:szCs w:val="30"/>
        </w:rPr>
        <w:t>第三章</w:t>
      </w:r>
      <w:r>
        <w:rPr>
          <w:rFonts w:eastAsia="Times New Roman"/>
          <w:b/>
          <w:sz w:val="30"/>
          <w:szCs w:val="30"/>
        </w:rPr>
        <w:t xml:space="preserve"> </w:t>
      </w:r>
      <w:r>
        <w:rPr>
          <w:rFonts w:eastAsia="黑体;SimHei"/>
          <w:b/>
          <w:sz w:val="30"/>
          <w:szCs w:val="30"/>
        </w:rPr>
        <w:t>信用保护合约</w:t>
      </w:r>
    </w:p>
    <w:p w14:paraId="588DB5BC">
      <w:pPr>
        <w:widowControl/>
        <w:snapToGrid w:val="0"/>
        <w:spacing w:line="560" w:lineRule="exact"/>
        <w:jc w:val="center"/>
        <w:rPr>
          <w:rFonts w:ascii="仿宋_GB2312" w:hAnsi="仿宋_GB2312" w:eastAsia="仿宋_GB2312"/>
          <w:b/>
          <w:sz w:val="30"/>
          <w:szCs w:val="30"/>
        </w:rPr>
      </w:pPr>
      <w:r>
        <w:rPr>
          <w:rFonts w:ascii="仿宋_GB2312" w:hAnsi="仿宋_GB2312" w:eastAsia="仿宋_GB2312"/>
          <w:b/>
          <w:sz w:val="30"/>
          <w:szCs w:val="30"/>
        </w:rPr>
        <w:t>第一节 一般规定</w:t>
      </w:r>
    </w:p>
    <w:p w14:paraId="615E1593">
      <w:pPr>
        <w:pStyle w:val="139"/>
        <w:numPr>
          <w:ilvl w:val="1"/>
          <w:numId w:val="0"/>
        </w:numPr>
        <w:snapToGrid w:val="0"/>
        <w:spacing w:line="560" w:lineRule="exact"/>
        <w:ind w:left="0" w:leftChars="0" w:right="0" w:rightChars="0" w:firstLine="600" w:firstLineChars="0"/>
        <w:rPr>
          <w:rFonts w:ascii="仿宋_GB2312" w:hAnsi="仿宋_GB2312" w:eastAsia="仿宋_GB2312" w:cs="宋体;SimSun"/>
          <w:sz w:val="30"/>
          <w:szCs w:val="30"/>
        </w:rPr>
      </w:pPr>
      <w:r>
        <w:rPr>
          <w:rFonts w:hint="eastAsia" w:ascii="仿宋_GB2312" w:hAnsi="仿宋_GB2312" w:eastAsia="仿宋_GB2312" w:cs="宋体;SimSun"/>
          <w:b/>
          <w:bCs/>
          <w:color w:val="auto"/>
          <w:kern w:val="2"/>
          <w:sz w:val="30"/>
          <w:szCs w:val="30"/>
          <w:lang w:val="en-US" w:eastAsia="zh-CN" w:bidi="ar-SA"/>
        </w:rPr>
        <w:t>第十四条</w:t>
      </w:r>
      <w:r>
        <w:rPr>
          <w:rFonts w:ascii="仿宋_GB2312" w:hAnsi="仿宋_GB2312" w:eastAsia="仿宋_GB2312" w:cs="宋体;SimSun"/>
          <w:sz w:val="30"/>
          <w:szCs w:val="30"/>
        </w:rPr>
        <w:t>合约申报要素包括：买方名称、买方证券账户、卖方名称、卖方证券账户、名义本金、参考实体、债务种类、债务特征、可交付债务（如有）、信用事件类型、合约起始日、合约到期日、保护费率、保护费支付方式、前端费用、结算方式等。</w:t>
      </w:r>
    </w:p>
    <w:p w14:paraId="5C441356">
      <w:pPr>
        <w:pStyle w:val="139"/>
        <w:numPr>
          <w:ilvl w:val="1"/>
          <w:numId w:val="0"/>
        </w:numPr>
        <w:snapToGrid w:val="0"/>
        <w:spacing w:line="560" w:lineRule="exact"/>
        <w:ind w:left="0" w:leftChars="0" w:right="0" w:rightChars="0" w:firstLine="600" w:firstLineChars="0"/>
        <w:rPr>
          <w:rFonts w:ascii="仿宋_GB2312" w:hAnsi="仿宋_GB2312" w:eastAsia="仿宋_GB2312" w:cs="宋体;SimSun"/>
          <w:sz w:val="30"/>
          <w:szCs w:val="30"/>
        </w:rPr>
      </w:pPr>
      <w:r>
        <w:rPr>
          <w:rFonts w:hint="eastAsia" w:ascii="仿宋_GB2312" w:hAnsi="仿宋_GB2312" w:eastAsia="仿宋_GB2312" w:cs="宋体;SimSun"/>
          <w:b/>
          <w:bCs/>
          <w:color w:val="auto"/>
          <w:kern w:val="2"/>
          <w:sz w:val="30"/>
          <w:szCs w:val="30"/>
          <w:lang w:val="en-US" w:eastAsia="zh-CN" w:bidi="ar-SA"/>
        </w:rPr>
        <w:t>第十五条</w:t>
      </w:r>
      <w:r>
        <w:rPr>
          <w:rFonts w:ascii="仿宋_GB2312" w:hAnsi="仿宋_GB2312" w:eastAsia="仿宋_GB2312"/>
          <w:sz w:val="30"/>
          <w:szCs w:val="30"/>
        </w:rPr>
        <w:t>合约的保护费支付方式可选择按季支付约定保护费、季度标准保护费和部分前端费用相结合或者前端一次性支付。</w:t>
      </w:r>
    </w:p>
    <w:p w14:paraId="31015DB4">
      <w:pPr>
        <w:spacing w:line="560" w:lineRule="exact"/>
        <w:ind w:right="0" w:firstLine="600"/>
        <w:rPr>
          <w:rFonts w:ascii="仿宋_GB2312" w:hAnsi="仿宋_GB2312" w:eastAsia="仿宋_GB2312" w:cs="宋体;SimSun"/>
          <w:sz w:val="30"/>
          <w:szCs w:val="30"/>
        </w:rPr>
      </w:pPr>
      <w:r>
        <w:rPr>
          <w:rFonts w:ascii="仿宋_GB2312" w:hAnsi="仿宋_GB2312" w:eastAsia="仿宋_GB2312" w:cs="宋体;SimSun"/>
          <w:sz w:val="30"/>
          <w:szCs w:val="30"/>
        </w:rPr>
        <w:t>季度标准保护费率根据合约签订时参考实体的主体评级确定，主体评级AAA的为50个基点，AA+的为100个基点，其他评级或者未评级的为150个基点，同一参考实体有多个评级的，以其中最低评级为准。本所可以根据市场发展情况调整相关标准。</w:t>
      </w:r>
    </w:p>
    <w:p w14:paraId="6EFA3C94">
      <w:pPr>
        <w:spacing w:line="560" w:lineRule="exact"/>
        <w:ind w:right="0" w:firstLine="600"/>
        <w:rPr>
          <w:rFonts w:ascii="仿宋_GB2312" w:hAnsi="仿宋_GB2312" w:eastAsia="仿宋_GB2312" w:cs="宋体;SimSun"/>
          <w:sz w:val="30"/>
          <w:szCs w:val="30"/>
        </w:rPr>
      </w:pPr>
      <w:r>
        <w:rPr>
          <w:rFonts w:ascii="仿宋_GB2312" w:hAnsi="仿宋_GB2312" w:eastAsia="仿宋_GB2312" w:cs="宋体;SimSun"/>
          <w:sz w:val="30"/>
          <w:szCs w:val="30"/>
        </w:rPr>
        <w:t>主体评级应由经中国证监会备案的证券市场资信评级机构出具。</w:t>
      </w:r>
    </w:p>
    <w:p w14:paraId="718F5C24">
      <w:pPr>
        <w:pStyle w:val="139"/>
        <w:numPr>
          <w:ilvl w:val="1"/>
          <w:numId w:val="0"/>
        </w:numPr>
        <w:snapToGrid w:val="0"/>
        <w:spacing w:line="560" w:lineRule="exact"/>
        <w:ind w:left="0" w:leftChars="0" w:right="0" w:rightChars="0" w:firstLine="600" w:firstLineChars="0"/>
        <w:rPr>
          <w:rFonts w:ascii="仿宋_GB2312" w:hAnsi="仿宋_GB2312" w:eastAsia="仿宋_GB2312" w:cs="宋体;SimSun"/>
          <w:sz w:val="30"/>
          <w:szCs w:val="30"/>
        </w:rPr>
      </w:pPr>
      <w:r>
        <w:rPr>
          <w:rFonts w:hint="eastAsia" w:ascii="仿宋_GB2312" w:hAnsi="仿宋_GB2312" w:eastAsia="仿宋_GB2312" w:cs="宋体;SimSun"/>
          <w:b/>
          <w:bCs/>
          <w:color w:val="auto"/>
          <w:kern w:val="2"/>
          <w:sz w:val="30"/>
          <w:szCs w:val="30"/>
          <w:lang w:val="en-US" w:eastAsia="zh-CN" w:bidi="ar-SA"/>
        </w:rPr>
        <w:t>第十六条</w:t>
      </w:r>
      <w:r>
        <w:rPr>
          <w:rFonts w:ascii="仿宋_GB2312" w:hAnsi="仿宋_GB2312" w:eastAsia="仿宋_GB2312" w:cs="宋体;SimSun"/>
          <w:sz w:val="30"/>
          <w:szCs w:val="30"/>
        </w:rPr>
        <w:t>合约交易双方协商一致后，一方通过本所交易系统进行合约申报，另一方进行确认。本所可以根据市场需要调整合约的申报方式。</w:t>
      </w:r>
    </w:p>
    <w:p w14:paraId="48878138">
      <w:pPr>
        <w:pStyle w:val="139"/>
        <w:snapToGrid w:val="0"/>
        <w:spacing w:line="560" w:lineRule="exact"/>
        <w:ind w:right="0" w:firstLine="600"/>
        <w:rPr>
          <w:rFonts w:ascii="仿宋_GB2312" w:hAnsi="仿宋_GB2312" w:eastAsia="仿宋_GB2312" w:cs="宋体;SimSun"/>
          <w:sz w:val="30"/>
          <w:szCs w:val="30"/>
        </w:rPr>
      </w:pPr>
      <w:r>
        <w:rPr>
          <w:rFonts w:ascii="仿宋_GB2312" w:hAnsi="仿宋_GB2312" w:eastAsia="仿宋_GB2312" w:cs="宋体;SimSun"/>
          <w:sz w:val="30"/>
          <w:szCs w:val="30"/>
        </w:rPr>
        <w:t>证券公司经纪客户通过证券公司进行申报和确认。</w:t>
      </w:r>
    </w:p>
    <w:p w14:paraId="00E01CE0">
      <w:pPr>
        <w:pStyle w:val="139"/>
        <w:numPr>
          <w:ilvl w:val="1"/>
          <w:numId w:val="0"/>
        </w:numPr>
        <w:snapToGrid w:val="0"/>
        <w:spacing w:line="560" w:lineRule="exact"/>
        <w:ind w:left="0" w:leftChars="0" w:right="0" w:rightChars="0" w:firstLine="600" w:firstLineChars="0"/>
        <w:rPr>
          <w:rFonts w:ascii="仿宋_GB2312" w:hAnsi="仿宋_GB2312" w:eastAsia="仿宋_GB2312" w:cs="宋体;SimSun"/>
          <w:sz w:val="30"/>
          <w:szCs w:val="30"/>
        </w:rPr>
      </w:pPr>
      <w:r>
        <w:rPr>
          <w:rFonts w:hint="eastAsia" w:ascii="仿宋_GB2312" w:hAnsi="仿宋_GB2312" w:eastAsia="仿宋_GB2312" w:cs="宋体;SimSun"/>
          <w:b/>
          <w:bCs/>
          <w:color w:val="auto"/>
          <w:kern w:val="2"/>
          <w:sz w:val="30"/>
          <w:szCs w:val="30"/>
          <w:lang w:val="en-US" w:eastAsia="zh-CN" w:bidi="ar-SA"/>
        </w:rPr>
        <w:t>第十七条</w:t>
      </w:r>
      <w:r>
        <w:rPr>
          <w:rFonts w:ascii="仿宋_GB2312" w:hAnsi="仿宋_GB2312" w:eastAsia="仿宋_GB2312" w:cs="宋体;SimSun"/>
          <w:sz w:val="30"/>
          <w:szCs w:val="30"/>
        </w:rPr>
        <w:t>合约的交易时间为每个交易日的9:00-11:30、13:00-15:30。合约申报名义本金应当不低于50万元人民币</w:t>
      </w:r>
      <w:r>
        <w:rPr>
          <w:rFonts w:ascii="仿宋_GB2312" w:hAnsi="仿宋_GB2312" w:eastAsia="仿宋_GB2312"/>
          <w:sz w:val="30"/>
          <w:szCs w:val="30"/>
        </w:rPr>
        <w:t>。</w:t>
      </w:r>
    </w:p>
    <w:p w14:paraId="1F2C9233">
      <w:pPr>
        <w:snapToGrid w:val="0"/>
        <w:spacing w:line="560" w:lineRule="exact"/>
        <w:ind w:right="0" w:firstLine="600"/>
        <w:rPr>
          <w:rFonts w:ascii="仿宋_GB2312" w:hAnsi="仿宋_GB2312" w:eastAsia="仿宋_GB2312" w:cs="宋体;SimSun"/>
          <w:sz w:val="30"/>
          <w:szCs w:val="30"/>
        </w:rPr>
      </w:pPr>
      <w:r>
        <w:rPr>
          <w:rFonts w:ascii="仿宋_GB2312" w:hAnsi="仿宋_GB2312" w:eastAsia="仿宋_GB2312" w:cs="宋体;SimSun"/>
          <w:sz w:val="30"/>
          <w:szCs w:val="30"/>
        </w:rPr>
        <w:t>本所可以根据市场需要调整合约的交易时间。</w:t>
      </w:r>
    </w:p>
    <w:p w14:paraId="0BB5B908">
      <w:pPr>
        <w:pStyle w:val="139"/>
        <w:numPr>
          <w:ilvl w:val="1"/>
          <w:numId w:val="0"/>
        </w:numPr>
        <w:snapToGrid w:val="0"/>
        <w:spacing w:line="560" w:lineRule="exact"/>
        <w:ind w:left="0" w:leftChars="0" w:right="0" w:rightChars="0" w:firstLine="600" w:firstLineChars="0"/>
        <w:rPr>
          <w:rFonts w:ascii="仿宋_GB2312" w:hAnsi="仿宋_GB2312" w:eastAsia="仿宋_GB2312" w:cs="宋体;SimSun"/>
          <w:sz w:val="30"/>
          <w:szCs w:val="30"/>
        </w:rPr>
      </w:pPr>
      <w:r>
        <w:rPr>
          <w:rFonts w:hint="eastAsia" w:ascii="仿宋_GB2312" w:hAnsi="仿宋_GB2312" w:eastAsia="仿宋_GB2312" w:cs="宋体;SimSun"/>
          <w:b/>
          <w:bCs/>
          <w:color w:val="auto"/>
          <w:kern w:val="2"/>
          <w:sz w:val="30"/>
          <w:szCs w:val="30"/>
          <w:lang w:val="en-US" w:eastAsia="zh-CN" w:bidi="ar-SA"/>
        </w:rPr>
        <w:t>第十八条</w:t>
      </w:r>
      <w:r>
        <w:rPr>
          <w:rFonts w:ascii="仿宋_GB2312" w:hAnsi="仿宋_GB2312" w:eastAsia="仿宋_GB2312" w:cs="宋体;SimSun"/>
          <w:sz w:val="30"/>
          <w:szCs w:val="30"/>
        </w:rPr>
        <w:t>交易系统根据交易双方的申报和确认，对符合形式要求的合约生成信用保护合约交易确认书（以下简称交易确认书），交易系统不对申报和确认的内容进行审查。</w:t>
      </w:r>
    </w:p>
    <w:p w14:paraId="615F4FC3">
      <w:pPr>
        <w:pStyle w:val="139"/>
        <w:numPr>
          <w:ilvl w:val="1"/>
          <w:numId w:val="0"/>
        </w:numPr>
        <w:snapToGrid w:val="0"/>
        <w:spacing w:line="560" w:lineRule="exact"/>
        <w:ind w:left="0" w:leftChars="0" w:right="0" w:rightChars="0" w:firstLine="600" w:firstLineChars="0"/>
        <w:rPr>
          <w:rFonts w:ascii="仿宋_GB2312" w:hAnsi="仿宋_GB2312" w:eastAsia="仿宋_GB2312" w:cs="宋体;SimSun"/>
          <w:sz w:val="30"/>
          <w:szCs w:val="30"/>
        </w:rPr>
      </w:pPr>
      <w:r>
        <w:rPr>
          <w:rFonts w:hint="eastAsia" w:ascii="仿宋_GB2312" w:hAnsi="仿宋_GB2312" w:eastAsia="仿宋_GB2312" w:cs="宋体;SimSun"/>
          <w:b/>
          <w:bCs/>
          <w:color w:val="auto"/>
          <w:kern w:val="2"/>
          <w:sz w:val="30"/>
          <w:szCs w:val="30"/>
          <w:lang w:val="en-US" w:eastAsia="zh-CN" w:bidi="ar-SA"/>
        </w:rPr>
        <w:t>第十九条</w:t>
      </w:r>
      <w:r>
        <w:rPr>
          <w:rFonts w:ascii="仿宋_GB2312" w:hAnsi="仿宋_GB2312" w:eastAsia="仿宋_GB2312" w:cs="宋体;SimSun"/>
          <w:sz w:val="30"/>
          <w:szCs w:val="30"/>
        </w:rPr>
        <w:t>合约交易双方可以通过中国结算或者自行协商的其他方式支付保护费。</w:t>
      </w:r>
    </w:p>
    <w:p w14:paraId="301A9064">
      <w:pPr>
        <w:pStyle w:val="139"/>
        <w:numPr>
          <w:ilvl w:val="1"/>
          <w:numId w:val="0"/>
        </w:numPr>
        <w:snapToGrid w:val="0"/>
        <w:spacing w:line="560" w:lineRule="exact"/>
        <w:ind w:left="0" w:leftChars="0" w:right="0" w:rightChars="0" w:firstLine="600" w:firstLineChars="0"/>
        <w:rPr>
          <w:rFonts w:ascii="仿宋_GB2312" w:hAnsi="仿宋_GB2312" w:eastAsia="仿宋_GB2312" w:cs="宋体;SimSun"/>
          <w:sz w:val="30"/>
          <w:szCs w:val="30"/>
        </w:rPr>
      </w:pPr>
      <w:r>
        <w:rPr>
          <w:rFonts w:hint="eastAsia" w:ascii="仿宋_GB2312" w:hAnsi="仿宋_GB2312" w:eastAsia="仿宋_GB2312" w:cs="宋体;SimSun"/>
          <w:b/>
          <w:bCs/>
          <w:color w:val="auto"/>
          <w:kern w:val="2"/>
          <w:sz w:val="30"/>
          <w:szCs w:val="30"/>
          <w:lang w:val="en-US" w:eastAsia="zh-CN" w:bidi="ar-SA"/>
        </w:rPr>
        <w:t>第二十条</w:t>
      </w:r>
      <w:r>
        <w:rPr>
          <w:rFonts w:ascii="仿宋_GB2312" w:hAnsi="仿宋_GB2312" w:eastAsia="仿宋_GB2312"/>
          <w:sz w:val="30"/>
          <w:szCs w:val="30"/>
        </w:rPr>
        <w:t>合约交易双方协商一致提前终止合约的，可以由一方通过交易系统申报，另一方进行确认。</w:t>
      </w:r>
      <w:r>
        <w:rPr>
          <w:rFonts w:ascii="仿宋_GB2312" w:hAnsi="仿宋_GB2312" w:eastAsia="仿宋_GB2312" w:cs="宋体;SimSun"/>
          <w:sz w:val="30"/>
          <w:szCs w:val="30"/>
        </w:rPr>
        <w:t>合约交易双方可以通过中国结算或者自行协商的其他方式支付相关终止结算金额。</w:t>
      </w:r>
    </w:p>
    <w:p w14:paraId="69E33F83">
      <w:pPr>
        <w:pStyle w:val="139"/>
        <w:snapToGrid w:val="0"/>
        <w:spacing w:line="560" w:lineRule="exact"/>
        <w:ind w:right="0" w:firstLine="0"/>
        <w:jc w:val="center"/>
        <w:rPr>
          <w:rFonts w:ascii="仿宋_GB2312" w:hAnsi="仿宋_GB2312" w:eastAsia="仿宋_GB2312"/>
          <w:b/>
          <w:sz w:val="30"/>
          <w:szCs w:val="30"/>
        </w:rPr>
      </w:pPr>
      <w:r>
        <w:rPr>
          <w:rFonts w:ascii="仿宋_GB2312" w:hAnsi="仿宋_GB2312" w:eastAsia="仿宋_GB2312"/>
          <w:b/>
          <w:sz w:val="30"/>
          <w:szCs w:val="30"/>
        </w:rPr>
        <w:t>第二节 组合型信用保护合约的特别规定</w:t>
      </w:r>
    </w:p>
    <w:p w14:paraId="35D28B39">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第二十一条</w:t>
      </w:r>
      <w:r>
        <w:rPr>
          <w:rFonts w:ascii="仿宋_GB2312" w:hAnsi="仿宋_GB2312" w:eastAsia="仿宋_GB2312"/>
          <w:sz w:val="30"/>
          <w:szCs w:val="30"/>
        </w:rPr>
        <w:t>组合型信用保护合约（以下简称CDX合约）是指合约交易双方达成的，以特定CDX组合项下全部参考实体或其符合特定债务种类和债务特征的全部债务为保护对象的信用保护合约。</w:t>
      </w:r>
    </w:p>
    <w:p w14:paraId="2DDAE054">
      <w:pPr>
        <w:pStyle w:val="139"/>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其中，CDX组合是指CDX组合管理人根据本指引和其他相关业务规则编制的多个参考实体的集合。</w:t>
      </w:r>
    </w:p>
    <w:p w14:paraId="2139202D">
      <w:pPr>
        <w:pStyle w:val="139"/>
        <w:numPr>
          <w:ilvl w:val="1"/>
          <w:numId w:val="0"/>
        </w:numPr>
        <w:snapToGrid w:val="0"/>
        <w:spacing w:line="560" w:lineRule="exact"/>
        <w:ind w:left="0" w:leftChars="0" w:right="0" w:rightChars="0" w:firstLine="600" w:firstLineChars="0"/>
        <w:rPr>
          <w:rFonts w:ascii="仿宋_GB2312" w:hAnsi="仿宋_GB2312" w:eastAsia="仿宋_GB2312" w:cs="宋体;SimSun"/>
          <w:sz w:val="30"/>
          <w:szCs w:val="30"/>
        </w:rPr>
      </w:pPr>
      <w:r>
        <w:rPr>
          <w:rFonts w:hint="eastAsia" w:ascii="仿宋_GB2312" w:hAnsi="仿宋_GB2312" w:eastAsia="仿宋_GB2312" w:cs="宋体;SimSun"/>
          <w:b/>
          <w:bCs/>
          <w:color w:val="auto"/>
          <w:kern w:val="2"/>
          <w:sz w:val="30"/>
          <w:szCs w:val="30"/>
          <w:lang w:val="en-US" w:eastAsia="zh-CN" w:bidi="ar-SA"/>
        </w:rPr>
        <w:t>第二十二条</w:t>
      </w:r>
      <w:r>
        <w:rPr>
          <w:rFonts w:ascii="仿宋_GB2312" w:hAnsi="仿宋_GB2312" w:eastAsia="仿宋_GB2312" w:cs="宋体;SimSun"/>
          <w:sz w:val="30"/>
          <w:szCs w:val="30"/>
        </w:rPr>
        <w:t>CDX组合管理人是指负责编制、公开发布、运营CDX组合的机构，CDX组合管理人的专业能力、财务实力、公司治理、技术资源等方面应当能持续有效保障CDX组合正常运行，其研究能力、数据处理能力或者估值能力等应当被市场广泛认可。</w:t>
      </w:r>
    </w:p>
    <w:p w14:paraId="2E91E7DE">
      <w:pPr>
        <w:pStyle w:val="139"/>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CDX组合管理人应当根据本指引及其他相关业务规则，基于公开、透明、客观、可操作性的原则制定并披露CDX组合编制方案。</w:t>
      </w:r>
    </w:p>
    <w:p w14:paraId="15D03D07">
      <w:pPr>
        <w:pStyle w:val="139"/>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CDX组合管理人应当根据公布的CDX组合编制方案筛选CDX组合，对CDX组合进行滚动和除名，并及时发布CDX组合信息，包括但不限于CDX组合初始名单、经滚动或除名的CDX组合名单和CDX组合信用曲线等内容，确保CDX组合信息的完整性、连续性和可靠性。</w:t>
      </w:r>
    </w:p>
    <w:p w14:paraId="328C0D08">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第二十三条</w:t>
      </w:r>
      <w:r>
        <w:rPr>
          <w:rFonts w:ascii="仿宋_GB2312" w:hAnsi="仿宋_GB2312" w:eastAsia="仿宋_GB2312"/>
          <w:sz w:val="30"/>
          <w:szCs w:val="30"/>
        </w:rPr>
        <w:t>CDX组合名称以SnVn结尾标识版本。CDX组合名称中“S”后数字初始为1，并随着CDX组合滚动依次增加。每次滚动后CDX组合名称中“V”后数字初始为1，并随着两次组合滚动日之间参考实体被除名的个数依次增加。</w:t>
      </w:r>
    </w:p>
    <w:p w14:paraId="09350570">
      <w:pPr>
        <w:pStyle w:val="139"/>
        <w:snapToGrid w:val="0"/>
        <w:spacing w:line="560" w:lineRule="exact"/>
        <w:ind w:right="0" w:firstLine="600"/>
      </w:pPr>
      <w:r>
        <w:rPr>
          <w:rFonts w:ascii="仿宋_GB2312" w:hAnsi="仿宋_GB2312" w:eastAsia="仿宋_GB2312"/>
          <w:sz w:val="30"/>
          <w:szCs w:val="30"/>
        </w:rPr>
        <w:t>CDX组合滚动或除名后，市场参与者仅可基于最新版本的CDX组合开展CDX合约交易，滚动或除名前达成的CDX合约根据合约交易双方的约定办理。</w:t>
      </w:r>
    </w:p>
    <w:p w14:paraId="495C5138">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第二十四条</w:t>
      </w:r>
      <w:r>
        <w:rPr>
          <w:rFonts w:ascii="仿宋_GB2312" w:hAnsi="仿宋_GB2312" w:eastAsia="仿宋_GB2312"/>
          <w:sz w:val="30"/>
          <w:szCs w:val="30"/>
        </w:rPr>
        <w:t>CDX合约的期限不超过5年。</w:t>
      </w:r>
    </w:p>
    <w:p w14:paraId="033A6E5C">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第二十五条</w:t>
      </w:r>
      <w:r>
        <w:rPr>
          <w:rFonts w:ascii="仿宋_GB2312" w:hAnsi="仿宋_GB2312" w:eastAsia="仿宋_GB2312"/>
          <w:sz w:val="30"/>
          <w:szCs w:val="30"/>
        </w:rPr>
        <w:t>经备案可以作为核心交易商开展CDX合约业务的市场参与者应当每个交易日就当日每个最新版本CDX组合的关键期限合约向全市场提供双边意向申报，意向申报不可直接确认成交。</w:t>
      </w:r>
    </w:p>
    <w:p w14:paraId="2209756B">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第二十六条</w:t>
      </w:r>
      <w:r>
        <w:rPr>
          <w:rFonts w:ascii="仿宋_GB2312" w:hAnsi="仿宋_GB2312" w:eastAsia="仿宋_GB2312"/>
          <w:sz w:val="30"/>
          <w:szCs w:val="30"/>
        </w:rPr>
        <w:t>根据市场机构对CDX合约的报价及成交情况，CDX组合管理人编制并发布CDX组合信用曲线。</w:t>
      </w:r>
    </w:p>
    <w:p w14:paraId="2F8434D0">
      <w:pPr>
        <w:pStyle w:val="139"/>
        <w:snapToGrid w:val="0"/>
        <w:spacing w:line="560" w:lineRule="exact"/>
        <w:ind w:right="0" w:firstLine="0"/>
        <w:jc w:val="center"/>
        <w:rPr>
          <w:rFonts w:eastAsia="黑体;SimHei"/>
          <w:b/>
          <w:sz w:val="30"/>
          <w:szCs w:val="30"/>
        </w:rPr>
      </w:pPr>
      <w:r>
        <w:rPr>
          <w:rFonts w:eastAsia="黑体;SimHei"/>
          <w:b/>
          <w:sz w:val="30"/>
          <w:szCs w:val="30"/>
        </w:rPr>
        <w:t>第四章</w:t>
      </w:r>
      <w:r>
        <w:rPr>
          <w:rFonts w:eastAsia="Times New Roman"/>
          <w:b/>
          <w:sz w:val="30"/>
          <w:szCs w:val="30"/>
        </w:rPr>
        <w:t xml:space="preserve"> </w:t>
      </w:r>
      <w:r>
        <w:rPr>
          <w:rFonts w:eastAsia="黑体;SimHei"/>
          <w:b/>
          <w:sz w:val="30"/>
          <w:szCs w:val="30"/>
        </w:rPr>
        <w:t>信用保护凭证</w:t>
      </w:r>
    </w:p>
    <w:p w14:paraId="6AADA180">
      <w:pPr>
        <w:pStyle w:val="139"/>
        <w:numPr>
          <w:ilvl w:val="1"/>
          <w:numId w:val="0"/>
        </w:numPr>
        <w:snapToGrid w:val="0"/>
        <w:spacing w:line="560" w:lineRule="exact"/>
        <w:ind w:left="0" w:leftChars="0" w:right="0" w:rightChars="0" w:firstLine="600" w:firstLineChars="0"/>
        <w:rPr>
          <w:rFonts w:ascii="仿宋_GB2312" w:hAnsi="仿宋_GB2312" w:eastAsia="仿宋_GB2312" w:cs="宋体;SimSun"/>
          <w:sz w:val="30"/>
          <w:szCs w:val="30"/>
        </w:rPr>
      </w:pPr>
      <w:r>
        <w:rPr>
          <w:rFonts w:hint="eastAsia" w:ascii="仿宋_GB2312" w:hAnsi="仿宋_GB2312" w:eastAsia="仿宋_GB2312" w:cs="宋体;SimSun"/>
          <w:b/>
          <w:bCs/>
          <w:color w:val="auto"/>
          <w:kern w:val="2"/>
          <w:sz w:val="30"/>
          <w:szCs w:val="30"/>
          <w:lang w:val="en-US" w:eastAsia="zh-CN" w:bidi="ar-SA"/>
        </w:rPr>
        <w:t>第二十七条</w:t>
      </w:r>
      <w:r>
        <w:rPr>
          <w:rFonts w:ascii="仿宋_GB2312" w:hAnsi="仿宋_GB2312" w:eastAsia="仿宋_GB2312"/>
          <w:sz w:val="30"/>
          <w:szCs w:val="30"/>
        </w:rPr>
        <w:t>创设机构创设凭证，应当在创设前向本所提交以下凭证创设文件：</w:t>
      </w:r>
    </w:p>
    <w:p w14:paraId="3841A3A3">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（一）凭证创设说明书；</w:t>
      </w:r>
    </w:p>
    <w:p w14:paraId="5111ACCF">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（二）创设机构的信用评级报告；</w:t>
      </w:r>
    </w:p>
    <w:p w14:paraId="24D14ECD">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（三）最近一个会计年度经审计的创设机构的财务报表和审计报告；</w:t>
      </w:r>
    </w:p>
    <w:p w14:paraId="518015D6">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（四）本所要求提交的其他文件。</w:t>
      </w:r>
    </w:p>
    <w:p w14:paraId="56A525CE">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第二十八条</w:t>
      </w:r>
      <w:r>
        <w:rPr>
          <w:rFonts w:ascii="仿宋_GB2312" w:hAnsi="仿宋_GB2312" w:eastAsia="仿宋_GB2312"/>
          <w:sz w:val="30"/>
          <w:szCs w:val="30"/>
        </w:rPr>
        <w:t>凭证创设说明书应当明确创设机构的基本情况、参考实体、债务种类、债务特征、可交付债务（如有）、名义本金、凭证起始日、凭证到期日、信用事件类型、结算方式、凭证持有人会议规则等相关内容。凭证持有人会议规则应当载明凭证持有人通过凭证持有人会议行使权利的范围、程序和其他重要事项。</w:t>
      </w:r>
    </w:p>
    <w:p w14:paraId="4FAE0640">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第二十九条</w:t>
      </w:r>
      <w:r>
        <w:rPr>
          <w:rFonts w:ascii="仿宋_GB2312" w:hAnsi="仿宋_GB2312" w:eastAsia="仿宋_GB2312"/>
          <w:sz w:val="30"/>
          <w:szCs w:val="30"/>
        </w:rPr>
        <w:t>本所对凭证创设文件进行完备性核对，不对凭证的投资价值及投资风险进行实质性判断。文件完备的，本所在收到文件10个交易日内，出具无异议函。</w:t>
      </w:r>
    </w:p>
    <w:p w14:paraId="7F4F4817">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第三十条</w:t>
      </w:r>
      <w:r>
        <w:rPr>
          <w:rFonts w:ascii="仿宋_GB2312" w:hAnsi="仿宋_GB2312" w:eastAsia="仿宋_GB2312"/>
          <w:sz w:val="30"/>
          <w:szCs w:val="30"/>
        </w:rPr>
        <w:t>凭证创设及登记完成后，创设机构应当向本所提交凭证挂牌转让申请书等相关文件，与本所签订挂牌协议。</w:t>
      </w:r>
    </w:p>
    <w:p w14:paraId="1F938D2A">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第三十一条</w:t>
      </w:r>
      <w:r>
        <w:rPr>
          <w:rFonts w:ascii="仿宋_GB2312" w:hAnsi="仿宋_GB2312" w:eastAsia="仿宋_GB2312" w:cs="宋体;SimSun"/>
          <w:sz w:val="30"/>
          <w:szCs w:val="30"/>
        </w:rPr>
        <w:t>凭证转让由投资者通过交易系统申报，证券公司经纪客户通过证券公司申报。可采用点击成交、询价成交、协商成交等方式转让。</w:t>
      </w:r>
    </w:p>
    <w:p w14:paraId="262EA473">
      <w:pPr>
        <w:pStyle w:val="139"/>
        <w:numPr>
          <w:ilvl w:val="1"/>
          <w:numId w:val="0"/>
        </w:numPr>
        <w:snapToGrid w:val="0"/>
        <w:spacing w:line="560" w:lineRule="exact"/>
        <w:ind w:left="0" w:leftChars="0" w:right="0" w:rightChars="0" w:firstLine="600" w:firstLineChars="0"/>
        <w:rPr>
          <w:rFonts w:ascii="仿宋_GB2312" w:hAnsi="仿宋_GB2312" w:eastAsia="仿宋_GB2312" w:cs="宋体;SimSun"/>
          <w:sz w:val="30"/>
          <w:szCs w:val="30"/>
        </w:rPr>
      </w:pPr>
      <w:r>
        <w:rPr>
          <w:rFonts w:hint="eastAsia" w:ascii="仿宋_GB2312" w:hAnsi="仿宋_GB2312" w:eastAsia="仿宋_GB2312" w:cs="宋体;SimSun"/>
          <w:b/>
          <w:bCs/>
          <w:color w:val="auto"/>
          <w:kern w:val="2"/>
          <w:sz w:val="30"/>
          <w:szCs w:val="30"/>
          <w:lang w:val="en-US" w:eastAsia="zh-CN" w:bidi="ar-SA"/>
        </w:rPr>
        <w:t>第三十二条</w:t>
      </w:r>
      <w:r>
        <w:rPr>
          <w:rFonts w:ascii="仿宋_GB2312" w:hAnsi="仿宋_GB2312" w:eastAsia="仿宋_GB2312" w:cs="宋体;SimSun"/>
          <w:sz w:val="30"/>
          <w:szCs w:val="30"/>
        </w:rPr>
        <w:t>凭证转让的申报时间为每个交易日的9:00-11:30、13:00-15:30。每笔凭证转让申报的名义本金应当不低于50万元人民币，申报价格为百元名义本金凭证的价格，申报价格最小变动单位为0.001元</w:t>
      </w:r>
      <w:r>
        <w:rPr>
          <w:rFonts w:ascii="仿宋_GB2312" w:hAnsi="仿宋_GB2312" w:eastAsia="仿宋_GB2312"/>
          <w:sz w:val="30"/>
          <w:szCs w:val="30"/>
        </w:rPr>
        <w:t>。</w:t>
      </w:r>
    </w:p>
    <w:p w14:paraId="753693E8">
      <w:pPr>
        <w:snapToGrid w:val="0"/>
        <w:spacing w:line="560" w:lineRule="exact"/>
        <w:ind w:right="0" w:firstLine="600"/>
        <w:rPr>
          <w:rFonts w:ascii="仿宋_GB2312" w:hAnsi="仿宋_GB2312" w:eastAsia="仿宋_GB2312" w:cs="宋体;SimSun"/>
          <w:sz w:val="30"/>
          <w:szCs w:val="30"/>
        </w:rPr>
      </w:pPr>
      <w:r>
        <w:rPr>
          <w:rFonts w:ascii="仿宋_GB2312" w:hAnsi="仿宋_GB2312" w:eastAsia="仿宋_GB2312" w:cs="宋体;SimSun"/>
          <w:sz w:val="30"/>
          <w:szCs w:val="30"/>
        </w:rPr>
        <w:t>本所可以根据市场需要调整凭证转让的申报时间。</w:t>
      </w:r>
    </w:p>
    <w:p w14:paraId="1A46E1C3">
      <w:pPr>
        <w:pStyle w:val="139"/>
        <w:numPr>
          <w:ilvl w:val="1"/>
          <w:numId w:val="0"/>
        </w:numPr>
        <w:snapToGrid w:val="0"/>
        <w:spacing w:line="560" w:lineRule="exact"/>
        <w:ind w:left="0" w:leftChars="0" w:right="0" w:rightChars="0" w:firstLine="600" w:firstLineChars="0"/>
        <w:rPr>
          <w:rFonts w:ascii="仿宋_GB2312" w:hAnsi="仿宋_GB2312" w:eastAsia="仿宋_GB2312" w:cs="宋体;SimSun"/>
          <w:sz w:val="30"/>
          <w:szCs w:val="30"/>
        </w:rPr>
      </w:pPr>
      <w:r>
        <w:rPr>
          <w:rFonts w:hint="eastAsia" w:ascii="仿宋_GB2312" w:hAnsi="仿宋_GB2312" w:eastAsia="仿宋_GB2312" w:cs="宋体;SimSun"/>
          <w:b/>
          <w:bCs/>
          <w:color w:val="auto"/>
          <w:kern w:val="2"/>
          <w:sz w:val="30"/>
          <w:szCs w:val="30"/>
          <w:lang w:val="en-US" w:eastAsia="zh-CN" w:bidi="ar-SA"/>
        </w:rPr>
        <w:t>第三十三条</w:t>
      </w:r>
      <w:r>
        <w:rPr>
          <w:rFonts w:ascii="仿宋_GB2312" w:hAnsi="仿宋_GB2312" w:eastAsia="仿宋_GB2312" w:cs="宋体;SimSun"/>
          <w:sz w:val="30"/>
          <w:szCs w:val="30"/>
        </w:rPr>
        <w:t>创设机构可以买入自身创设的凭证并向交易系统申报注销，不得转售。</w:t>
      </w:r>
    </w:p>
    <w:p w14:paraId="3D3B4B2D">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第三十四条</w:t>
      </w:r>
      <w:r>
        <w:rPr>
          <w:rFonts w:ascii="仿宋_GB2312" w:hAnsi="仿宋_GB2312" w:eastAsia="仿宋_GB2312" w:cs="宋体;SimSun"/>
          <w:sz w:val="30"/>
          <w:szCs w:val="30"/>
        </w:rPr>
        <w:t>凭证到期且未发生信用事件的，创设机构回购注销其全部凭证的，或者出现本所认定的其他情形的，本所终止凭证的挂牌转让。</w:t>
      </w:r>
    </w:p>
    <w:p w14:paraId="1798E465">
      <w:pPr>
        <w:widowControl/>
        <w:snapToGrid w:val="0"/>
        <w:spacing w:line="560" w:lineRule="exact"/>
        <w:jc w:val="center"/>
        <w:rPr>
          <w:rFonts w:eastAsia="黑体;SimHei"/>
          <w:b/>
          <w:sz w:val="30"/>
          <w:szCs w:val="30"/>
        </w:rPr>
      </w:pPr>
      <w:r>
        <w:rPr>
          <w:rFonts w:eastAsia="黑体;SimHei"/>
          <w:b/>
          <w:sz w:val="30"/>
          <w:szCs w:val="30"/>
        </w:rPr>
        <w:t>第五章</w:t>
      </w:r>
      <w:r>
        <w:rPr>
          <w:rFonts w:eastAsia="Times New Roman"/>
          <w:b/>
          <w:sz w:val="30"/>
          <w:szCs w:val="30"/>
        </w:rPr>
        <w:t xml:space="preserve"> </w:t>
      </w:r>
      <w:r>
        <w:rPr>
          <w:rFonts w:eastAsia="黑体;SimHei"/>
          <w:b/>
          <w:sz w:val="30"/>
          <w:szCs w:val="30"/>
        </w:rPr>
        <w:t>信用事件及结算</w:t>
      </w:r>
    </w:p>
    <w:p w14:paraId="4B7CC840">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第三十五条</w:t>
      </w:r>
      <w:r>
        <w:rPr>
          <w:rFonts w:ascii="仿宋_GB2312" w:hAnsi="仿宋_GB2312" w:eastAsia="仿宋_GB2312"/>
          <w:sz w:val="30"/>
          <w:szCs w:val="30"/>
        </w:rPr>
        <w:t>信用事件发生后，买方或者卖方可以按照约定的方式向对手方发送信用事件通知书及所附公共信息通知书（以下简称信用事件通知书），并同时向本所报告。对手方无异议的，合约或者首份凭证信用事件通知书送达之日即为信用事件决定日。</w:t>
      </w:r>
    </w:p>
    <w:p w14:paraId="18ADB5B5">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第三十六条</w:t>
      </w:r>
      <w:r>
        <w:rPr>
          <w:rFonts w:ascii="仿宋_GB2312" w:hAnsi="仿宋_GB2312" w:eastAsia="仿宋_GB2312"/>
          <w:sz w:val="30"/>
          <w:szCs w:val="30"/>
        </w:rPr>
        <w:t>按季支付保护费的合约，在存续期发生信用事件的，买方自信用事件决定日起停止支付保护费，买方仅支付自上一保护费支付日至信用事件决定日期间的保护费。</w:t>
      </w:r>
    </w:p>
    <w:p w14:paraId="2A0B0560">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第三十七条</w:t>
      </w:r>
      <w:r>
        <w:rPr>
          <w:rFonts w:ascii="仿宋_GB2312" w:hAnsi="仿宋_GB2312" w:eastAsia="仿宋_GB2312"/>
          <w:sz w:val="30"/>
          <w:szCs w:val="30"/>
        </w:rPr>
        <w:t>凭证的信用事件决定日确定后，创设机构应当通过本所网站发布关于信用事件和后续结算安排的公告，内容应当包括信用事件的说明、信用事件决定日的确认、凭证最后交易日期、结算方式以及交割时间区间等信息。最后结算日不得晚于信用事件决定日后60个自然日。</w:t>
      </w:r>
    </w:p>
    <w:p w14:paraId="72E870CC">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第三十八条</w:t>
      </w:r>
      <w:r>
        <w:rPr>
          <w:rFonts w:ascii="仿宋_GB2312" w:hAnsi="仿宋_GB2312" w:eastAsia="仿宋_GB2312"/>
          <w:sz w:val="30"/>
          <w:szCs w:val="30"/>
        </w:rPr>
        <w:t>买方应当按照约定在信用事件决定日后向卖方发送结算通知书，结算通知书的发送日不得晚于信用事件决定日后30个自然日，最后结算日不得晚于结算通知书送达日后30个自然日。</w:t>
      </w:r>
    </w:p>
    <w:p w14:paraId="650D56CA">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第三十九条</w:t>
      </w:r>
      <w:r>
        <w:rPr>
          <w:rFonts w:ascii="仿宋_GB2312" w:hAnsi="仿宋_GB2312" w:eastAsia="仿宋_GB2312"/>
          <w:sz w:val="30"/>
          <w:szCs w:val="30"/>
        </w:rPr>
        <w:t>交易双方约定采用实物结算的，结算通知书应当包括用于结算的具体可交付债务、交割方式、交割数量、交割时间等信息；交易双方约定采用现金结算的，结算通知书应当包括现金的交付方式、交付金额、交付时间等信息。</w:t>
      </w:r>
    </w:p>
    <w:p w14:paraId="08E30429">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第四十条</w:t>
      </w:r>
      <w:r>
        <w:rPr>
          <w:rFonts w:ascii="仿宋_GB2312" w:hAnsi="仿宋_GB2312" w:eastAsia="仿宋_GB2312"/>
          <w:sz w:val="30"/>
          <w:szCs w:val="30"/>
        </w:rPr>
        <w:t>买方可以通过交易系统或者其他约定方式发送信用事件通知书及结算通知书。</w:t>
      </w:r>
    </w:p>
    <w:p w14:paraId="39FCF4B7">
      <w:pPr>
        <w:pStyle w:val="139"/>
        <w:numPr>
          <w:ilvl w:val="1"/>
          <w:numId w:val="0"/>
        </w:numPr>
        <w:snapToGrid w:val="0"/>
        <w:spacing w:line="560" w:lineRule="exact"/>
        <w:ind w:left="0" w:leftChars="0" w:right="0" w:rightChars="0" w:firstLine="567"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第四十一条</w:t>
      </w:r>
      <w:r>
        <w:rPr>
          <w:rFonts w:ascii="仿宋_GB2312" w:hAnsi="仿宋_GB2312" w:eastAsia="仿宋_GB2312" w:cs="仿宋_GB2312"/>
          <w:sz w:val="30"/>
          <w:szCs w:val="30"/>
        </w:rPr>
        <w:t xml:space="preserve">  </w:t>
      </w:r>
      <w:r>
        <w:rPr>
          <w:rFonts w:ascii="仿宋_GB2312" w:hAnsi="仿宋_GB2312" w:eastAsia="仿宋_GB2312"/>
          <w:sz w:val="30"/>
          <w:szCs w:val="30"/>
        </w:rPr>
        <w:t>卖方收到结算通知书的，应当按照相关规定、约定及结算通知书内容履行结算义务。</w:t>
      </w:r>
    </w:p>
    <w:p w14:paraId="73D45BB7">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第四十二条</w:t>
      </w:r>
      <w:r>
        <w:rPr>
          <w:rFonts w:ascii="仿宋_GB2312" w:hAnsi="仿宋_GB2312" w:eastAsia="仿宋_GB2312"/>
          <w:sz w:val="30"/>
          <w:szCs w:val="30"/>
        </w:rPr>
        <w:t>信用事件发生后采用实物结算的，且交易双方约定结算金额包含可交付债务尚未支付的应计利息的，结算金额为名义本金加上约定的截至结算日实际交付债务当日尚未支付的应计利息；交易双方约定结算金额不包含可交付债务尚未支付的应计利息的，结算金额为名义本金。</w:t>
      </w:r>
    </w:p>
    <w:p w14:paraId="71BBD530">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第四十三条</w:t>
      </w:r>
      <w:r>
        <w:rPr>
          <w:rFonts w:ascii="仿宋_GB2312" w:hAnsi="仿宋_GB2312" w:eastAsia="仿宋_GB2312"/>
          <w:sz w:val="30"/>
          <w:szCs w:val="30"/>
        </w:rPr>
        <w:t>信用事件发生后采用现金结算的，计算公式为：结算金额=名义本金×（1-约定回收率）。交易双方应当在相关有效文件中明确约定回收率比例或者约定回收率的确定方法。</w:t>
      </w:r>
    </w:p>
    <w:p w14:paraId="12266EC4">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第四十四条</w:t>
      </w:r>
      <w:r>
        <w:rPr>
          <w:rFonts w:ascii="仿宋_GB2312" w:hAnsi="仿宋_GB2312" w:eastAsia="仿宋_GB2312"/>
          <w:sz w:val="30"/>
          <w:szCs w:val="30"/>
        </w:rPr>
        <w:t>合约信用事件发生后，交易双方最终按照结算金额和买方应付未付保护费的轧差净额进行资金结算。</w:t>
      </w:r>
    </w:p>
    <w:p w14:paraId="6461B104">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第四十五条</w:t>
      </w:r>
      <w:r>
        <w:rPr>
          <w:rFonts w:ascii="仿宋_GB2312" w:hAnsi="仿宋_GB2312" w:eastAsia="仿宋_GB2312"/>
          <w:sz w:val="30"/>
          <w:szCs w:val="30"/>
        </w:rPr>
        <w:t>CDX合约的</w:t>
      </w:r>
      <w:r>
        <w:rPr>
          <w:rFonts w:eastAsia="仿宋_GB2312"/>
          <w:sz w:val="30"/>
          <w:szCs w:val="30"/>
        </w:rPr>
        <w:t>信用事件包括破产、支付违约等类型。</w:t>
      </w:r>
      <w:r>
        <w:rPr>
          <w:rFonts w:ascii="仿宋_GB2312" w:hAnsi="仿宋_GB2312" w:eastAsia="仿宋_GB2312"/>
          <w:sz w:val="30"/>
          <w:szCs w:val="30"/>
        </w:rPr>
        <w:t>信用事件发生后，CDX合约交易双方可以就发生信用事件的部分参考实体所对应的名义本金进行结算，CDX合约剩余部分参考实体及其对应的名义本金继续存续。</w:t>
      </w:r>
    </w:p>
    <w:p w14:paraId="1FFF8364">
      <w:pPr>
        <w:pStyle w:val="139"/>
        <w:numPr>
          <w:ilvl w:val="1"/>
          <w:numId w:val="0"/>
        </w:numPr>
        <w:snapToGrid w:val="0"/>
        <w:spacing w:line="560" w:lineRule="exact"/>
        <w:ind w:left="0" w:leftChars="0" w:right="0" w:rightChars="0" w:firstLine="600" w:firstLineChars="0"/>
        <w:rPr>
          <w:rFonts w:ascii="仿宋_GB2312" w:hAnsi="仿宋_GB2312" w:eastAsia="仿宋_GB2312"/>
        </w:rPr>
      </w:pPr>
      <w:r>
        <w:rPr>
          <w:rFonts w:hint="eastAsia" w:ascii="仿宋_GB2312" w:hAnsi="仿宋_GB2312" w:eastAsia="仿宋_GB2312" w:cs="Times New Roman"/>
          <w:b/>
          <w:bCs/>
          <w:color w:val="auto"/>
          <w:kern w:val="2"/>
          <w:sz w:val="30"/>
          <w:szCs w:val="30"/>
          <w:lang w:val="en-US" w:eastAsia="zh-CN" w:bidi="ar-SA"/>
        </w:rPr>
        <w:t>第四十六条</w:t>
      </w:r>
      <w:r>
        <w:rPr>
          <w:rFonts w:ascii="仿宋_GB2312" w:hAnsi="仿宋_GB2312" w:eastAsia="仿宋_GB2312"/>
          <w:sz w:val="30"/>
          <w:szCs w:val="30"/>
        </w:rPr>
        <w:t>交易双方应当在结算日确认相关结算要素。</w:t>
      </w:r>
    </w:p>
    <w:p w14:paraId="3DF0C7E9">
      <w:pPr>
        <w:pStyle w:val="139"/>
        <w:snapToGrid w:val="0"/>
        <w:spacing w:line="560" w:lineRule="exact"/>
        <w:ind w:right="0" w:firstLine="600"/>
        <w:rPr>
          <w:rFonts w:ascii="仿宋_GB2312" w:hAnsi="仿宋_GB2312" w:eastAsia="仿宋_GB2312"/>
        </w:rPr>
      </w:pPr>
      <w:r>
        <w:rPr>
          <w:rFonts w:ascii="仿宋_GB2312" w:hAnsi="仿宋_GB2312" w:eastAsia="仿宋_GB2312"/>
          <w:sz w:val="30"/>
          <w:szCs w:val="30"/>
        </w:rPr>
        <w:t>合约或凭证采用实物结算以及凭证采用现金结算的，由交易一方通过交易系统申报，另一方进行确认。中国结算根据交易系统发送的数据提供逐笔全额结算或者其他结算方式的服务。</w:t>
      </w:r>
    </w:p>
    <w:p w14:paraId="7BB91B38">
      <w:pPr>
        <w:pStyle w:val="139"/>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合约采用现金结算的，</w:t>
      </w:r>
      <w:r>
        <w:rPr>
          <w:rFonts w:ascii="仿宋_GB2312" w:hAnsi="仿宋_GB2312" w:eastAsia="仿宋_GB2312" w:cs="宋体;SimSun"/>
          <w:sz w:val="30"/>
          <w:szCs w:val="30"/>
        </w:rPr>
        <w:t>交易双方可以通过中国结算或者自行协商的其他方式完成结算。</w:t>
      </w:r>
    </w:p>
    <w:p w14:paraId="2CAE1557">
      <w:pPr>
        <w:pStyle w:val="139"/>
        <w:numPr>
          <w:ilvl w:val="1"/>
          <w:numId w:val="0"/>
        </w:numPr>
        <w:snapToGrid w:val="0"/>
        <w:spacing w:line="560" w:lineRule="exact"/>
        <w:ind w:left="0" w:leftChars="0" w:right="0" w:rightChars="0" w:firstLine="567"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第四十七条</w:t>
      </w:r>
      <w:r>
        <w:rPr>
          <w:rFonts w:ascii="仿宋_GB2312" w:hAnsi="仿宋_GB2312" w:eastAsia="仿宋_GB2312" w:cs="仿宋_GB2312"/>
          <w:sz w:val="30"/>
          <w:szCs w:val="30"/>
        </w:rPr>
        <w:t xml:space="preserve">  </w:t>
      </w:r>
      <w:r>
        <w:rPr>
          <w:rFonts w:ascii="仿宋_GB2312" w:hAnsi="仿宋_GB2312" w:eastAsia="仿宋_GB2312"/>
          <w:sz w:val="30"/>
          <w:szCs w:val="30"/>
        </w:rPr>
        <w:t>交易双方就信用事件相关事项存在争议的，可以提请信用事件专家委员会出具专家意见并组织协商。若交易双方认可信用事件专家委员会出具的专家意见或协商结果，交易双方按照相关专家意见或协商结果进行处理。</w:t>
      </w:r>
    </w:p>
    <w:p w14:paraId="70447EE6">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若交易双方发生争议未提交信用事件专家委员会或者不认可相关专家意见或协商结果的，交易双方可根据约定就信用事件争议事项提交仲裁或诉讼。</w:t>
      </w:r>
    </w:p>
    <w:p w14:paraId="715AC9C1">
      <w:pPr>
        <w:snapToGrid w:val="0"/>
        <w:spacing w:line="560" w:lineRule="exact"/>
        <w:jc w:val="center"/>
        <w:rPr>
          <w:rFonts w:eastAsia="仿宋_GB2312"/>
          <w:sz w:val="30"/>
          <w:szCs w:val="30"/>
        </w:rPr>
      </w:pPr>
      <w:r>
        <w:rPr>
          <w:rFonts w:eastAsia="黑体;SimHei"/>
          <w:b/>
          <w:sz w:val="30"/>
          <w:szCs w:val="30"/>
        </w:rPr>
        <w:t>第六章</w:t>
      </w:r>
      <w:r>
        <w:rPr>
          <w:rFonts w:eastAsia="Times New Roman"/>
          <w:b/>
          <w:sz w:val="30"/>
          <w:szCs w:val="30"/>
        </w:rPr>
        <w:t xml:space="preserve"> </w:t>
      </w:r>
      <w:r>
        <w:rPr>
          <w:rFonts w:eastAsia="黑体;SimHei"/>
          <w:b/>
          <w:sz w:val="30"/>
          <w:szCs w:val="30"/>
        </w:rPr>
        <w:t>信息披露</w:t>
      </w:r>
    </w:p>
    <w:p w14:paraId="2F2005E8">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第四十八条</w:t>
      </w:r>
      <w:r>
        <w:rPr>
          <w:rFonts w:eastAsia="仿宋_GB2312"/>
          <w:sz w:val="30"/>
          <w:szCs w:val="30"/>
        </w:rPr>
        <w:t>创</w:t>
      </w:r>
      <w:r>
        <w:rPr>
          <w:rFonts w:ascii="仿宋_GB2312" w:hAnsi="仿宋_GB2312" w:eastAsia="仿宋_GB2312"/>
          <w:sz w:val="30"/>
          <w:szCs w:val="30"/>
        </w:rPr>
        <w:t>设机构应当在凭证创设前2个交易日通过本所网站向投资者披露凭证创设说明书、创设机构的信用评级报告、经审计的财务报表和审计报告等相关文件。</w:t>
      </w:r>
    </w:p>
    <w:p w14:paraId="10E89632">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第四十九条</w:t>
      </w:r>
      <w:r>
        <w:rPr>
          <w:rFonts w:ascii="仿宋_GB2312" w:hAnsi="仿宋_GB2312" w:eastAsia="仿宋_GB2312"/>
          <w:sz w:val="30"/>
          <w:szCs w:val="30"/>
        </w:rPr>
        <w:t>凭证存续期间，创设机构应当在每年4月30日之前披露上一年度的年度报告、财务报表及审计报告，并在每年6月30日之前披露定期跟踪评级报告。年度报告应当至少记载以下内容：</w:t>
      </w:r>
    </w:p>
    <w:p w14:paraId="276027FB">
      <w:pPr>
        <w:pStyle w:val="139"/>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（一）创设机构概况；</w:t>
      </w:r>
    </w:p>
    <w:p w14:paraId="7AE4F052">
      <w:pPr>
        <w:pStyle w:val="139"/>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（二）创设机构经营情况、财务状况；</w:t>
      </w:r>
    </w:p>
    <w:p w14:paraId="48649E21">
      <w:pPr>
        <w:pStyle w:val="139"/>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w:t>
      </w:r>
      <w:bookmarkStart w:id="2" w:name="_GoBack"/>
      <w:bookmarkEnd w:id="2"/>
      <w:r>
        <w:rPr>
          <w:rFonts w:ascii="仿宋_GB2312" w:hAnsi="仿宋_GB2312" w:eastAsia="仿宋_GB2312"/>
          <w:sz w:val="30"/>
          <w:szCs w:val="30"/>
        </w:rPr>
        <w:t>三）创设机构主体评级情况；</w:t>
      </w:r>
    </w:p>
    <w:p w14:paraId="6CD1A5C8">
      <w:pPr>
        <w:pStyle w:val="139"/>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（四）创设机构在报告期内发生的可能影响创设机构赔付能力或者凭证价格的重大事项；</w:t>
      </w:r>
    </w:p>
    <w:p w14:paraId="607ACDD3">
      <w:pPr>
        <w:pStyle w:val="139"/>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 xml:space="preserve">（五）本所要求披露的其他事项。 </w:t>
      </w:r>
    </w:p>
    <w:p w14:paraId="3A6E031D">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第五十条</w:t>
      </w:r>
      <w:r>
        <w:rPr>
          <w:rFonts w:ascii="仿宋_GB2312" w:hAnsi="仿宋_GB2312" w:eastAsia="仿宋_GB2312"/>
          <w:sz w:val="30"/>
          <w:szCs w:val="30"/>
        </w:rPr>
        <w:t>凭证存续期间，发生可能影响创设机构赔付能力的重大事项，或者存在关于创设机构及其创设的凭证的重大市场传闻的，创设机构应当及时向本所提交并披露临时报告，说明事件的起因、目前的状态和可能产生的后果。重大事项包括：</w:t>
      </w:r>
    </w:p>
    <w:p w14:paraId="19729EE5">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（一）创设机构创设的凭证发生赔付；</w:t>
      </w:r>
    </w:p>
    <w:p w14:paraId="4B4BF8F7">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（二）创设机构主要资产被查封、扣押、冻结；</w:t>
      </w:r>
    </w:p>
    <w:p w14:paraId="6896F5A8">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（三）创设机构发生超过上年末净资产10%的重大损失；</w:t>
      </w:r>
    </w:p>
    <w:p w14:paraId="52AA003C">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（四）创设机构发生未能清偿到期重大债务的违约情况；</w:t>
      </w:r>
    </w:p>
    <w:p w14:paraId="537EC73F">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（五）创设机构作出减资、合并、分立、解散及申请破产的决定；</w:t>
      </w:r>
    </w:p>
    <w:p w14:paraId="724D3872">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（六）创设机构涉及重大诉讼、仲裁事项或者受到重大行政处罚；</w:t>
      </w:r>
    </w:p>
    <w:p w14:paraId="2A28CD2D">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（七）创设机构履约保障方、担保物或者其他偿债保障措施发生重大变化；</w:t>
      </w:r>
    </w:p>
    <w:p w14:paraId="49D3A563">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（八）创设机构涉嫌犯罪被司法机关立案调查，创设机构董事、监事、高级管理人员涉嫌犯罪被司法机关采取强制措施；</w:t>
      </w:r>
    </w:p>
    <w:p w14:paraId="36AEC187">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（九）其他对投资者作出投资决策有重大影响的事项。</w:t>
      </w:r>
    </w:p>
    <w:p w14:paraId="50399F26">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（十）法律、行政法规、规章规定或中国证监会、本所规定的其他事项。</w:t>
      </w:r>
    </w:p>
    <w:p w14:paraId="4F5FC473">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第五十一条</w:t>
      </w:r>
      <w:r>
        <w:rPr>
          <w:rFonts w:ascii="仿宋_GB2312" w:hAnsi="仿宋_GB2312" w:eastAsia="仿宋_GB2312"/>
          <w:sz w:val="30"/>
          <w:szCs w:val="30"/>
        </w:rPr>
        <w:t>凭证创设机构和投资者应当关注参考实体披露的重大事项。</w:t>
      </w:r>
    </w:p>
    <w:p w14:paraId="206DF352">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第五十二条</w:t>
      </w:r>
      <w:r>
        <w:rPr>
          <w:rFonts w:ascii="仿宋_GB2312" w:hAnsi="仿宋_GB2312" w:eastAsia="仿宋_GB2312"/>
          <w:sz w:val="30"/>
          <w:szCs w:val="30"/>
        </w:rPr>
        <w:t>合约交易双方按照相关约定及时向对手方报告相关重大事项。</w:t>
      </w:r>
    </w:p>
    <w:p w14:paraId="184E60FE">
      <w:pPr>
        <w:pStyle w:val="139"/>
        <w:spacing w:line="560" w:lineRule="exact"/>
        <w:ind w:right="0" w:firstLine="0"/>
        <w:jc w:val="center"/>
      </w:pPr>
      <w:r>
        <w:rPr>
          <w:rFonts w:eastAsia="黑体;SimHei"/>
          <w:b/>
          <w:sz w:val="30"/>
          <w:szCs w:val="30"/>
        </w:rPr>
        <w:t>第七章</w:t>
      </w:r>
      <w:r>
        <w:rPr>
          <w:rFonts w:eastAsia="Times New Roman"/>
          <w:b/>
          <w:sz w:val="30"/>
          <w:szCs w:val="30"/>
        </w:rPr>
        <w:t xml:space="preserve"> </w:t>
      </w:r>
      <w:r>
        <w:rPr>
          <w:rFonts w:eastAsia="黑体;SimHei"/>
          <w:b/>
          <w:sz w:val="30"/>
          <w:szCs w:val="30"/>
        </w:rPr>
        <w:t>风险控制和监督管理</w:t>
      </w:r>
    </w:p>
    <w:p w14:paraId="24E51310">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第五十三条</w:t>
      </w:r>
      <w:r>
        <w:rPr>
          <w:rFonts w:ascii="仿宋_GB2312" w:hAnsi="仿宋_GB2312" w:eastAsia="仿宋_GB2312" w:cs="宋体;SimSun"/>
          <w:sz w:val="30"/>
          <w:szCs w:val="30"/>
        </w:rPr>
        <w:t>核心交易商或创设机构发生以下情形之一的，应当向本所递交相关文件和书面说明，由本所重新审查：</w:t>
      </w:r>
    </w:p>
    <w:p w14:paraId="0F204D80">
      <w:pPr>
        <w:snapToGrid w:val="0"/>
        <w:spacing w:line="560" w:lineRule="exact"/>
        <w:ind w:right="0" w:firstLine="600"/>
        <w:rPr>
          <w:rFonts w:ascii="仿宋_GB2312" w:hAnsi="仿宋_GB2312" w:eastAsia="仿宋_GB2312" w:cs="宋体;SimSun"/>
          <w:sz w:val="30"/>
          <w:szCs w:val="30"/>
        </w:rPr>
      </w:pPr>
      <w:r>
        <w:rPr>
          <w:rFonts w:ascii="仿宋_GB2312" w:hAnsi="仿宋_GB2312" w:eastAsia="仿宋_GB2312" w:cs="宋体;SimSun"/>
          <w:sz w:val="30"/>
          <w:szCs w:val="30"/>
        </w:rPr>
        <w:t>（一）由于净资产、金融资产规模变化等导致可能不再符合信用保护工具参与者相应资质的；</w:t>
      </w:r>
    </w:p>
    <w:p w14:paraId="51B122F5">
      <w:pPr>
        <w:snapToGrid w:val="0"/>
        <w:spacing w:line="560" w:lineRule="exact"/>
        <w:ind w:right="0" w:firstLine="600"/>
        <w:rPr>
          <w:rFonts w:ascii="仿宋_GB2312" w:hAnsi="仿宋_GB2312" w:eastAsia="仿宋_GB2312" w:cs="宋体;SimSun"/>
          <w:sz w:val="30"/>
          <w:szCs w:val="30"/>
        </w:rPr>
      </w:pPr>
      <w:r>
        <w:rPr>
          <w:rFonts w:ascii="仿宋_GB2312" w:hAnsi="仿宋_GB2312" w:eastAsia="仿宋_GB2312" w:cs="宋体;SimSun"/>
          <w:sz w:val="30"/>
          <w:szCs w:val="30"/>
        </w:rPr>
        <w:t>（二）发生可能被取消资质、吊销执照、进入破产或者清算程序等导致公司资质可能受限或者被注销等情形。</w:t>
      </w:r>
    </w:p>
    <w:p w14:paraId="410A7992">
      <w:pPr>
        <w:snapToGrid w:val="0"/>
        <w:spacing w:line="560" w:lineRule="exact"/>
        <w:ind w:right="0" w:firstLine="600"/>
        <w:rPr>
          <w:rFonts w:ascii="仿宋_GB2312" w:hAnsi="仿宋_GB2312" w:eastAsia="仿宋_GB2312" w:cs="宋体;SimSun"/>
          <w:sz w:val="30"/>
          <w:szCs w:val="30"/>
        </w:rPr>
      </w:pPr>
      <w:r>
        <w:rPr>
          <w:rFonts w:ascii="仿宋_GB2312" w:hAnsi="仿宋_GB2312" w:eastAsia="仿宋_GB2312" w:cs="宋体;SimSun"/>
          <w:sz w:val="30"/>
          <w:szCs w:val="30"/>
        </w:rPr>
        <w:t>对于不再符合信用保护工具参与者资质要求的，本所撤销市场参与者的核心交易商或创设机构资格。</w:t>
      </w:r>
    </w:p>
    <w:p w14:paraId="0EED188F">
      <w:pPr>
        <w:snapToGrid w:val="0"/>
        <w:spacing w:line="560" w:lineRule="exact"/>
        <w:ind w:right="0" w:firstLine="600"/>
        <w:rPr>
          <w:rFonts w:ascii="仿宋_GB2312" w:hAnsi="仿宋_GB2312" w:eastAsia="仿宋_GB2312" w:cs="宋体;SimSun"/>
          <w:sz w:val="30"/>
          <w:szCs w:val="30"/>
        </w:rPr>
      </w:pPr>
      <w:r>
        <w:rPr>
          <w:rFonts w:ascii="仿宋_GB2312" w:hAnsi="仿宋_GB2312" w:eastAsia="仿宋_GB2312" w:cs="宋体;SimSun"/>
          <w:sz w:val="30"/>
          <w:szCs w:val="30"/>
        </w:rPr>
        <w:t>核心交易商或创设机构被撤销资格后，不得新增信用保护工具相关业务，但仍应继续履行未到期信用保护工具的相关义务。</w:t>
      </w:r>
    </w:p>
    <w:p w14:paraId="3E4CB898">
      <w:pPr>
        <w:pStyle w:val="139"/>
        <w:numPr>
          <w:ilvl w:val="1"/>
          <w:numId w:val="0"/>
        </w:numPr>
        <w:snapToGrid w:val="0"/>
        <w:spacing w:line="560" w:lineRule="exact"/>
        <w:ind w:left="0" w:leftChars="0" w:right="0" w:rightChars="0" w:firstLine="600" w:firstLineChars="0"/>
        <w:rPr>
          <w:rFonts w:ascii="仿宋_GB2312" w:hAnsi="仿宋_GB2312" w:eastAsia="仿宋_GB2312"/>
        </w:rPr>
      </w:pPr>
      <w:r>
        <w:rPr>
          <w:rFonts w:hint="eastAsia" w:ascii="仿宋_GB2312" w:hAnsi="仿宋_GB2312" w:eastAsia="仿宋_GB2312" w:cs="Times New Roman"/>
          <w:b/>
          <w:bCs/>
          <w:color w:val="auto"/>
          <w:kern w:val="2"/>
          <w:sz w:val="30"/>
          <w:szCs w:val="30"/>
          <w:lang w:val="en-US" w:eastAsia="zh-CN" w:bidi="ar-SA"/>
        </w:rPr>
        <w:t>第五十四条</w:t>
      </w:r>
      <w:r>
        <w:rPr>
          <w:rFonts w:ascii="仿宋_GB2312" w:hAnsi="仿宋_GB2312" w:eastAsia="仿宋_GB2312"/>
          <w:sz w:val="30"/>
          <w:szCs w:val="30"/>
        </w:rPr>
        <w:t>市场参与者未按照相关规定、约定履行支付或交付义务的，该市场参与者与其对手方应当在支付或交付违约情形发生后1个交易日内将相关违约情形报告本所。</w:t>
      </w:r>
    </w:p>
    <w:p w14:paraId="75047766">
      <w:pPr>
        <w:pStyle w:val="139"/>
        <w:numPr>
          <w:ilvl w:val="1"/>
          <w:numId w:val="0"/>
        </w:numPr>
        <w:snapToGrid w:val="0"/>
        <w:spacing w:line="560" w:lineRule="exact"/>
        <w:ind w:left="0" w:leftChars="0" w:right="0" w:rightChars="0" w:firstLine="600" w:firstLineChars="0"/>
        <w:rPr>
          <w:rFonts w:ascii="仿宋_GB2312" w:hAnsi="仿宋_GB2312"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第五十五条</w:t>
      </w:r>
      <w:r>
        <w:rPr>
          <w:rFonts w:ascii="仿宋_GB2312" w:hAnsi="仿宋_GB2312" w:eastAsia="仿宋_GB2312"/>
          <w:sz w:val="30"/>
          <w:szCs w:val="30"/>
        </w:rPr>
        <w:t>市场参与者以及为其提供经纪服务的证券公司应当根据本所要求定期向本所报送相关数据，本所对市场参与者的交易头寸、参考实体对应的交易头寸等进行动态监测。本所可以根据监测结果采取必要的风险控制措施，包括但不限于暂停市场参与者参与信用保护工具业务或者暂停开展涉及特定参考实体的信用保护工具业务</w:t>
      </w:r>
      <w:r>
        <w:rPr>
          <w:rFonts w:ascii="仿宋_GB2312" w:hAnsi="仿宋_GB2312" w:eastAsia="仿宋_GB2312"/>
          <w:vanish/>
          <w:sz w:val="30"/>
          <w:szCs w:val="30"/>
        </w:rPr>
        <w:t>者取所与者况书</w:t>
      </w:r>
      <w:r>
        <w:rPr>
          <w:rFonts w:ascii="仿宋_GB2312" w:hAnsi="仿宋_GB2312" w:eastAsia="仿宋_GB2312"/>
          <w:sz w:val="30"/>
          <w:szCs w:val="30"/>
        </w:rPr>
        <w:t>。</w:t>
      </w:r>
    </w:p>
    <w:p w14:paraId="56B9D3EB">
      <w:pPr>
        <w:pStyle w:val="139"/>
        <w:numPr>
          <w:ilvl w:val="1"/>
          <w:numId w:val="0"/>
        </w:numPr>
        <w:snapToGrid w:val="0"/>
        <w:spacing w:line="560" w:lineRule="exact"/>
        <w:ind w:left="0" w:leftChars="0" w:right="0" w:rightChars="0" w:firstLine="600" w:firstLineChars="0"/>
      </w:pPr>
      <w:r>
        <w:rPr>
          <w:rFonts w:hint="eastAsia" w:ascii="仿宋_GB2312" w:hAnsi="仿宋_GB2312" w:eastAsia="仿宋_GB2312" w:cs="Times New Roman"/>
          <w:b/>
          <w:bCs/>
          <w:color w:val="auto"/>
          <w:kern w:val="2"/>
          <w:sz w:val="30"/>
          <w:szCs w:val="30"/>
          <w:lang w:val="en-US" w:eastAsia="zh-CN" w:bidi="ar-SA"/>
        </w:rPr>
        <w:t>第五十六条</w:t>
      </w:r>
      <w:r>
        <w:rPr>
          <w:rFonts w:ascii="仿宋_GB2312" w:hAnsi="仿宋_GB2312" w:eastAsia="仿宋_GB2312"/>
          <w:sz w:val="30"/>
          <w:szCs w:val="30"/>
        </w:rPr>
        <w:t>市场参与者、中介机构及其相关人员违反本指引、相关约定、承诺或者本所其他规定的，本所可以采取口头警示、书面警示、监管谈话、要求限期改正、暂停受理或办理相关业务，以及本所规定的其他监管措施；情节严重的，可以给予通报批评、公开谴责以及本所规定的其他纪律处分，并可提请监管机构采取行政监管等措施。</w:t>
      </w:r>
    </w:p>
    <w:p w14:paraId="06A8B93B">
      <w:pPr>
        <w:snapToGrid w:val="0"/>
        <w:spacing w:line="560" w:lineRule="exact"/>
        <w:ind w:right="0" w:firstLine="600"/>
        <w:rPr>
          <w:rFonts w:ascii="仿宋_GB2312" w:hAnsi="仿宋_GB2312" w:eastAsia="仿宋_GB2312"/>
          <w:sz w:val="30"/>
          <w:szCs w:val="30"/>
        </w:rPr>
      </w:pPr>
      <w:r>
        <w:rPr>
          <w:rFonts w:ascii="仿宋_GB2312" w:hAnsi="仿宋_GB2312" w:eastAsia="仿宋_GB2312"/>
          <w:sz w:val="30"/>
          <w:szCs w:val="30"/>
        </w:rPr>
        <w:t>本所可以将实施纪律处分或者监管措施的情形记入诚信档案并予以公布。</w:t>
      </w:r>
    </w:p>
    <w:p w14:paraId="05572C70">
      <w:pPr>
        <w:snapToGrid w:val="0"/>
        <w:spacing w:line="560" w:lineRule="exact"/>
        <w:jc w:val="center"/>
        <w:rPr>
          <w:rFonts w:eastAsia="黑体;SimHei"/>
          <w:b/>
          <w:sz w:val="30"/>
          <w:szCs w:val="30"/>
        </w:rPr>
      </w:pPr>
      <w:r>
        <w:rPr>
          <w:rFonts w:eastAsia="黑体;SimHei"/>
          <w:b/>
          <w:sz w:val="30"/>
          <w:szCs w:val="30"/>
        </w:rPr>
        <w:t>第八章</w:t>
      </w:r>
      <w:r>
        <w:rPr>
          <w:rFonts w:eastAsia="Times New Roman"/>
          <w:b/>
          <w:sz w:val="30"/>
          <w:szCs w:val="30"/>
        </w:rPr>
        <w:t xml:space="preserve"> </w:t>
      </w:r>
      <w:r>
        <w:rPr>
          <w:rFonts w:eastAsia="黑体;SimHei"/>
          <w:b/>
          <w:sz w:val="30"/>
          <w:szCs w:val="30"/>
        </w:rPr>
        <w:t>附则</w:t>
      </w:r>
    </w:p>
    <w:p w14:paraId="1392B98B">
      <w:pPr>
        <w:pStyle w:val="139"/>
        <w:numPr>
          <w:ilvl w:val="1"/>
          <w:numId w:val="0"/>
        </w:numPr>
        <w:snapToGrid w:val="0"/>
        <w:spacing w:line="560" w:lineRule="exact"/>
        <w:ind w:left="0" w:leftChars="0" w:right="0" w:rightChars="0" w:firstLine="600" w:firstLineChars="0"/>
        <w:rPr>
          <w:rFonts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第五十七条</w:t>
      </w:r>
      <w:r>
        <w:rPr>
          <w:rFonts w:eastAsia="仿宋_GB2312"/>
          <w:sz w:val="30"/>
          <w:szCs w:val="30"/>
        </w:rPr>
        <w:t>由于不可抗力、意外事件、技术故障或者本所认可的其他情形导致无法通过交易系统达成交易的，交易双方可以将交易确认书或者转让申报等通过书面方式发送本所确认。</w:t>
      </w:r>
    </w:p>
    <w:p w14:paraId="33ECE393">
      <w:pPr>
        <w:pStyle w:val="139"/>
        <w:numPr>
          <w:ilvl w:val="1"/>
          <w:numId w:val="0"/>
        </w:numPr>
        <w:snapToGrid w:val="0"/>
        <w:spacing w:line="560" w:lineRule="exact"/>
        <w:ind w:left="0" w:leftChars="0" w:right="0" w:rightChars="0" w:firstLine="600" w:firstLineChars="0"/>
        <w:rPr>
          <w:rFonts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第五十八条</w:t>
      </w:r>
      <w:r>
        <w:rPr>
          <w:rFonts w:eastAsia="仿宋_GB2312"/>
          <w:sz w:val="30"/>
          <w:szCs w:val="30"/>
        </w:rPr>
        <w:t>本指引由本所负责解释。</w:t>
      </w:r>
    </w:p>
    <w:p w14:paraId="153EAD54">
      <w:pPr>
        <w:pStyle w:val="139"/>
        <w:numPr>
          <w:ilvl w:val="1"/>
          <w:numId w:val="0"/>
        </w:numPr>
        <w:snapToGrid w:val="0"/>
        <w:spacing w:line="560" w:lineRule="exact"/>
        <w:ind w:left="0" w:leftChars="0" w:right="0" w:rightChars="0" w:firstLine="600" w:firstLineChars="0"/>
        <w:rPr>
          <w:rFonts w:eastAsia="仿宋_GB2312"/>
          <w:sz w:val="30"/>
          <w:szCs w:val="30"/>
        </w:rPr>
      </w:pPr>
      <w:r>
        <w:rPr>
          <w:rFonts w:hint="eastAsia" w:ascii="仿宋_GB2312" w:hAnsi="仿宋_GB2312" w:eastAsia="仿宋_GB2312" w:cs="Times New Roman"/>
          <w:b/>
          <w:bCs/>
          <w:color w:val="auto"/>
          <w:kern w:val="2"/>
          <w:sz w:val="30"/>
          <w:szCs w:val="30"/>
          <w:lang w:val="en-US" w:eastAsia="zh-CN" w:bidi="ar-SA"/>
        </w:rPr>
        <w:t>第五十九条</w:t>
      </w:r>
      <w:r>
        <w:rPr>
          <w:rFonts w:eastAsia="仿宋_GB2312"/>
          <w:sz w:val="30"/>
          <w:szCs w:val="30"/>
        </w:rPr>
        <w:t>本指引自发布之日起实施。</w:t>
      </w:r>
    </w:p>
    <w:p w14:paraId="79E00396">
      <w:pPr>
        <w:snapToGrid w:val="0"/>
        <w:spacing w:line="560" w:lineRule="exact"/>
        <w:rPr>
          <w:rFonts w:ascii="仿宋_GB2312" w:hAnsi="仿宋_GB2312" w:eastAsia="仿宋_GB2312"/>
          <w:color w:val="000000"/>
          <w:sz w:val="30"/>
          <w:szCs w:val="30"/>
        </w:rPr>
      </w:pPr>
    </w:p>
    <w:p w14:paraId="109D9EC4">
      <w:pPr>
        <w:spacing w:line="560" w:lineRule="exact"/>
        <w:jc w:val="left"/>
        <w:rPr>
          <w:rFonts w:ascii="仿宋_GB2312" w:hAnsi="仿宋_GB2312" w:eastAsia="仿宋_GB2312" w:cs="微软雅黑"/>
          <w:b/>
          <w:color w:val="000000"/>
          <w:sz w:val="30"/>
          <w:szCs w:val="30"/>
        </w:rPr>
      </w:pPr>
    </w:p>
    <w:sectPr>
      <w:footerReference r:id="rId3" w:type="default"/>
      <w:footerReference r:id="rId4" w:type="even"/>
      <w:pgSz w:w="11906" w:h="16838"/>
      <w:pgMar w:top="1440" w:right="1797" w:bottom="1440" w:left="1797" w:header="0" w:footer="992"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panose1 w:val="020B0604020202020204"/>
    <w:charset w:val="86"/>
    <w:family w:val="swiss"/>
    <w:pitch w:val="default"/>
    <w:sig w:usb0="FFFFFFFF" w:usb1="E9FFFFFF" w:usb2="0000003F" w:usb3="00000000" w:csb0="603F01FF" w:csb1="FFFF0000"/>
  </w:font>
  <w:font w:name="Liberation Serif">
    <w:altName w:val="Times New Roman"/>
    <w:panose1 w:val="00000000000000000000"/>
    <w:charset w:val="01"/>
    <w:family w:val="roman"/>
    <w:pitch w:val="default"/>
    <w:sig w:usb0="00000000" w:usb1="00000000" w:usb2="00000000" w:usb3="00000000" w:csb0="00000000" w:csb1="00000000"/>
  </w:font>
  <w:font w:name="华文宋体">
    <w:panose1 w:val="02010600040101010101"/>
    <w:charset w:val="86"/>
    <w:family w:val="auto"/>
    <w:pitch w:val="default"/>
    <w:sig w:usb0="00000287" w:usb1="080F0000" w:usb2="00000000" w:usb3="00000000" w:csb0="0004009F" w:csb1="DFD70000"/>
  </w:font>
  <w:font w:name="宋体;SimSun">
    <w:altName w:val="宋体"/>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AFF" w:usb1="C0007843" w:usb2="00000009" w:usb3="00000000" w:csb0="400001FF" w:csb1="FFFF0000"/>
  </w:font>
  <w:font w:name="黑体;SimHei">
    <w:altName w:val="黑体"/>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2FF" w:usb1="400004FF" w:usb2="00000000" w:usb3="00000000" w:csb0="2000019F" w:csb1="00000000"/>
  </w:font>
  <w:font w:name="Univers">
    <w:altName w:val="Sazanami Mincho"/>
    <w:panose1 w:val="00000000000000000000"/>
    <w:charset w:val="00"/>
    <w:family w:val="swiss"/>
    <w:pitch w:val="default"/>
    <w:sig w:usb0="00000000" w:usb1="00000000" w:usb2="00000000" w:usb3="00000000" w:csb0="00000000" w:csb1="00000000"/>
  </w:font>
  <w:font w:name="MS Mincho;ＭＳ 明朝">
    <w:altName w:val="Sazanami Mincho"/>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AFF" w:usb1="C0007843" w:usb2="00000009" w:usb3="00000000" w:csb0="400001FF" w:csb1="FFFF0000"/>
  </w:font>
  <w:font w:name="汉仪中等线简;Arial Unicode MS">
    <w:altName w:val="Sazanami Mincho"/>
    <w:panose1 w:val="00000000000000000000"/>
    <w:charset w:val="00"/>
    <w:family w:val="auto"/>
    <w:pitch w:val="default"/>
    <w:sig w:usb0="00000000" w:usb1="00000000" w:usb2="00000000" w:usb3="00000000" w:csb0="00000000" w:csb1="00000000"/>
  </w:font>
  <w:font w:name="方正大标宋简体;Arial Unicode MS">
    <w:altName w:val="宋体"/>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 w:name="ClassGarmnd BT;Times New Roman">
    <w:altName w:val="Sazanami Mincho"/>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80F3C52" w:usb2="00000016" w:usb3="00000000" w:csb0="0004001F" w:csb1="00000000"/>
  </w:font>
  <w:font w:name="Helvetica">
    <w:panose1 w:val="020B0604020202030204"/>
    <w:charset w:val="00"/>
    <w:family w:val="auto"/>
    <w:pitch w:val="default"/>
    <w:sig w:usb0="00000000" w:usb1="00000000" w:usb2="00000000" w:usb3="00000000" w:csb0="00000093" w:csb1="00000000"/>
  </w:font>
  <w:font w:name="Frutiger 45 Light;Arial">
    <w:altName w:val="Sazanami Mincho"/>
    <w:panose1 w:val="00000000000000000000"/>
    <w:charset w:val="00"/>
    <w:family w:val="auto"/>
    <w:pitch w:val="default"/>
    <w:sig w:usb0="00000000" w:usb1="00000000" w:usb2="00000000" w:usb3="00000000" w:csb0="00000000" w:csb1="00000000"/>
  </w:font>
  <w:font w:name="华文楷体">
    <w:panose1 w:val="02010600040101010101"/>
    <w:charset w:val="86"/>
    <w:family w:val="auto"/>
    <w:pitch w:val="default"/>
    <w:sig w:usb0="00000287" w:usb1="080F0000" w:usb2="00000000" w:usb3="00000000" w:csb0="0004009F" w:csb1="DFD70000"/>
  </w:font>
  <w:font w:name="等线;汉仪中等线KW">
    <w:altName w:val="Sazanami Mincho"/>
    <w:panose1 w:val="00000000000000000000"/>
    <w:charset w:val="00"/>
    <w:family w:val="auto"/>
    <w:pitch w:val="default"/>
    <w:sig w:usb0="00000000" w:usb1="00000000" w:usb2="00000000" w:usb3="00000000" w:csb0="00000000" w:csb1="00000000"/>
  </w:font>
  <w:font w:name="Sazanami Mincho">
    <w:panose1 w:val="02000009000000000000"/>
    <w:charset w:val="80"/>
    <w:family w:val="auto"/>
    <w:pitch w:val="default"/>
    <w:sig w:usb0="A00002BF" w:usb1="68C7FCFB" w:usb2="00000010" w:usb3="00000000" w:csb0="8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4388A">
    <w:pPr>
      <w:pStyle w:val="12"/>
      <w:jc w:val="right"/>
    </w:pPr>
    <w:r>
      <w:rPr>
        <w:rFonts w:ascii="仿宋_GB2312" w:hAnsi="仿宋_GB2312" w:eastAsia="仿宋_GB2312"/>
        <w:bCs/>
        <w:sz w:val="28"/>
      </w:rPr>
      <w:t>－</w:t>
    </w:r>
    <w:r>
      <w:rPr>
        <w:rFonts w:ascii="仿宋_GB2312" w:hAnsi="仿宋_GB2312" w:eastAsia="仿宋_GB2312"/>
        <w:sz w:val="28"/>
      </w:rPr>
      <w:fldChar w:fldCharType="begin"/>
    </w:r>
    <w:r>
      <w:rPr>
        <w:rFonts w:ascii="仿宋_GB2312" w:hAnsi="仿宋_GB2312" w:eastAsia="仿宋_GB2312"/>
        <w:sz w:val="28"/>
      </w:rPr>
      <w:instrText xml:space="preserve"> PAGE </w:instrText>
    </w:r>
    <w:r>
      <w:rPr>
        <w:rFonts w:ascii="仿宋_GB2312" w:hAnsi="仿宋_GB2312" w:eastAsia="仿宋_GB2312"/>
        <w:sz w:val="28"/>
      </w:rPr>
      <w:fldChar w:fldCharType="separate"/>
    </w:r>
    <w:r>
      <w:rPr>
        <w:rFonts w:ascii="仿宋_GB2312" w:hAnsi="仿宋_GB2312" w:eastAsia="仿宋_GB2312"/>
        <w:sz w:val="28"/>
      </w:rPr>
      <w:t>13</w:t>
    </w:r>
    <w:r>
      <w:rPr>
        <w:rFonts w:ascii="仿宋_GB2312" w:hAnsi="仿宋_GB2312" w:eastAsia="仿宋_GB2312"/>
        <w:sz w:val="28"/>
      </w:rPr>
      <w:fldChar w:fldCharType="end"/>
    </w:r>
    <w:r>
      <w:rPr>
        <w:rFonts w:ascii="仿宋_GB2312" w:hAnsi="仿宋_GB2312" w:eastAsia="仿宋_GB2312"/>
        <w:bCs/>
        <w:sz w:val="28"/>
      </w:rPr>
      <w:t>－</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4605" cy="131445"/>
              <wp:effectExtent l="0" t="0" r="0" b="0"/>
              <wp:wrapSquare wrapText="bothSides"/>
              <wp:docPr id="2" name="Frame1"/>
              <wp:cNvGraphicFramePr/>
              <a:graphic xmlns:a="http://schemas.openxmlformats.org/drawingml/2006/main">
                <a:graphicData uri="http://schemas.microsoft.com/office/word/2010/wordprocessingShape">
                  <wps:wsp>
                    <wps:cNvSpPr txBox="1"/>
                    <wps:spPr>
                      <a:xfrm>
                        <a:off x="0" y="0"/>
                        <a:ext cx="14605" cy="131445"/>
                      </a:xfrm>
                      <a:prstGeom prst="rect">
                        <a:avLst/>
                      </a:prstGeom>
                      <a:solidFill>
                        <a:srgbClr val="FFFFFF">
                          <a:alpha val="0"/>
                        </a:srgbClr>
                      </a:solidFill>
                    </wps:spPr>
                    <wps:txbx>
                      <w:txbxContent>
                        <w:p w14:paraId="68067E6B">
                          <w:pPr>
                            <w:pStyle w:val="12"/>
                            <w:jc w:val="center"/>
                            <w:rPr>
                              <w:rStyle w:val="21"/>
                            </w:rPr>
                          </w:pPr>
                        </w:p>
                      </w:txbxContent>
                    </wps:txbx>
                    <wps:bodyPr lIns="0" tIns="0" rIns="0" bIns="0" anchor="t">
                      <a:noAutofit/>
                    </wps:bodyPr>
                  </wps:wsp>
                </a:graphicData>
              </a:graphic>
            </wp:anchor>
          </w:drawing>
        </mc:Choice>
        <mc:Fallback>
          <w:pict>
            <v:shape id="Frame1" o:spid="_x0000_s1026" o:spt="202" type="#_x0000_t202" style="position:absolute;left:0pt;margin-top:0.05pt;height:10.35pt;width:1.1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iZkn+0QAAAAIBAAAPAAAAAAAAAAEAIAAAACIAAABkcnMvZG93bnJldi54&#10;bWxQSwECFAAUAAAACACHTuJAK3+uV8gBAACyAwAADgAAAAAAAAABACAAAAAgAQAAZHJzL2Uyb0Rv&#10;Yy54bWxQSwUGAAAAAAYABgBZAQAAWgUAAAAA&#10;">
              <v:fill on="t" opacity="0f" focussize="0,0"/>
              <v:stroke on="f"/>
              <v:imagedata o:title=""/>
              <o:lock v:ext="edit" aspectratio="f"/>
              <v:textbox inset="0mm,0mm,0mm,0mm">
                <w:txbxContent>
                  <w:p w14:paraId="68067E6B">
                    <w:pPr>
                      <w:pStyle w:val="12"/>
                      <w:jc w:val="center"/>
                      <w:rPr>
                        <w:rStyle w:val="21"/>
                      </w:rPr>
                    </w:pP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EFA26C">
    <w:pPr>
      <w:pStyle w:val="12"/>
    </w:pPr>
    <w:r>
      <w:rPr>
        <w:rFonts w:ascii="仿宋_GB2312" w:hAnsi="仿宋_GB2312" w:eastAsia="仿宋_GB2312"/>
        <w:bCs/>
        <w:sz w:val="28"/>
      </w:rPr>
      <w:t>－</w:t>
    </w:r>
    <w:r>
      <w:rPr>
        <w:sz w:val="28"/>
      </w:rPr>
      <w:fldChar w:fldCharType="begin"/>
    </w:r>
    <w:r>
      <w:rPr>
        <w:sz w:val="28"/>
      </w:rPr>
      <w:instrText xml:space="preserve"> PAGE </w:instrText>
    </w:r>
    <w:r>
      <w:rPr>
        <w:sz w:val="28"/>
      </w:rPr>
      <w:fldChar w:fldCharType="separate"/>
    </w:r>
    <w:r>
      <w:rPr>
        <w:sz w:val="28"/>
      </w:rPr>
      <w:t>12</w:t>
    </w:r>
    <w:r>
      <w:rPr>
        <w:sz w:val="28"/>
      </w:rPr>
      <w:fldChar w:fldCharType="end"/>
    </w:r>
    <w:r>
      <w:rPr>
        <w:rFonts w:ascii="仿宋_GB2312" w:hAnsi="仿宋_GB2312" w:eastAsia="仿宋_GB2312"/>
        <w:bCs/>
        <w:sz w:val="28"/>
      </w:rPr>
      <w:t>－</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4605" cy="131445"/>
              <wp:effectExtent l="0" t="0" r="0" b="0"/>
              <wp:wrapSquare wrapText="bothSides"/>
              <wp:docPr id="1" name="Frame2"/>
              <wp:cNvGraphicFramePr/>
              <a:graphic xmlns:a="http://schemas.openxmlformats.org/drawingml/2006/main">
                <a:graphicData uri="http://schemas.microsoft.com/office/word/2010/wordprocessingShape">
                  <wps:wsp>
                    <wps:cNvSpPr txBox="1"/>
                    <wps:spPr>
                      <a:xfrm>
                        <a:off x="0" y="0"/>
                        <a:ext cx="14605" cy="131445"/>
                      </a:xfrm>
                      <a:prstGeom prst="rect">
                        <a:avLst/>
                      </a:prstGeom>
                      <a:solidFill>
                        <a:srgbClr val="FFFFFF">
                          <a:alpha val="0"/>
                        </a:srgbClr>
                      </a:solidFill>
                    </wps:spPr>
                    <wps:txbx>
                      <w:txbxContent>
                        <w:p w14:paraId="5799A763">
                          <w:pPr>
                            <w:pStyle w:val="12"/>
                            <w:rPr>
                              <w:rStyle w:val="21"/>
                            </w:rPr>
                          </w:pPr>
                        </w:p>
                      </w:txbxContent>
                    </wps:txbx>
                    <wps:bodyPr lIns="0" tIns="0" rIns="0" bIns="0" anchor="t">
                      <a:noAutofit/>
                    </wps:bodyPr>
                  </wps:wsp>
                </a:graphicData>
              </a:graphic>
            </wp:anchor>
          </w:drawing>
        </mc:Choice>
        <mc:Fallback>
          <w:pict>
            <v:shape id="Frame2" o:spid="_x0000_s1026" o:spt="202" type="#_x0000_t202" style="position:absolute;left:0pt;margin-top:0.05pt;height:10.35pt;width:1.1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iZkn+0QAAAAIBAAAPAAAAAAAAAAEAIAAAACIAAABkcnMvZG93bnJldi54&#10;bWxQSwECFAAUAAAACACHTuJArX6aRsgBAACyAwAADgAAAAAAAAABACAAAAAgAQAAZHJzL2Uyb0Rv&#10;Yy54bWxQSwUGAAAAAAYABgBZAQAAWgUAAAAA&#10;">
              <v:fill on="t" opacity="0f" focussize="0,0"/>
              <v:stroke on="f"/>
              <v:imagedata o:title=""/>
              <o:lock v:ext="edit" aspectratio="f"/>
              <v:textbox inset="0mm,0mm,0mm,0mm">
                <w:txbxContent>
                  <w:p w14:paraId="5799A763">
                    <w:pPr>
                      <w:pStyle w:val="12"/>
                      <w:rPr>
                        <w:rStyle w:val="21"/>
                      </w:rPr>
                    </w:pPr>
                  </w:p>
                </w:txbxContent>
              </v:textbox>
              <w10:wrap type="square"/>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chineseCountingThousand"/>
      <w:pStyle w:val="155"/>
      <w:lvlText w:val="第%1条"/>
      <w:lvlJc w:val="left"/>
      <w:pPr>
        <w:tabs>
          <w:tab w:val="left" w:pos="0"/>
        </w:tabs>
        <w:ind w:left="3045" w:hanging="420"/>
      </w:pPr>
      <w:rPr>
        <w:rFonts w:ascii="仿宋_GB2312" w:hAnsi="仿宋_GB2312" w:eastAsia="仿宋_GB2312" w:cs="Times New Roman"/>
        <w:b/>
        <w:sz w:val="30"/>
        <w:szCs w:val="30"/>
      </w:rPr>
    </w:lvl>
  </w:abstractNum>
  <w:abstractNum w:abstractNumId="1">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pStyle w:val="6"/>
      <w:suff w:val="nothing"/>
      <w:lvlText w:val=""/>
      <w:lvlJc w:val="left"/>
      <w:pPr>
        <w:tabs>
          <w:tab w:val="left" w:pos="0"/>
        </w:tabs>
        <w:ind w:left="0" w:firstLine="0"/>
      </w:pPr>
    </w:lvl>
    <w:lvl w:ilvl="5" w:tentative="0">
      <w:start w:val="1"/>
      <w:numFmt w:val="none"/>
      <w:pStyle w:val="7"/>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2">
    <w:nsid w:val="59ADCABA"/>
    <w:multiLevelType w:val="multilevel"/>
    <w:tmpl w:val="59ADCABA"/>
    <w:lvl w:ilvl="0" w:tentative="0">
      <w:start w:val="1"/>
      <w:numFmt w:val="decimal"/>
      <w:pStyle w:val="165"/>
      <w:lvlText w:val="%1."/>
      <w:lvlJc w:val="left"/>
      <w:pPr>
        <w:tabs>
          <w:tab w:val="left" w:pos="567"/>
        </w:tabs>
        <w:ind w:left="567" w:hanging="567"/>
      </w:pPr>
      <w:rPr>
        <w:rFonts w:ascii="Times New Roman" w:hAnsi="Times New Roman" w:cs="Times New Roman"/>
        <w:color w:val="000000"/>
        <w:sz w:val="24"/>
        <w:szCs w:val="24"/>
      </w:rPr>
    </w:lvl>
    <w:lvl w:ilvl="1" w:tentative="0">
      <w:start w:val="1"/>
      <w:numFmt w:val="decimal"/>
      <w:lvlText w:val="%1.%2."/>
      <w:lvlJc w:val="left"/>
      <w:pPr>
        <w:tabs>
          <w:tab w:val="left" w:pos="851"/>
        </w:tabs>
        <w:ind w:left="851" w:hanging="851"/>
      </w:pPr>
      <w:rPr>
        <w:rFonts w:ascii="Times New Roman" w:hAnsi="Times New Roman" w:cs="Times New Roman"/>
        <w:color w:val="000000"/>
        <w:sz w:val="24"/>
        <w:szCs w:val="24"/>
      </w:rPr>
    </w:lvl>
    <w:lvl w:ilvl="2" w:tentative="0">
      <w:start w:val="1"/>
      <w:numFmt w:val="decimal"/>
      <w:lvlText w:val="%1.%2.%3."/>
      <w:lvlJc w:val="left"/>
      <w:pPr>
        <w:tabs>
          <w:tab w:val="left" w:pos="1134"/>
        </w:tabs>
        <w:ind w:left="1134" w:hanging="1134"/>
      </w:pPr>
      <w:rPr>
        <w:rFonts w:ascii="Times New Roman" w:hAnsi="Times New Roman" w:cs="Times New Roman"/>
        <w:color w:val="000000"/>
        <w:sz w:val="24"/>
        <w:szCs w:val="24"/>
      </w:rPr>
    </w:lvl>
    <w:lvl w:ilvl="3" w:tentative="0">
      <w:start w:val="1"/>
      <w:numFmt w:val="decimal"/>
      <w:lvlText w:val="%1.%2.%3.%4."/>
      <w:lvlJc w:val="left"/>
      <w:pPr>
        <w:tabs>
          <w:tab w:val="left" w:pos="1418"/>
        </w:tabs>
        <w:ind w:left="1418" w:hanging="1418"/>
      </w:pPr>
      <w:rPr>
        <w:rFonts w:ascii="Times New Roman" w:hAnsi="Times New Roman" w:cs="Times New Roman"/>
        <w:color w:val="000000"/>
        <w:sz w:val="24"/>
        <w:szCs w:val="24"/>
      </w:rPr>
    </w:lvl>
    <w:lvl w:ilvl="4" w:tentative="0">
      <w:start w:val="1"/>
      <w:numFmt w:val="decimal"/>
      <w:lvlText w:val="%1.%2.%3.%4.%5."/>
      <w:lvlJc w:val="left"/>
      <w:pPr>
        <w:tabs>
          <w:tab w:val="left" w:pos="1701"/>
        </w:tabs>
        <w:ind w:left="1701" w:hanging="1701"/>
      </w:pPr>
      <w:rPr>
        <w:rFonts w:ascii="Times New Roman" w:hAnsi="Times New Roman" w:cs="Times New Roman"/>
        <w:color w:val="000000"/>
        <w:sz w:val="24"/>
        <w:szCs w:val="24"/>
      </w:rPr>
    </w:lvl>
    <w:lvl w:ilvl="5" w:tentative="0">
      <w:start w:val="1"/>
      <w:numFmt w:val="decimal"/>
      <w:lvlText w:val="%1.%2.%3.%4.%5.%6."/>
      <w:lvlJc w:val="left"/>
      <w:pPr>
        <w:tabs>
          <w:tab w:val="left" w:pos="1985"/>
        </w:tabs>
        <w:ind w:left="1985" w:hanging="1985"/>
      </w:pPr>
      <w:rPr>
        <w:rFonts w:ascii="Times New Roman" w:hAnsi="Times New Roman" w:cs="Times New Roman"/>
        <w:color w:val="000000"/>
        <w:sz w:val="24"/>
        <w:szCs w:val="24"/>
      </w:rPr>
    </w:lvl>
    <w:lvl w:ilvl="6" w:tentative="0">
      <w:start w:val="1"/>
      <w:numFmt w:val="decimal"/>
      <w:lvlText w:val="%1.%2.%3.%4.%5.%6.%7."/>
      <w:lvlJc w:val="left"/>
      <w:pPr>
        <w:tabs>
          <w:tab w:val="left" w:pos="2268"/>
        </w:tabs>
        <w:ind w:left="2268" w:hanging="2268"/>
      </w:pPr>
      <w:rPr>
        <w:rFonts w:ascii="Times New Roman" w:hAnsi="Times New Roman" w:cs="Times New Roman"/>
        <w:color w:val="000000"/>
        <w:sz w:val="24"/>
        <w:szCs w:val="24"/>
      </w:rPr>
    </w:lvl>
    <w:lvl w:ilvl="7" w:tentative="0">
      <w:start w:val="1"/>
      <w:numFmt w:val="decimal"/>
      <w:lvlText w:val="%1.%2.%3.%4.%5.%6.%7.%8."/>
      <w:lvlJc w:val="left"/>
      <w:pPr>
        <w:tabs>
          <w:tab w:val="left" w:pos="2552"/>
        </w:tabs>
        <w:ind w:left="2552" w:hanging="2552"/>
      </w:pPr>
      <w:rPr>
        <w:rFonts w:ascii="Times New Roman" w:hAnsi="Times New Roman" w:cs="Times New Roman"/>
        <w:color w:val="000000"/>
        <w:sz w:val="24"/>
        <w:szCs w:val="24"/>
      </w:rPr>
    </w:lvl>
    <w:lvl w:ilvl="8" w:tentative="0">
      <w:start w:val="1"/>
      <w:numFmt w:val="decimal"/>
      <w:lvlText w:val="%1.%2.%3.%4.%5.%6.%7.%8.%9."/>
      <w:lvlJc w:val="left"/>
      <w:pPr>
        <w:tabs>
          <w:tab w:val="left" w:pos="2835"/>
        </w:tabs>
        <w:ind w:left="2835" w:hanging="2835"/>
      </w:pPr>
      <w:rPr>
        <w:rFonts w:ascii="Univers" w:hAnsi="Univers" w:cs="Times New Roman"/>
        <w:sz w:val="24"/>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autoHyphenation/>
  <w:hyphenationZone w:val="0"/>
  <w:evenAndOddHeaders w:val="1"/>
  <w:compat>
    <w:doNotExpandShiftReturn/>
    <w:useFELayout/>
    <w:compatSetting w:name="compatibilityMode" w:uri="http://schemas.microsoft.com/office/word" w:val="11"/>
  </w:compat>
  <w:rsids>
    <w:rsidRoot w:val="00000000"/>
    <w:rsid w:val="7D631B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华文宋体" w:cs="Arial Unicode M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SimSun" w:cs="Times New Roman"/>
      <w:color w:val="auto"/>
      <w:kern w:val="2"/>
      <w:sz w:val="21"/>
      <w:szCs w:val="20"/>
      <w:lang w:val="en-US" w:eastAsia="zh-CN" w:bidi="ar-SA"/>
    </w:rPr>
  </w:style>
  <w:style w:type="paragraph" w:styleId="2">
    <w:name w:val="heading 1"/>
    <w:basedOn w:val="1"/>
    <w:next w:val="1"/>
    <w:qFormat/>
    <w:uiPriority w:val="0"/>
    <w:pPr>
      <w:keepNext/>
      <w:keepLines/>
      <w:numPr>
        <w:ilvl w:val="0"/>
        <w:numId w:val="1"/>
      </w:numPr>
      <w:spacing w:before="340" w:after="330" w:line="576" w:lineRule="auto"/>
      <w:outlineLvl w:val="0"/>
    </w:pPr>
    <w:rPr>
      <w:b/>
      <w:bCs/>
      <w:kern w:val="2"/>
      <w:sz w:val="44"/>
      <w:szCs w:val="44"/>
      <w:lang w:val="zh-CN"/>
    </w:rPr>
  </w:style>
  <w:style w:type="paragraph" w:styleId="3">
    <w:name w:val="heading 2"/>
    <w:basedOn w:val="1"/>
    <w:next w:val="1"/>
    <w:qFormat/>
    <w:uiPriority w:val="0"/>
    <w:pPr>
      <w:keepNext/>
      <w:keepLines/>
      <w:numPr>
        <w:ilvl w:val="1"/>
        <w:numId w:val="1"/>
      </w:numPr>
      <w:spacing w:before="260" w:after="260" w:line="415" w:lineRule="auto"/>
      <w:outlineLvl w:val="1"/>
    </w:pPr>
    <w:rPr>
      <w:rFonts w:ascii="Arial" w:hAnsi="Arial" w:eastAsia="黑体;SimHei" w:cs="Arial"/>
      <w:b/>
      <w:bCs/>
      <w:kern w:val="0"/>
      <w:sz w:val="32"/>
      <w:szCs w:val="32"/>
      <w:lang w:val="zh-CN"/>
    </w:rPr>
  </w:style>
  <w:style w:type="paragraph" w:styleId="4">
    <w:name w:val="heading 3"/>
    <w:basedOn w:val="1"/>
    <w:next w:val="1"/>
    <w:qFormat/>
    <w:uiPriority w:val="0"/>
    <w:pPr>
      <w:keepNext/>
      <w:keepLines/>
      <w:numPr>
        <w:ilvl w:val="2"/>
        <w:numId w:val="1"/>
      </w:numPr>
      <w:spacing w:before="260" w:after="260" w:line="415" w:lineRule="auto"/>
      <w:outlineLvl w:val="2"/>
    </w:pPr>
    <w:rPr>
      <w:b/>
      <w:bCs/>
      <w:kern w:val="0"/>
      <w:sz w:val="32"/>
      <w:szCs w:val="32"/>
      <w:lang w:val="zh-CN"/>
    </w:rPr>
  </w:style>
  <w:style w:type="paragraph" w:styleId="5">
    <w:name w:val="heading 4"/>
    <w:basedOn w:val="1"/>
    <w:next w:val="1"/>
    <w:qFormat/>
    <w:uiPriority w:val="0"/>
    <w:pPr>
      <w:keepNext/>
      <w:keepLines/>
      <w:numPr>
        <w:ilvl w:val="3"/>
        <w:numId w:val="1"/>
      </w:numPr>
      <w:spacing w:before="280" w:after="290" w:line="374" w:lineRule="auto"/>
      <w:outlineLvl w:val="3"/>
    </w:pPr>
    <w:rPr>
      <w:rFonts w:ascii="Cambria" w:hAnsi="Cambria" w:eastAsia="宋体;SimSun" w:cs="Times New Roman"/>
      <w:b/>
      <w:bCs/>
      <w:sz w:val="28"/>
      <w:szCs w:val="28"/>
    </w:rPr>
  </w:style>
  <w:style w:type="paragraph" w:styleId="6">
    <w:name w:val="heading 5"/>
    <w:basedOn w:val="1"/>
    <w:next w:val="1"/>
    <w:qFormat/>
    <w:uiPriority w:val="0"/>
    <w:pPr>
      <w:keepNext/>
      <w:keepLines/>
      <w:numPr>
        <w:ilvl w:val="4"/>
        <w:numId w:val="1"/>
      </w:numPr>
      <w:spacing w:before="280" w:after="290" w:line="374" w:lineRule="auto"/>
      <w:outlineLvl w:val="4"/>
    </w:pPr>
    <w:rPr>
      <w:b/>
      <w:bCs/>
      <w:sz w:val="28"/>
      <w:szCs w:val="28"/>
    </w:rPr>
  </w:style>
  <w:style w:type="paragraph" w:styleId="7">
    <w:name w:val="heading 6"/>
    <w:basedOn w:val="1"/>
    <w:next w:val="1"/>
    <w:qFormat/>
    <w:uiPriority w:val="0"/>
    <w:pPr>
      <w:keepNext/>
      <w:keepLines/>
      <w:numPr>
        <w:ilvl w:val="5"/>
        <w:numId w:val="1"/>
      </w:numPr>
      <w:spacing w:before="240" w:after="64" w:line="317" w:lineRule="auto"/>
      <w:outlineLvl w:val="5"/>
    </w:pPr>
    <w:rPr>
      <w:rFonts w:ascii="Arial" w:hAnsi="Arial" w:eastAsia="黑体;SimHei" w:cs="Arial"/>
      <w:b/>
      <w:bCs/>
      <w:sz w:val="24"/>
      <w:szCs w:val="24"/>
    </w:rPr>
  </w:style>
  <w:style w:type="character" w:default="1" w:styleId="18">
    <w:name w:val="Default Paragraph Font"/>
    <w:semiHidden/>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8">
    <w:name w:val="caption"/>
    <w:basedOn w:val="1"/>
    <w:qFormat/>
    <w:uiPriority w:val="0"/>
    <w:pPr>
      <w:suppressLineNumbers/>
      <w:spacing w:before="120" w:after="120"/>
    </w:pPr>
    <w:rPr>
      <w:rFonts w:cs="Arial Unicode MS"/>
      <w:i/>
      <w:iCs/>
      <w:sz w:val="24"/>
      <w:szCs w:val="24"/>
    </w:rPr>
  </w:style>
  <w:style w:type="paragraph" w:styleId="9">
    <w:name w:val="Body Text"/>
    <w:basedOn w:val="1"/>
    <w:qFormat/>
    <w:uiPriority w:val="0"/>
    <w:pPr>
      <w:spacing w:before="0" w:after="120"/>
    </w:pPr>
    <w:rPr>
      <w:rFonts w:eastAsia="Times New Roman"/>
      <w:szCs w:val="24"/>
      <w:lang w:val="zh-CN" w:eastAsia="zh-CN"/>
    </w:rPr>
  </w:style>
  <w:style w:type="paragraph" w:styleId="10">
    <w:name w:val="Body Text Indent"/>
    <w:basedOn w:val="1"/>
    <w:uiPriority w:val="0"/>
    <w:pPr>
      <w:tabs>
        <w:tab w:val="left" w:pos="7020"/>
      </w:tabs>
      <w:spacing w:line="600" w:lineRule="exact"/>
      <w:ind w:left="0" w:right="0" w:firstLine="600"/>
    </w:pPr>
    <w:rPr>
      <w:rFonts w:ascii="仿宋_GB2312" w:hAnsi="仿宋_GB2312" w:eastAsia="仿宋_GB2312"/>
      <w:sz w:val="30"/>
      <w:szCs w:val="24"/>
    </w:rPr>
  </w:style>
  <w:style w:type="paragraph" w:styleId="11">
    <w:name w:val="endnote text"/>
    <w:basedOn w:val="1"/>
    <w:uiPriority w:val="0"/>
    <w:pPr>
      <w:snapToGrid w:val="0"/>
      <w:jc w:val="left"/>
    </w:pPr>
    <w:rPr>
      <w:kern w:val="0"/>
      <w:sz w:val="24"/>
      <w:szCs w:val="24"/>
      <w:lang w:val="zh-CN"/>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14">
    <w:name w:val="Subtitle"/>
    <w:basedOn w:val="1"/>
    <w:next w:val="1"/>
    <w:qFormat/>
    <w:uiPriority w:val="0"/>
    <w:pPr>
      <w:spacing w:before="240" w:after="60" w:line="312" w:lineRule="auto"/>
      <w:jc w:val="center"/>
      <w:outlineLvl w:val="1"/>
    </w:pPr>
    <w:rPr>
      <w:rFonts w:ascii="Cambria" w:hAnsi="Cambria" w:cs="Times New Roman"/>
      <w:b/>
      <w:bCs/>
      <w:kern w:val="2"/>
      <w:sz w:val="32"/>
      <w:szCs w:val="32"/>
    </w:rPr>
  </w:style>
  <w:style w:type="paragraph" w:styleId="15">
    <w:name w:val="List"/>
    <w:basedOn w:val="9"/>
    <w:qFormat/>
    <w:uiPriority w:val="0"/>
    <w:rPr>
      <w:rFonts w:cs="Arial Unicode MS"/>
    </w:rPr>
  </w:style>
  <w:style w:type="paragraph" w:styleId="16">
    <w:name w:val="footnote text"/>
    <w:basedOn w:val="1"/>
    <w:qFormat/>
    <w:uiPriority w:val="0"/>
    <w:pPr>
      <w:snapToGrid w:val="0"/>
      <w:jc w:val="left"/>
    </w:pPr>
    <w:rPr>
      <w:rFonts w:eastAsia="Times New Roman"/>
      <w:sz w:val="18"/>
      <w:szCs w:val="18"/>
      <w:lang w:val="zh-CN" w:eastAsia="zh-CN"/>
    </w:rPr>
  </w:style>
  <w:style w:type="character" w:styleId="19">
    <w:name w:val="Strong"/>
    <w:basedOn w:val="20"/>
    <w:qFormat/>
    <w:uiPriority w:val="0"/>
    <w:rPr>
      <w:b/>
      <w:bCs/>
    </w:rPr>
  </w:style>
  <w:style w:type="character" w:customStyle="1" w:styleId="20">
    <w:name w:val="默认段落字体1"/>
    <w:qFormat/>
    <w:uiPriority w:val="0"/>
  </w:style>
  <w:style w:type="character" w:styleId="21">
    <w:name w:val="page number"/>
    <w:basedOn w:val="20"/>
    <w:qFormat/>
    <w:uiPriority w:val="0"/>
  </w:style>
  <w:style w:type="character" w:styleId="22">
    <w:name w:val="FollowedHyperlink"/>
    <w:basedOn w:val="20"/>
    <w:qFormat/>
    <w:uiPriority w:val="0"/>
    <w:rPr>
      <w:color w:val="800080"/>
      <w:u w:val="single"/>
    </w:rPr>
  </w:style>
  <w:style w:type="character" w:styleId="23">
    <w:name w:val="Hyperlink"/>
    <w:uiPriority w:val="0"/>
    <w:rPr>
      <w:rFonts w:cs="Times New Roman"/>
      <w:color w:val="0000FF"/>
      <w:u w:val="single"/>
    </w:rPr>
  </w:style>
  <w:style w:type="character" w:customStyle="1" w:styleId="24">
    <w:name w:val="WW8Num1z0"/>
    <w:qFormat/>
    <w:uiPriority w:val="0"/>
    <w:rPr>
      <w:rFonts w:ascii="Times New Roman" w:hAnsi="Times New Roman" w:cs="Times New Roman"/>
      <w:color w:val="000000"/>
      <w:sz w:val="24"/>
      <w:szCs w:val="24"/>
    </w:rPr>
  </w:style>
  <w:style w:type="character" w:customStyle="1" w:styleId="25">
    <w:name w:val="WW8Num1z8"/>
    <w:qFormat/>
    <w:uiPriority w:val="0"/>
    <w:rPr>
      <w:rFonts w:ascii="Univers" w:hAnsi="Univers" w:cs="Times New Roman"/>
      <w:sz w:val="24"/>
    </w:rPr>
  </w:style>
  <w:style w:type="character" w:customStyle="1" w:styleId="26">
    <w:name w:val="WW8Num2z0"/>
    <w:qFormat/>
    <w:uiPriority w:val="0"/>
    <w:rPr>
      <w:rFonts w:cs="Times New Roman"/>
      <w:b/>
      <w:color w:val="000000"/>
      <w:sz w:val="24"/>
      <w:u w:val="none"/>
    </w:rPr>
  </w:style>
  <w:style w:type="character" w:customStyle="1" w:styleId="27">
    <w:name w:val="WW8Num2z1"/>
    <w:qFormat/>
    <w:uiPriority w:val="0"/>
    <w:rPr>
      <w:rFonts w:ascii="Times New Roman" w:hAnsi="Times New Roman" w:eastAsia="MS Mincho;ＭＳ 明朝" w:cs="Times New Roman"/>
      <w:color w:val="000000"/>
      <w:kern w:val="2"/>
      <w:sz w:val="24"/>
      <w:szCs w:val="24"/>
      <w:lang w:val="en-AU"/>
    </w:rPr>
  </w:style>
  <w:style w:type="character" w:customStyle="1" w:styleId="28">
    <w:name w:val="WW8Num2z2"/>
    <w:qFormat/>
    <w:uiPriority w:val="0"/>
    <w:rPr>
      <w:rFonts w:ascii="Times New Roman" w:hAnsi="Times New Roman" w:eastAsia="MS Mincho;ＭＳ 明朝" w:cs="Times New Roman"/>
      <w:color w:val="000000"/>
      <w:sz w:val="24"/>
      <w:szCs w:val="24"/>
    </w:rPr>
  </w:style>
  <w:style w:type="character" w:customStyle="1" w:styleId="29">
    <w:name w:val="WW8Num3z0"/>
    <w:qFormat/>
    <w:uiPriority w:val="0"/>
    <w:rPr>
      <w:rFonts w:cs="Times New Roman"/>
      <w:color w:val="000000"/>
      <w:sz w:val="24"/>
    </w:rPr>
  </w:style>
  <w:style w:type="character" w:customStyle="1" w:styleId="30">
    <w:name w:val="WW8Num4z0"/>
    <w:qFormat/>
    <w:uiPriority w:val="0"/>
    <w:rPr>
      <w:rFonts w:ascii="Times New Roman" w:hAnsi="Times New Roman" w:cs="Times New Roman"/>
      <w:color w:val="000000"/>
      <w:sz w:val="24"/>
      <w:szCs w:val="24"/>
    </w:rPr>
  </w:style>
  <w:style w:type="character" w:customStyle="1" w:styleId="31">
    <w:name w:val="WW8Num5z0"/>
    <w:qFormat/>
    <w:uiPriority w:val="0"/>
    <w:rPr>
      <w:rFonts w:ascii="Times New Roman" w:hAnsi="Times New Roman" w:eastAsia="MS Mincho;ＭＳ 明朝" w:cs="Times New Roman"/>
      <w:color w:val="000000"/>
      <w:sz w:val="24"/>
      <w:szCs w:val="24"/>
    </w:rPr>
  </w:style>
  <w:style w:type="character" w:customStyle="1" w:styleId="32">
    <w:name w:val="WW8Num6z0"/>
    <w:qFormat/>
    <w:uiPriority w:val="0"/>
    <w:rPr>
      <w:lang w:val="en-US"/>
    </w:rPr>
  </w:style>
  <w:style w:type="character" w:customStyle="1" w:styleId="33">
    <w:name w:val="WW8Num8z0"/>
    <w:qFormat/>
    <w:uiPriority w:val="0"/>
    <w:rPr>
      <w:rFonts w:ascii="仿宋_GB2312" w:hAnsi="仿宋_GB2312" w:eastAsia="仿宋_GB2312" w:cs="Times New Roman"/>
      <w:b/>
      <w:color w:val="000000"/>
      <w:sz w:val="30"/>
      <w:szCs w:val="30"/>
      <w:lang w:val="en-US"/>
    </w:rPr>
  </w:style>
  <w:style w:type="character" w:customStyle="1" w:styleId="34">
    <w:name w:val="WW8Num9z0"/>
    <w:qFormat/>
    <w:uiPriority w:val="0"/>
    <w:rPr>
      <w:rFonts w:cs="Times New Roman"/>
      <w:b/>
      <w:color w:val="000000"/>
      <w:sz w:val="24"/>
      <w:u w:val="none"/>
    </w:rPr>
  </w:style>
  <w:style w:type="character" w:customStyle="1" w:styleId="35">
    <w:name w:val="WW8Num9z1"/>
    <w:qFormat/>
    <w:uiPriority w:val="0"/>
    <w:rPr>
      <w:rFonts w:ascii="Times New Roman" w:hAnsi="Times New Roman" w:eastAsia="MS Mincho;ＭＳ 明朝" w:cs="Times New Roman"/>
      <w:color w:val="000000"/>
      <w:kern w:val="2"/>
      <w:sz w:val="24"/>
      <w:szCs w:val="24"/>
    </w:rPr>
  </w:style>
  <w:style w:type="character" w:customStyle="1" w:styleId="36">
    <w:name w:val="WW8Num9z2"/>
    <w:qFormat/>
    <w:uiPriority w:val="0"/>
    <w:rPr>
      <w:rFonts w:ascii="Times New Roman" w:hAnsi="Times New Roman" w:eastAsia="MS Mincho;ＭＳ 明朝" w:cs="Times New Roman"/>
      <w:color w:val="000000"/>
      <w:sz w:val="24"/>
      <w:szCs w:val="24"/>
    </w:rPr>
  </w:style>
  <w:style w:type="character" w:customStyle="1" w:styleId="37">
    <w:name w:val="WW8Num11z0"/>
    <w:qFormat/>
    <w:uiPriority w:val="0"/>
  </w:style>
  <w:style w:type="character" w:customStyle="1" w:styleId="38">
    <w:name w:val="WW8Num12z0"/>
    <w:qFormat/>
    <w:uiPriority w:val="0"/>
  </w:style>
  <w:style w:type="character" w:customStyle="1" w:styleId="39">
    <w:name w:val="WW8Num12z1"/>
    <w:qFormat/>
    <w:uiPriority w:val="0"/>
    <w:rPr>
      <w:rFonts w:ascii="仿宋_GB2312" w:hAnsi="仿宋_GB2312" w:eastAsia="仿宋_GB2312"/>
      <w:sz w:val="30"/>
      <w:szCs w:val="30"/>
      <w:lang w:val="en-US"/>
    </w:rPr>
  </w:style>
  <w:style w:type="character" w:customStyle="1" w:styleId="40">
    <w:name w:val="WW8Num13z0"/>
    <w:qFormat/>
    <w:uiPriority w:val="0"/>
    <w:rPr>
      <w:rFonts w:ascii="仿宋_GB2312" w:hAnsi="仿宋_GB2312" w:eastAsia="仿宋_GB2312" w:cs="Times New Roman"/>
      <w:b/>
      <w:sz w:val="30"/>
      <w:szCs w:val="30"/>
    </w:rPr>
  </w:style>
  <w:style w:type="character" w:customStyle="1" w:styleId="41">
    <w:name w:val="WW8Num13z1"/>
    <w:qFormat/>
    <w:uiPriority w:val="0"/>
    <w:rPr>
      <w:rFonts w:ascii="仿宋_GB2312" w:hAnsi="仿宋_GB2312" w:eastAsia="仿宋_GB2312" w:cs="Times New Roman"/>
      <w:spacing w:val="0"/>
      <w:w w:val="100"/>
      <w:kern w:val="0"/>
      <w:position w:val="0"/>
      <w:sz w:val="32"/>
      <w:szCs w:val="32"/>
      <w:u w:val="none"/>
      <w:vertAlign w:val="baseline"/>
    </w:rPr>
  </w:style>
  <w:style w:type="character" w:customStyle="1" w:styleId="42">
    <w:name w:val="WW8Num13z2"/>
    <w:qFormat/>
    <w:uiPriority w:val="0"/>
    <w:rPr>
      <w:rFonts w:cs="Times New Roman"/>
    </w:rPr>
  </w:style>
  <w:style w:type="character" w:customStyle="1" w:styleId="43">
    <w:name w:val="WW8Num14z0"/>
    <w:qFormat/>
    <w:uiPriority w:val="0"/>
    <w:rPr>
      <w:rFonts w:ascii="仿宋_GB2312" w:hAnsi="仿宋_GB2312" w:eastAsia="仿宋_GB2312"/>
      <w:bCs/>
      <w:sz w:val="30"/>
      <w:lang w:val="en-US"/>
    </w:rPr>
  </w:style>
  <w:style w:type="character" w:customStyle="1" w:styleId="44">
    <w:name w:val="WW8Num15z0"/>
    <w:qFormat/>
    <w:uiPriority w:val="0"/>
    <w:rPr>
      <w:rFonts w:ascii="仿宋_GB2312" w:hAnsi="仿宋_GB2312" w:eastAsia="仿宋_GB2312" w:cs="Times New Roman"/>
      <w:b/>
      <w:color w:val="000000"/>
      <w:sz w:val="30"/>
      <w:szCs w:val="30"/>
    </w:rPr>
  </w:style>
  <w:style w:type="character" w:customStyle="1" w:styleId="45">
    <w:name w:val="标题 1 Char"/>
    <w:qFormat/>
    <w:uiPriority w:val="0"/>
    <w:rPr>
      <w:rFonts w:eastAsia="宋体;SimSun"/>
      <w:b/>
      <w:bCs/>
      <w:kern w:val="2"/>
      <w:sz w:val="44"/>
      <w:szCs w:val="44"/>
      <w:lang w:val="zh-CN" w:bidi="ar-SA"/>
    </w:rPr>
  </w:style>
  <w:style w:type="character" w:customStyle="1" w:styleId="46">
    <w:name w:val="标题 2 Char"/>
    <w:qFormat/>
    <w:uiPriority w:val="0"/>
    <w:rPr>
      <w:rFonts w:ascii="Arial" w:hAnsi="Arial" w:eastAsia="黑体;SimHei" w:cs="Arial"/>
      <w:b/>
      <w:bCs/>
      <w:sz w:val="32"/>
      <w:szCs w:val="32"/>
      <w:lang w:val="zh-CN" w:bidi="ar-SA"/>
    </w:rPr>
  </w:style>
  <w:style w:type="character" w:customStyle="1" w:styleId="47">
    <w:name w:val="标题 3 Char"/>
    <w:qFormat/>
    <w:uiPriority w:val="0"/>
    <w:rPr>
      <w:rFonts w:eastAsia="宋体;SimSun"/>
      <w:b/>
      <w:bCs/>
      <w:sz w:val="32"/>
      <w:szCs w:val="32"/>
      <w:lang w:val="zh-CN" w:bidi="ar-SA"/>
    </w:rPr>
  </w:style>
  <w:style w:type="character" w:customStyle="1" w:styleId="48">
    <w:name w:val="标题 4 Char"/>
    <w:basedOn w:val="20"/>
    <w:qFormat/>
    <w:uiPriority w:val="0"/>
    <w:rPr>
      <w:rFonts w:ascii="Cambria" w:hAnsi="Cambria" w:eastAsia="宋体;SimSun" w:cs="Times New Roman"/>
      <w:b/>
      <w:bCs/>
      <w:kern w:val="2"/>
      <w:sz w:val="28"/>
      <w:szCs w:val="28"/>
    </w:rPr>
  </w:style>
  <w:style w:type="character" w:customStyle="1" w:styleId="49">
    <w:name w:val="标题 5 Char"/>
    <w:basedOn w:val="20"/>
    <w:qFormat/>
    <w:uiPriority w:val="0"/>
    <w:rPr>
      <w:b/>
      <w:bCs/>
      <w:kern w:val="2"/>
      <w:sz w:val="28"/>
      <w:szCs w:val="28"/>
    </w:rPr>
  </w:style>
  <w:style w:type="character" w:customStyle="1" w:styleId="50">
    <w:name w:val="标题 6 Char"/>
    <w:basedOn w:val="20"/>
    <w:qFormat/>
    <w:uiPriority w:val="0"/>
    <w:rPr>
      <w:rFonts w:ascii="Arial" w:hAnsi="Arial" w:eastAsia="黑体;SimHei" w:cs="Arial"/>
      <w:b/>
      <w:bCs/>
      <w:kern w:val="2"/>
      <w:sz w:val="24"/>
      <w:szCs w:val="24"/>
    </w:rPr>
  </w:style>
  <w:style w:type="character" w:customStyle="1" w:styleId="51">
    <w:name w:val="页脚 Char"/>
    <w:qFormat/>
    <w:uiPriority w:val="0"/>
    <w:rPr>
      <w:rFonts w:eastAsia="宋体;SimSun"/>
      <w:kern w:val="2"/>
      <w:sz w:val="18"/>
      <w:szCs w:val="18"/>
      <w:lang w:val="en-US" w:eastAsia="zh-CN" w:bidi="ar-SA"/>
    </w:rPr>
  </w:style>
  <w:style w:type="character" w:customStyle="1" w:styleId="52">
    <w:name w:val="正文文本缩进 Char"/>
    <w:basedOn w:val="20"/>
    <w:qFormat/>
    <w:uiPriority w:val="0"/>
    <w:rPr>
      <w:rFonts w:ascii="仿宋_GB2312" w:hAnsi="仿宋_GB2312" w:eastAsia="仿宋_GB2312"/>
      <w:kern w:val="2"/>
      <w:sz w:val="30"/>
      <w:szCs w:val="24"/>
      <w:lang w:val="en-US" w:eastAsia="zh-CN" w:bidi="ar-SA"/>
    </w:rPr>
  </w:style>
  <w:style w:type="character" w:customStyle="1" w:styleId="53">
    <w:name w:val="页眉 Char"/>
    <w:qFormat/>
    <w:uiPriority w:val="0"/>
    <w:rPr>
      <w:rFonts w:eastAsia="宋体;SimSun"/>
      <w:kern w:val="2"/>
      <w:sz w:val="18"/>
      <w:szCs w:val="18"/>
      <w:lang w:val="en-US" w:eastAsia="zh-CN" w:bidi="ar-SA"/>
    </w:rPr>
  </w:style>
  <w:style w:type="character" w:customStyle="1" w:styleId="54">
    <w:name w:val="批注框文本 Char"/>
    <w:qFormat/>
    <w:uiPriority w:val="0"/>
    <w:rPr>
      <w:rFonts w:eastAsia="宋体;SimSun"/>
      <w:kern w:val="2"/>
      <w:sz w:val="18"/>
      <w:szCs w:val="18"/>
      <w:lang w:val="en-US" w:eastAsia="zh-CN" w:bidi="ar-SA"/>
    </w:rPr>
  </w:style>
  <w:style w:type="character" w:customStyle="1" w:styleId="55">
    <w:name w:val="日期 Char"/>
    <w:basedOn w:val="20"/>
    <w:qFormat/>
    <w:uiPriority w:val="0"/>
    <w:rPr>
      <w:rFonts w:ascii="楷体_GB2312" w:hAnsi="楷体_GB2312" w:eastAsia="楷体_GB2312"/>
      <w:kern w:val="2"/>
      <w:sz w:val="32"/>
      <w:lang w:val="en-US" w:eastAsia="zh-CN" w:bidi="ar-SA"/>
    </w:rPr>
  </w:style>
  <w:style w:type="character" w:customStyle="1" w:styleId="56">
    <w:name w:val="dash6b63_6587__char"/>
    <w:basedOn w:val="20"/>
    <w:qFormat/>
    <w:uiPriority w:val="0"/>
  </w:style>
  <w:style w:type="character" w:customStyle="1" w:styleId="57">
    <w:name w:val="dash6b63_005f6587_005f_005fchar__char"/>
    <w:basedOn w:val="20"/>
    <w:qFormat/>
    <w:uiPriority w:val="0"/>
  </w:style>
  <w:style w:type="character" w:customStyle="1" w:styleId="58">
    <w:name w:val="纯文本 Char"/>
    <w:basedOn w:val="20"/>
    <w:qFormat/>
    <w:uiPriority w:val="0"/>
    <w:rPr>
      <w:rFonts w:ascii="宋体;SimSun" w:hAnsi="宋体;SimSun" w:eastAsia="宋体;SimSun" w:cs="Courier New"/>
      <w:kern w:val="2"/>
      <w:sz w:val="21"/>
      <w:szCs w:val="21"/>
      <w:lang w:val="en-US" w:eastAsia="zh-CN" w:bidi="ar-SA"/>
    </w:rPr>
  </w:style>
  <w:style w:type="character" w:customStyle="1" w:styleId="59">
    <w:name w:val="正文文本 2 Char"/>
    <w:qFormat/>
    <w:uiPriority w:val="0"/>
    <w:rPr>
      <w:rFonts w:ascii="宋体;SimSun" w:hAnsi="宋体;SimSun" w:eastAsia="宋体;SimSun" w:cs="Courier New"/>
      <w:sz w:val="21"/>
      <w:szCs w:val="21"/>
      <w:lang w:val="zh-CN" w:bidi="ar-SA"/>
    </w:rPr>
  </w:style>
  <w:style w:type="character" w:customStyle="1" w:styleId="60">
    <w:name w:val="列出段落 Char"/>
    <w:qFormat/>
    <w:uiPriority w:val="0"/>
    <w:rPr>
      <w:kern w:val="2"/>
      <w:sz w:val="21"/>
      <w:szCs w:val="24"/>
    </w:rPr>
  </w:style>
  <w:style w:type="character" w:customStyle="1" w:styleId="61">
    <w:name w:val="尾注文本 Char"/>
    <w:qFormat/>
    <w:uiPriority w:val="0"/>
    <w:rPr>
      <w:rFonts w:eastAsia="宋体;SimSun"/>
      <w:sz w:val="24"/>
      <w:szCs w:val="24"/>
      <w:lang w:val="zh-CN" w:bidi="ar-SA"/>
    </w:rPr>
  </w:style>
  <w:style w:type="character" w:customStyle="1" w:styleId="62">
    <w:name w:val="Endnote Characters"/>
    <w:qFormat/>
    <w:uiPriority w:val="0"/>
    <w:rPr>
      <w:rFonts w:cs="Times New Roman"/>
      <w:vertAlign w:val="superscript"/>
    </w:rPr>
  </w:style>
  <w:style w:type="character" w:customStyle="1" w:styleId="63">
    <w:name w:val="批注引用1"/>
    <w:qFormat/>
    <w:uiPriority w:val="0"/>
    <w:rPr>
      <w:rFonts w:cs="Times New Roman"/>
      <w:sz w:val="21"/>
      <w:szCs w:val="21"/>
    </w:rPr>
  </w:style>
  <w:style w:type="character" w:customStyle="1" w:styleId="64">
    <w:name w:val="批注文字 Char"/>
    <w:qFormat/>
    <w:uiPriority w:val="0"/>
    <w:rPr>
      <w:rFonts w:eastAsia="宋体;SimSun"/>
      <w:sz w:val="24"/>
      <w:szCs w:val="24"/>
      <w:lang w:val="zh-CN" w:bidi="ar-SA"/>
    </w:rPr>
  </w:style>
  <w:style w:type="character" w:customStyle="1" w:styleId="65">
    <w:name w:val="内页正文 Char"/>
    <w:qFormat/>
    <w:uiPriority w:val="0"/>
    <w:rPr>
      <w:rFonts w:ascii="Arial" w:hAnsi="Arial" w:eastAsia="汉仪中等线简;Arial Unicode MS" w:cs="Arial"/>
      <w:color w:val="000000"/>
      <w:sz w:val="18"/>
      <w:szCs w:val="18"/>
      <w:lang w:bidi="ar-SA"/>
    </w:rPr>
  </w:style>
  <w:style w:type="character" w:customStyle="1" w:styleId="66">
    <w:name w:val=" Char Char15"/>
    <w:basedOn w:val="20"/>
    <w:qFormat/>
    <w:uiPriority w:val="0"/>
    <w:rPr>
      <w:rFonts w:eastAsia="宋体;SimSun"/>
      <w:b/>
      <w:bCs/>
      <w:kern w:val="2"/>
      <w:sz w:val="44"/>
      <w:szCs w:val="44"/>
      <w:lang w:val="en-US" w:eastAsia="zh-CN" w:bidi="ar-SA"/>
    </w:rPr>
  </w:style>
  <w:style w:type="character" w:customStyle="1" w:styleId="67">
    <w:name w:val=" Char Char14"/>
    <w:basedOn w:val="20"/>
    <w:qFormat/>
    <w:uiPriority w:val="0"/>
    <w:rPr>
      <w:rFonts w:eastAsia="宋体;SimSun"/>
      <w:b/>
      <w:bCs/>
      <w:kern w:val="2"/>
      <w:sz w:val="32"/>
      <w:szCs w:val="32"/>
      <w:lang w:val="en-US" w:eastAsia="zh-CN" w:bidi="ar-SA"/>
    </w:rPr>
  </w:style>
  <w:style w:type="character" w:customStyle="1" w:styleId="68">
    <w:name w:val=" Char Char13"/>
    <w:basedOn w:val="20"/>
    <w:qFormat/>
    <w:uiPriority w:val="0"/>
    <w:rPr>
      <w:rFonts w:eastAsia="宋体;SimSun"/>
      <w:kern w:val="2"/>
      <w:sz w:val="18"/>
      <w:szCs w:val="18"/>
      <w:lang w:val="en-US" w:eastAsia="zh-CN" w:bidi="ar-SA"/>
    </w:rPr>
  </w:style>
  <w:style w:type="character" w:customStyle="1" w:styleId="69">
    <w:name w:val=" Char Char12"/>
    <w:basedOn w:val="20"/>
    <w:qFormat/>
    <w:uiPriority w:val="0"/>
    <w:rPr>
      <w:rFonts w:eastAsia="宋体;SimSun"/>
      <w:kern w:val="2"/>
      <w:sz w:val="18"/>
      <w:szCs w:val="18"/>
      <w:lang w:val="en-US" w:eastAsia="zh-CN" w:bidi="ar-SA"/>
    </w:rPr>
  </w:style>
  <w:style w:type="character" w:customStyle="1" w:styleId="70">
    <w:name w:val="正文文本缩进 Char1"/>
    <w:basedOn w:val="20"/>
    <w:qFormat/>
    <w:uiPriority w:val="0"/>
    <w:rPr>
      <w:kern w:val="2"/>
      <w:sz w:val="21"/>
      <w:szCs w:val="24"/>
    </w:rPr>
  </w:style>
  <w:style w:type="character" w:customStyle="1" w:styleId="71">
    <w:name w:val="日期 Char1"/>
    <w:basedOn w:val="20"/>
    <w:qFormat/>
    <w:uiPriority w:val="0"/>
    <w:rPr>
      <w:kern w:val="2"/>
      <w:sz w:val="21"/>
      <w:szCs w:val="24"/>
    </w:rPr>
  </w:style>
  <w:style w:type="character" w:customStyle="1" w:styleId="72">
    <w:name w:val="正文文本 Char"/>
    <w:basedOn w:val="20"/>
    <w:qFormat/>
    <w:uiPriority w:val="0"/>
    <w:rPr>
      <w:rFonts w:eastAsia="Times New Roman"/>
      <w:kern w:val="2"/>
      <w:sz w:val="21"/>
      <w:szCs w:val="24"/>
      <w:lang w:val="zh-CN" w:eastAsia="zh-CN"/>
    </w:rPr>
  </w:style>
  <w:style w:type="character" w:customStyle="1" w:styleId="73">
    <w:name w:val="正文文本 Char1"/>
    <w:basedOn w:val="20"/>
    <w:qFormat/>
    <w:uiPriority w:val="0"/>
    <w:rPr>
      <w:kern w:val="2"/>
      <w:sz w:val="21"/>
      <w:szCs w:val="24"/>
    </w:rPr>
  </w:style>
  <w:style w:type="character" w:customStyle="1" w:styleId="74">
    <w:name w:val="批注框文本 Char1"/>
    <w:basedOn w:val="20"/>
    <w:qFormat/>
    <w:uiPriority w:val="0"/>
    <w:rPr>
      <w:kern w:val="2"/>
      <w:sz w:val="18"/>
      <w:szCs w:val="18"/>
    </w:rPr>
  </w:style>
  <w:style w:type="character" w:customStyle="1" w:styleId="75">
    <w:name w:val="正文文本缩进 2 Char"/>
    <w:basedOn w:val="20"/>
    <w:qFormat/>
    <w:uiPriority w:val="0"/>
    <w:rPr>
      <w:rFonts w:ascii="仿宋_GB2312" w:hAnsi="仿宋_GB2312" w:eastAsia="仿宋_GB2312" w:cs="宋体;SimSun"/>
      <w:kern w:val="2"/>
      <w:sz w:val="30"/>
      <w:szCs w:val="30"/>
      <w:lang w:val="zh-CN" w:eastAsia="zh-CN"/>
    </w:rPr>
  </w:style>
  <w:style w:type="character" w:customStyle="1" w:styleId="76">
    <w:name w:val="正文文本缩进 2 Char1"/>
    <w:basedOn w:val="20"/>
    <w:qFormat/>
    <w:uiPriority w:val="0"/>
    <w:rPr>
      <w:kern w:val="2"/>
      <w:sz w:val="21"/>
      <w:szCs w:val="24"/>
    </w:rPr>
  </w:style>
  <w:style w:type="character" w:customStyle="1" w:styleId="77">
    <w:name w:val="正文文本 2 Char1"/>
    <w:basedOn w:val="20"/>
    <w:qFormat/>
    <w:uiPriority w:val="0"/>
    <w:rPr>
      <w:kern w:val="2"/>
      <w:sz w:val="21"/>
      <w:szCs w:val="24"/>
    </w:rPr>
  </w:style>
  <w:style w:type="character" w:customStyle="1" w:styleId="78">
    <w:name w:val="正文文本缩进 3 Char"/>
    <w:basedOn w:val="20"/>
    <w:qFormat/>
    <w:uiPriority w:val="0"/>
    <w:rPr>
      <w:rFonts w:ascii="仿宋_GB2312" w:hAnsi="仿宋_GB2312" w:eastAsia="仿宋_GB2312"/>
      <w:sz w:val="30"/>
      <w:szCs w:val="28"/>
      <w:lang w:val="zh-CN" w:eastAsia="zh-CN"/>
    </w:rPr>
  </w:style>
  <w:style w:type="character" w:customStyle="1" w:styleId="79">
    <w:name w:val="正文文本缩进 3 Char1"/>
    <w:basedOn w:val="20"/>
    <w:qFormat/>
    <w:uiPriority w:val="0"/>
    <w:rPr>
      <w:kern w:val="2"/>
      <w:sz w:val="16"/>
      <w:szCs w:val="16"/>
    </w:rPr>
  </w:style>
  <w:style w:type="character" w:customStyle="1" w:styleId="80">
    <w:name w:val="正文文本 3 Char"/>
    <w:basedOn w:val="20"/>
    <w:qFormat/>
    <w:uiPriority w:val="0"/>
    <w:rPr>
      <w:rFonts w:ascii="方正大标宋简体;Arial Unicode MS" w:hAnsi="方正大标宋简体;Arial Unicode MS" w:eastAsia="方正大标宋简体;Arial Unicode MS" w:cs="宋体;SimSun"/>
      <w:bCs/>
      <w:kern w:val="2"/>
      <w:sz w:val="42"/>
      <w:szCs w:val="42"/>
      <w:lang w:val="zh-CN" w:eastAsia="zh-CN"/>
    </w:rPr>
  </w:style>
  <w:style w:type="character" w:customStyle="1" w:styleId="81">
    <w:name w:val="正文文本 3 Char1"/>
    <w:basedOn w:val="20"/>
    <w:qFormat/>
    <w:uiPriority w:val="0"/>
    <w:rPr>
      <w:kern w:val="2"/>
      <w:sz w:val="16"/>
      <w:szCs w:val="16"/>
    </w:rPr>
  </w:style>
  <w:style w:type="character" w:customStyle="1" w:styleId="82">
    <w:name w:val="纯文本 Char1"/>
    <w:basedOn w:val="20"/>
    <w:qFormat/>
    <w:uiPriority w:val="0"/>
    <w:rPr>
      <w:rFonts w:ascii="宋体;SimSun" w:hAnsi="宋体;SimSun" w:cs="Courier New"/>
      <w:kern w:val="2"/>
      <w:sz w:val="21"/>
      <w:szCs w:val="21"/>
    </w:rPr>
  </w:style>
  <w:style w:type="character" w:customStyle="1" w:styleId="83">
    <w:name w:val="条款 Char"/>
    <w:qFormat/>
    <w:uiPriority w:val="0"/>
    <w:rPr>
      <w:rFonts w:ascii="仿宋_GB2312" w:hAnsi="仿宋_GB2312" w:eastAsia="仿宋_GB2312" w:cs="Calibri"/>
      <w:color w:val="000000"/>
      <w:sz w:val="28"/>
      <w:lang w:bidi="ar-SA"/>
    </w:rPr>
  </w:style>
  <w:style w:type="character" w:customStyle="1" w:styleId="84">
    <w:name w:val="脚注文本 Char"/>
    <w:basedOn w:val="20"/>
    <w:qFormat/>
    <w:uiPriority w:val="0"/>
    <w:rPr>
      <w:rFonts w:eastAsia="Times New Roman"/>
      <w:kern w:val="2"/>
      <w:sz w:val="18"/>
      <w:szCs w:val="18"/>
      <w:lang w:val="zh-CN" w:eastAsia="zh-CN"/>
    </w:rPr>
  </w:style>
  <w:style w:type="character" w:customStyle="1" w:styleId="85">
    <w:name w:val="脚注文本 Char1"/>
    <w:basedOn w:val="20"/>
    <w:qFormat/>
    <w:uiPriority w:val="0"/>
    <w:rPr>
      <w:kern w:val="2"/>
      <w:sz w:val="18"/>
      <w:szCs w:val="18"/>
    </w:rPr>
  </w:style>
  <w:style w:type="character" w:customStyle="1" w:styleId="86">
    <w:name w:val="批注主题 Char"/>
    <w:basedOn w:val="64"/>
    <w:qFormat/>
    <w:uiPriority w:val="0"/>
    <w:rPr>
      <w:b/>
      <w:bCs/>
      <w:kern w:val="2"/>
      <w:sz w:val="21"/>
    </w:rPr>
  </w:style>
  <w:style w:type="character" w:customStyle="1" w:styleId="87">
    <w:name w:val="样式1 Char"/>
    <w:qFormat/>
    <w:uiPriority w:val="0"/>
    <w:rPr>
      <w:rFonts w:ascii="仿宋_GB2312" w:hAnsi="仿宋_GB2312" w:eastAsia="仿宋_GB2312" w:cs="宋体;SimSun"/>
      <w:sz w:val="30"/>
      <w:szCs w:val="30"/>
    </w:rPr>
  </w:style>
  <w:style w:type="character" w:customStyle="1" w:styleId="88">
    <w:name w:val="SSE正文 Char"/>
    <w:basedOn w:val="20"/>
    <w:qFormat/>
    <w:uiPriority w:val="0"/>
    <w:rPr>
      <w:rFonts w:eastAsia="仿宋_GB2312"/>
      <w:kern w:val="2"/>
      <w:sz w:val="28"/>
      <w:szCs w:val="28"/>
    </w:rPr>
  </w:style>
  <w:style w:type="character" w:customStyle="1" w:styleId="89">
    <w:name w:val="Footnote Characters"/>
    <w:basedOn w:val="20"/>
    <w:qFormat/>
    <w:uiPriority w:val="0"/>
    <w:rPr>
      <w:vertAlign w:val="superscript"/>
    </w:rPr>
  </w:style>
  <w:style w:type="character" w:customStyle="1" w:styleId="90">
    <w:name w:val="SSE标题1 Char"/>
    <w:basedOn w:val="20"/>
    <w:qFormat/>
    <w:uiPriority w:val="0"/>
    <w:rPr>
      <w:rFonts w:eastAsia="黑体;SimHei"/>
      <w:b/>
      <w:bCs/>
      <w:kern w:val="2"/>
      <w:sz w:val="30"/>
      <w:szCs w:val="30"/>
    </w:rPr>
  </w:style>
  <w:style w:type="character" w:customStyle="1" w:styleId="91">
    <w:name w:val="SSE标题0 Char"/>
    <w:basedOn w:val="20"/>
    <w:qFormat/>
    <w:uiPriority w:val="0"/>
    <w:rPr>
      <w:rFonts w:eastAsia="华文中宋"/>
      <w:b/>
      <w:kern w:val="2"/>
      <w:sz w:val="44"/>
      <w:szCs w:val="44"/>
    </w:rPr>
  </w:style>
  <w:style w:type="character" w:customStyle="1" w:styleId="92">
    <w:name w:val="副标题 Char"/>
    <w:basedOn w:val="20"/>
    <w:qFormat/>
    <w:uiPriority w:val="0"/>
    <w:rPr>
      <w:rFonts w:ascii="Cambria" w:hAnsi="Cambria" w:cs="Times New Roman"/>
      <w:b/>
      <w:bCs/>
      <w:kern w:val="2"/>
      <w:sz w:val="32"/>
      <w:szCs w:val="32"/>
    </w:rPr>
  </w:style>
  <w:style w:type="character" w:customStyle="1" w:styleId="93">
    <w:name w:val="标题 Char"/>
    <w:basedOn w:val="20"/>
    <w:qFormat/>
    <w:uiPriority w:val="0"/>
    <w:rPr>
      <w:rFonts w:ascii="ClassGarmnd BT;Times New Roman" w:hAnsi="ClassGarmnd BT;Times New Roman" w:eastAsia="宋体;SimSun" w:cs="ClassGarmnd BT;Times New Roman"/>
      <w:b/>
      <w:kern w:val="2"/>
      <w:sz w:val="32"/>
      <w:lang w:val="en-AU"/>
    </w:rPr>
  </w:style>
  <w:style w:type="character" w:customStyle="1" w:styleId="94">
    <w:name w:val="语句 Char"/>
    <w:qFormat/>
    <w:uiPriority w:val="0"/>
    <w:rPr>
      <w:rFonts w:ascii="仿宋_GB2312" w:hAnsi="仿宋_GB2312" w:eastAsia="仿宋_GB2312"/>
      <w:b/>
      <w:i/>
      <w:sz w:val="30"/>
      <w:szCs w:val="30"/>
    </w:rPr>
  </w:style>
  <w:style w:type="character" w:customStyle="1" w:styleId="95">
    <w:name w:val="KK一级 Char"/>
    <w:qFormat/>
    <w:uiPriority w:val="0"/>
    <w:rPr>
      <w:rFonts w:ascii="仿宋_GB2312" w:hAnsi="仿宋_GB2312" w:eastAsia="仿宋_GB2312" w:cs="Calibri"/>
      <w:b/>
      <w:bCs/>
      <w:sz w:val="30"/>
      <w:szCs w:val="30"/>
    </w:rPr>
  </w:style>
  <w:style w:type="character" w:customStyle="1" w:styleId="96">
    <w:name w:val="KK二级 Char"/>
    <w:qFormat/>
    <w:uiPriority w:val="0"/>
    <w:rPr>
      <w:rFonts w:ascii="仿宋_GB2312" w:hAnsi="仿宋_GB2312" w:eastAsia="仿宋_GB2312" w:cs="Calibri"/>
      <w:b/>
      <w:bCs/>
      <w:sz w:val="30"/>
      <w:szCs w:val="30"/>
    </w:rPr>
  </w:style>
  <w:style w:type="character" w:customStyle="1" w:styleId="97">
    <w:name w:val="eee Char"/>
    <w:qFormat/>
    <w:uiPriority w:val="0"/>
    <w:rPr>
      <w:rFonts w:ascii="宋体;SimSun" w:hAnsi="宋体;SimSun" w:cs="宋体;SimSun"/>
      <w:sz w:val="24"/>
      <w:szCs w:val="24"/>
    </w:rPr>
  </w:style>
  <w:style w:type="character" w:customStyle="1" w:styleId="98">
    <w:name w:val="SSE内容提要正文 Char"/>
    <w:qFormat/>
    <w:uiPriority w:val="0"/>
    <w:rPr>
      <w:rFonts w:ascii="仿宋_GB2312" w:hAnsi="仿宋_GB2312" w:eastAsia="仿宋_GB2312"/>
      <w:sz w:val="28"/>
    </w:rPr>
  </w:style>
  <w:style w:type="character" w:customStyle="1" w:styleId="99">
    <w:name w:val="SSE资料来源 Char"/>
    <w:qFormat/>
    <w:uiPriority w:val="0"/>
    <w:rPr>
      <w:rFonts w:ascii="仿宋_GB2312" w:hAnsi="仿宋_GB2312" w:eastAsia="仿宋_GB2312"/>
      <w:color w:val="000000"/>
    </w:rPr>
  </w:style>
  <w:style w:type="character" w:customStyle="1" w:styleId="100">
    <w:name w:val="SSE标题2 Char"/>
    <w:qFormat/>
    <w:uiPriority w:val="0"/>
    <w:rPr>
      <w:rFonts w:ascii="仿宋_GB2312" w:hAnsi="仿宋_GB2312" w:eastAsia="仿宋_GB2312"/>
      <w:b/>
      <w:bCs/>
      <w:sz w:val="28"/>
      <w:szCs w:val="28"/>
    </w:rPr>
  </w:style>
  <w:style w:type="character" w:customStyle="1" w:styleId="101">
    <w:name w:val="SSE表格文字 Char"/>
    <w:qFormat/>
    <w:uiPriority w:val="0"/>
    <w:rPr>
      <w:rFonts w:ascii="仿宋_GB2312" w:hAnsi="仿宋_GB2312" w:eastAsia="仿宋_GB2312"/>
      <w:color w:val="000000"/>
      <w:sz w:val="24"/>
      <w:szCs w:val="24"/>
    </w:rPr>
  </w:style>
  <w:style w:type="character" w:customStyle="1" w:styleId="102">
    <w:name w:val="SSE图表标题 Char"/>
    <w:qFormat/>
    <w:uiPriority w:val="0"/>
    <w:rPr>
      <w:rFonts w:ascii="仿宋_GB2312" w:hAnsi="仿宋_GB2312" w:eastAsia="仿宋_GB2312"/>
      <w:b/>
      <w:bCs/>
      <w:color w:val="000000"/>
      <w:sz w:val="24"/>
      <w:szCs w:val="24"/>
    </w:rPr>
  </w:style>
  <w:style w:type="character" w:customStyle="1" w:styleId="103">
    <w:name w:val="标题 1 字符"/>
    <w:qFormat/>
    <w:uiPriority w:val="0"/>
    <w:rPr>
      <w:rFonts w:ascii="Calibri" w:hAnsi="Calibri" w:eastAsia="宋体;SimSun" w:cs="Times New Roman"/>
      <w:b/>
      <w:bCs/>
      <w:kern w:val="2"/>
      <w:sz w:val="44"/>
      <w:szCs w:val="44"/>
    </w:rPr>
  </w:style>
  <w:style w:type="character" w:customStyle="1" w:styleId="104">
    <w:name w:val="标题 2 字符"/>
    <w:qFormat/>
    <w:uiPriority w:val="0"/>
    <w:rPr>
      <w:rFonts w:ascii="Cambria" w:hAnsi="Cambria" w:eastAsia="宋体;SimSun" w:cs="Times New Roman"/>
      <w:b/>
      <w:bCs/>
      <w:sz w:val="32"/>
      <w:szCs w:val="32"/>
    </w:rPr>
  </w:style>
  <w:style w:type="character" w:customStyle="1" w:styleId="105">
    <w:name w:val="标题 3 字符"/>
    <w:qFormat/>
    <w:uiPriority w:val="0"/>
    <w:rPr>
      <w:rFonts w:ascii="Calibri" w:hAnsi="Calibri" w:eastAsia="宋体;SimSun" w:cs="Times New Roman"/>
      <w:b/>
      <w:bCs/>
      <w:sz w:val="32"/>
      <w:szCs w:val="32"/>
    </w:rPr>
  </w:style>
  <w:style w:type="character" w:customStyle="1" w:styleId="106">
    <w:name w:val="标题 4 字符"/>
    <w:qFormat/>
    <w:uiPriority w:val="0"/>
    <w:rPr>
      <w:rFonts w:ascii="Cambria" w:hAnsi="Cambria" w:eastAsia="宋体;SimSun" w:cs="Times New Roman"/>
      <w:b/>
      <w:bCs/>
      <w:sz w:val="28"/>
      <w:szCs w:val="28"/>
    </w:rPr>
  </w:style>
  <w:style w:type="character" w:customStyle="1" w:styleId="107">
    <w:name w:val="标题 6 字符"/>
    <w:qFormat/>
    <w:uiPriority w:val="0"/>
    <w:rPr>
      <w:rFonts w:ascii="Cambria" w:hAnsi="Cambria" w:eastAsia="宋体;SimSun" w:cs="Times New Roman"/>
      <w:b/>
      <w:bCs/>
      <w:sz w:val="24"/>
      <w:szCs w:val="24"/>
    </w:rPr>
  </w:style>
  <w:style w:type="character" w:customStyle="1" w:styleId="108">
    <w:name w:val="页眉 字符"/>
    <w:qFormat/>
    <w:uiPriority w:val="0"/>
    <w:rPr>
      <w:rFonts w:ascii="Calibri" w:hAnsi="Calibri" w:eastAsia="宋体;SimSun" w:cs="Times New Roman"/>
      <w:sz w:val="18"/>
      <w:szCs w:val="18"/>
    </w:rPr>
  </w:style>
  <w:style w:type="character" w:customStyle="1" w:styleId="109">
    <w:name w:val="页脚 字符"/>
    <w:qFormat/>
    <w:uiPriority w:val="0"/>
    <w:rPr>
      <w:rFonts w:ascii="Calibri" w:hAnsi="Calibri" w:eastAsia="宋体;SimSun" w:cs="Times New Roman"/>
      <w:sz w:val="18"/>
      <w:szCs w:val="18"/>
    </w:rPr>
  </w:style>
  <w:style w:type="character" w:customStyle="1" w:styleId="110">
    <w:name w:val="正文文本缩进 字符"/>
    <w:qFormat/>
    <w:uiPriority w:val="0"/>
    <w:rPr>
      <w:rFonts w:ascii="Calibri" w:hAnsi="Calibri" w:eastAsia="宋体;SimSun" w:cs="Times New Roman"/>
    </w:rPr>
  </w:style>
  <w:style w:type="character" w:customStyle="1" w:styleId="111">
    <w:name w:val="批注框文本 字符"/>
    <w:qFormat/>
    <w:uiPriority w:val="0"/>
    <w:rPr>
      <w:rFonts w:ascii="Calibri" w:hAnsi="Calibri" w:eastAsia="宋体;SimSun" w:cs="Times New Roman"/>
      <w:sz w:val="18"/>
      <w:szCs w:val="18"/>
    </w:rPr>
  </w:style>
  <w:style w:type="character" w:customStyle="1" w:styleId="112">
    <w:name w:val="日期 字符"/>
    <w:qFormat/>
    <w:uiPriority w:val="0"/>
    <w:rPr>
      <w:rFonts w:ascii="Calibri" w:hAnsi="Calibri" w:eastAsia="宋体;SimSun" w:cs="Times New Roman"/>
    </w:rPr>
  </w:style>
  <w:style w:type="character" w:customStyle="1" w:styleId="113">
    <w:name w:val="纯文本 字符"/>
    <w:qFormat/>
    <w:uiPriority w:val="0"/>
    <w:rPr>
      <w:rFonts w:ascii="宋体;SimSun" w:hAnsi="宋体;SimSun" w:eastAsia="宋体;SimSun" w:cs="Courier New"/>
    </w:rPr>
  </w:style>
  <w:style w:type="character" w:customStyle="1" w:styleId="114">
    <w:name w:val="正文文本 2 字符"/>
    <w:qFormat/>
    <w:uiPriority w:val="0"/>
    <w:rPr>
      <w:rFonts w:ascii="Calibri" w:hAnsi="Calibri" w:eastAsia="宋体;SimSun" w:cs="Times New Roman"/>
    </w:rPr>
  </w:style>
  <w:style w:type="character" w:customStyle="1" w:styleId="115">
    <w:name w:val="尾注文本 Char1"/>
    <w:basedOn w:val="20"/>
    <w:qFormat/>
    <w:uiPriority w:val="0"/>
    <w:rPr>
      <w:rFonts w:ascii="Times New Roman" w:hAnsi="Times New Roman" w:eastAsia="宋体;SimSun" w:cs="Times New Roman"/>
      <w:kern w:val="0"/>
      <w:sz w:val="24"/>
      <w:szCs w:val="24"/>
    </w:rPr>
  </w:style>
  <w:style w:type="character" w:customStyle="1" w:styleId="116">
    <w:name w:val="尾注文本 字符"/>
    <w:qFormat/>
    <w:uiPriority w:val="0"/>
    <w:rPr>
      <w:rFonts w:ascii="Calibri" w:hAnsi="Calibri" w:eastAsia="宋体;SimSun" w:cs="Times New Roman"/>
    </w:rPr>
  </w:style>
  <w:style w:type="character" w:customStyle="1" w:styleId="117">
    <w:name w:val="批注文字 Char1"/>
    <w:basedOn w:val="20"/>
    <w:qFormat/>
    <w:uiPriority w:val="0"/>
    <w:rPr>
      <w:rFonts w:ascii="Times New Roman" w:hAnsi="Times New Roman" w:eastAsia="宋体;SimSun" w:cs="Times New Roman"/>
      <w:kern w:val="0"/>
      <w:sz w:val="24"/>
      <w:szCs w:val="24"/>
    </w:rPr>
  </w:style>
  <w:style w:type="character" w:customStyle="1" w:styleId="118">
    <w:name w:val="批注文字 字符"/>
    <w:qFormat/>
    <w:uiPriority w:val="0"/>
    <w:rPr>
      <w:rFonts w:ascii="Calibri" w:hAnsi="Calibri" w:eastAsia="宋体;SimSun" w:cs="Times New Roman"/>
    </w:rPr>
  </w:style>
  <w:style w:type="character" w:customStyle="1" w:styleId="119">
    <w:name w:val="正文文本 字符"/>
    <w:qFormat/>
    <w:uiPriority w:val="0"/>
    <w:rPr>
      <w:rFonts w:ascii="Calibri" w:hAnsi="Calibri" w:eastAsia="宋体;SimSun" w:cs="Times New Roman"/>
    </w:rPr>
  </w:style>
  <w:style w:type="character" w:customStyle="1" w:styleId="120">
    <w:name w:val="正文文本缩进 2 字符"/>
    <w:qFormat/>
    <w:uiPriority w:val="0"/>
    <w:rPr>
      <w:rFonts w:ascii="Calibri" w:hAnsi="Calibri" w:eastAsia="宋体;SimSun" w:cs="Times New Roman"/>
    </w:rPr>
  </w:style>
  <w:style w:type="character" w:customStyle="1" w:styleId="121">
    <w:name w:val="正文文本缩进 3 字符"/>
    <w:qFormat/>
    <w:uiPriority w:val="0"/>
    <w:rPr>
      <w:rFonts w:ascii="Calibri" w:hAnsi="Calibri" w:eastAsia="宋体;SimSun" w:cs="Times New Roman"/>
      <w:sz w:val="16"/>
      <w:szCs w:val="16"/>
    </w:rPr>
  </w:style>
  <w:style w:type="character" w:customStyle="1" w:styleId="122">
    <w:name w:val="正文文本 3 字符"/>
    <w:qFormat/>
    <w:uiPriority w:val="0"/>
    <w:rPr>
      <w:rFonts w:ascii="Calibri" w:hAnsi="Calibri" w:eastAsia="宋体;SimSun" w:cs="Times New Roman"/>
      <w:sz w:val="16"/>
      <w:szCs w:val="16"/>
    </w:rPr>
  </w:style>
  <w:style w:type="character" w:customStyle="1" w:styleId="123">
    <w:name w:val="脚注文本 字符"/>
    <w:qFormat/>
    <w:uiPriority w:val="0"/>
    <w:rPr>
      <w:rFonts w:ascii="Calibri" w:hAnsi="Calibri" w:eastAsia="宋体;SimSun" w:cs="Times New Roman"/>
      <w:sz w:val="18"/>
      <w:szCs w:val="18"/>
    </w:rPr>
  </w:style>
  <w:style w:type="character" w:customStyle="1" w:styleId="124">
    <w:name w:val="批注主题 Char1"/>
    <w:basedOn w:val="117"/>
    <w:qFormat/>
    <w:uiPriority w:val="0"/>
    <w:rPr>
      <w:b/>
      <w:bCs/>
    </w:rPr>
  </w:style>
  <w:style w:type="character" w:customStyle="1" w:styleId="125">
    <w:name w:val="批注主题 字符"/>
    <w:qFormat/>
    <w:uiPriority w:val="0"/>
    <w:rPr>
      <w:rFonts w:ascii="Calibri" w:hAnsi="Calibri" w:eastAsia="宋体;SimSun" w:cs="Times New Roman"/>
      <w:b/>
      <w:bCs/>
    </w:rPr>
  </w:style>
  <w:style w:type="character" w:customStyle="1" w:styleId="126">
    <w:name w:val="标题 Char1"/>
    <w:basedOn w:val="20"/>
    <w:qFormat/>
    <w:uiPriority w:val="0"/>
    <w:rPr>
      <w:rFonts w:ascii="Arial" w:hAnsi="Arial" w:eastAsia="宋体;SimSun" w:cs="Times New Roman"/>
      <w:b/>
      <w:bCs/>
      <w:kern w:val="0"/>
      <w:sz w:val="32"/>
      <w:szCs w:val="32"/>
    </w:rPr>
  </w:style>
  <w:style w:type="character" w:customStyle="1" w:styleId="127">
    <w:name w:val="标题 字符"/>
    <w:qFormat/>
    <w:uiPriority w:val="0"/>
    <w:rPr>
      <w:rFonts w:ascii="Cambria" w:hAnsi="Cambria" w:eastAsia="宋体;SimSun" w:cs="Times New Roman"/>
      <w:b/>
      <w:bCs/>
      <w:sz w:val="32"/>
      <w:szCs w:val="32"/>
    </w:rPr>
  </w:style>
  <w:style w:type="character" w:customStyle="1" w:styleId="128">
    <w:name w:val="正正正 字符"/>
    <w:basedOn w:val="20"/>
    <w:qFormat/>
    <w:uiPriority w:val="0"/>
    <w:rPr>
      <w:rFonts w:ascii="仿宋_GB2312" w:hAnsi="仿宋_GB2312" w:eastAsia="仿宋_GB2312" w:cs="Times New Roman"/>
      <w:kern w:val="2"/>
      <w:sz w:val="32"/>
      <w:szCs w:val="32"/>
    </w:rPr>
  </w:style>
  <w:style w:type="character" w:customStyle="1" w:styleId="129">
    <w:name w:val="脚注文本 字符1"/>
    <w:basedOn w:val="20"/>
    <w:qFormat/>
    <w:uiPriority w:val="0"/>
    <w:rPr>
      <w:rFonts w:ascii="Times New Roman" w:hAnsi="Times New Roman" w:eastAsia="宋体;SimSun" w:cs="Times New Roman"/>
      <w:kern w:val="0"/>
      <w:sz w:val="18"/>
      <w:szCs w:val="18"/>
    </w:rPr>
  </w:style>
  <w:style w:type="paragraph" w:customStyle="1" w:styleId="130">
    <w:name w:val="Heading"/>
    <w:basedOn w:val="1"/>
    <w:next w:val="14"/>
    <w:qFormat/>
    <w:uiPriority w:val="0"/>
    <w:pPr>
      <w:widowControl/>
      <w:suppressAutoHyphens/>
      <w:overflowPunct w:val="0"/>
      <w:autoSpaceDE w:val="0"/>
      <w:jc w:val="center"/>
    </w:pPr>
    <w:rPr>
      <w:rFonts w:ascii="ClassGarmnd BT;Times New Roman" w:hAnsi="ClassGarmnd BT;Times New Roman" w:eastAsia="宋体;SimSun" w:cs="ClassGarmnd BT;Times New Roman"/>
      <w:b/>
      <w:kern w:val="2"/>
      <w:sz w:val="32"/>
      <w:lang w:val="en-AU"/>
    </w:rPr>
  </w:style>
  <w:style w:type="paragraph" w:customStyle="1" w:styleId="131">
    <w:name w:val="Index"/>
    <w:basedOn w:val="1"/>
    <w:qFormat/>
    <w:uiPriority w:val="0"/>
    <w:pPr>
      <w:suppressLineNumbers/>
    </w:pPr>
    <w:rPr>
      <w:rFonts w:cs="Arial Unicode MS"/>
    </w:rPr>
  </w:style>
  <w:style w:type="paragraph" w:customStyle="1" w:styleId="132">
    <w:name w:val="Header and Footer"/>
    <w:basedOn w:val="1"/>
    <w:qFormat/>
    <w:uiPriority w:val="0"/>
    <w:pPr>
      <w:suppressLineNumbers/>
      <w:tabs>
        <w:tab w:val="center" w:pos="4819"/>
        <w:tab w:val="right" w:pos="9638"/>
      </w:tabs>
    </w:pPr>
  </w:style>
  <w:style w:type="paragraph" w:customStyle="1" w:styleId="133">
    <w:name w:val="批注框文本1"/>
    <w:basedOn w:val="1"/>
    <w:qFormat/>
    <w:uiPriority w:val="0"/>
    <w:rPr>
      <w:sz w:val="18"/>
      <w:szCs w:val="18"/>
    </w:rPr>
  </w:style>
  <w:style w:type="paragraph" w:customStyle="1" w:styleId="134">
    <w:name w:val="日期1"/>
    <w:basedOn w:val="1"/>
    <w:next w:val="1"/>
    <w:qFormat/>
    <w:uiPriority w:val="0"/>
    <w:rPr>
      <w:rFonts w:ascii="楷体_GB2312" w:hAnsi="楷体_GB2312" w:eastAsia="楷体_GB2312"/>
      <w:sz w:val="32"/>
    </w:rPr>
  </w:style>
  <w:style w:type="paragraph" w:customStyle="1" w:styleId="135">
    <w:name w:val="dash6b63_6587"/>
    <w:basedOn w:val="1"/>
    <w:qFormat/>
    <w:uiPriority w:val="0"/>
    <w:pPr>
      <w:widowControl/>
      <w:spacing w:before="280" w:after="280"/>
      <w:jc w:val="left"/>
    </w:pPr>
    <w:rPr>
      <w:rFonts w:ascii="宋体;SimSun" w:hAnsi="宋体;SimSun" w:cs="宋体;SimSun"/>
      <w:kern w:val="0"/>
      <w:sz w:val="24"/>
      <w:szCs w:val="24"/>
    </w:rPr>
  </w:style>
  <w:style w:type="paragraph" w:customStyle="1" w:styleId="136">
    <w:name w:val="纯文本1"/>
    <w:basedOn w:val="1"/>
    <w:qFormat/>
    <w:uiPriority w:val="0"/>
    <w:rPr>
      <w:rFonts w:ascii="宋体;SimSun" w:hAnsi="宋体;SimSun" w:cs="Courier New"/>
      <w:szCs w:val="21"/>
    </w:rPr>
  </w:style>
  <w:style w:type="paragraph" w:customStyle="1" w:styleId="137">
    <w:name w:val="p0"/>
    <w:basedOn w:val="1"/>
    <w:qFormat/>
    <w:uiPriority w:val="0"/>
    <w:pPr>
      <w:widowControl/>
    </w:pPr>
    <w:rPr>
      <w:kern w:val="0"/>
      <w:szCs w:val="21"/>
    </w:rPr>
  </w:style>
  <w:style w:type="paragraph" w:customStyle="1" w:styleId="138">
    <w:name w:val="正文文本 21"/>
    <w:basedOn w:val="1"/>
    <w:qFormat/>
    <w:uiPriority w:val="0"/>
    <w:pPr>
      <w:spacing w:line="840" w:lineRule="exact"/>
      <w:jc w:val="center"/>
    </w:pPr>
    <w:rPr>
      <w:rFonts w:ascii="宋体;SimSun" w:hAnsi="宋体;SimSun" w:cs="Courier New"/>
      <w:kern w:val="0"/>
      <w:szCs w:val="21"/>
      <w:lang w:val="zh-CN"/>
    </w:rPr>
  </w:style>
  <w:style w:type="paragraph" w:customStyle="1" w:styleId="139">
    <w:name w:val="列出段落"/>
    <w:basedOn w:val="1"/>
    <w:qFormat/>
    <w:uiPriority w:val="0"/>
    <w:pPr>
      <w:ind w:left="0" w:right="0" w:firstLine="420"/>
    </w:pPr>
    <w:rPr>
      <w:szCs w:val="24"/>
      <w:lang w:val="zh-CN"/>
    </w:rPr>
  </w:style>
  <w:style w:type="paragraph" w:customStyle="1" w:styleId="140">
    <w:name w:val="普通(网站)1"/>
    <w:basedOn w:val="1"/>
    <w:qFormat/>
    <w:uiPriority w:val="0"/>
    <w:pPr>
      <w:widowControl/>
      <w:spacing w:before="280" w:after="280"/>
      <w:jc w:val="left"/>
    </w:pPr>
    <w:rPr>
      <w:rFonts w:ascii="宋体;SimSun" w:hAnsi="宋体;SimSun" w:cs="宋体;SimSun"/>
      <w:kern w:val="0"/>
      <w:sz w:val="24"/>
      <w:szCs w:val="24"/>
    </w:rPr>
  </w:style>
  <w:style w:type="paragraph" w:customStyle="1" w:styleId="141">
    <w:name w:val="列出段落1"/>
    <w:basedOn w:val="1"/>
    <w:qFormat/>
    <w:uiPriority w:val="0"/>
    <w:pPr>
      <w:ind w:left="0" w:right="0" w:firstLine="420"/>
    </w:pPr>
    <w:rPr>
      <w:rFonts w:ascii="Calibri" w:hAnsi="Calibri" w:cs="Calibri"/>
      <w:szCs w:val="22"/>
    </w:rPr>
  </w:style>
  <w:style w:type="paragraph" w:customStyle="1" w:styleId="142">
    <w:name w:val="批注文字1"/>
    <w:basedOn w:val="1"/>
    <w:qFormat/>
    <w:uiPriority w:val="0"/>
    <w:pPr>
      <w:jc w:val="left"/>
    </w:pPr>
    <w:rPr>
      <w:kern w:val="0"/>
      <w:sz w:val="24"/>
      <w:szCs w:val="24"/>
      <w:lang w:val="zh-CN"/>
    </w:rPr>
  </w:style>
  <w:style w:type="paragraph" w:customStyle="1" w:styleId="143">
    <w:name w:val="00正文"/>
    <w:basedOn w:val="1"/>
    <w:qFormat/>
    <w:uiPriority w:val="0"/>
    <w:pPr>
      <w:snapToGrid w:val="0"/>
      <w:spacing w:line="360" w:lineRule="auto"/>
      <w:ind w:left="0" w:right="0" w:firstLine="200"/>
    </w:pPr>
    <w:rPr>
      <w:rFonts w:ascii="宋体;SimSun" w:hAnsi="宋体;SimSun" w:cs="宋体;SimSun"/>
      <w:sz w:val="24"/>
      <w:szCs w:val="24"/>
    </w:rPr>
  </w:style>
  <w:style w:type="paragraph" w:styleId="144">
    <w:name w:val="List Paragraph"/>
    <w:basedOn w:val="1"/>
    <w:qFormat/>
    <w:uiPriority w:val="0"/>
    <w:pPr>
      <w:ind w:left="0" w:right="0" w:firstLine="420"/>
    </w:pPr>
    <w:rPr>
      <w:rFonts w:ascii="Calibri" w:hAnsi="Calibri" w:cs="Calibri"/>
      <w:szCs w:val="22"/>
    </w:rPr>
  </w:style>
  <w:style w:type="paragraph" w:customStyle="1" w:styleId="145">
    <w:name w:val="内页正文"/>
    <w:qFormat/>
    <w:uiPriority w:val="0"/>
    <w:pPr>
      <w:widowControl/>
      <w:suppressAutoHyphens/>
      <w:bidi w:val="0"/>
      <w:spacing w:before="0" w:after="120"/>
      <w:jc w:val="both"/>
    </w:pPr>
    <w:rPr>
      <w:rFonts w:ascii="Arial" w:hAnsi="Arial" w:eastAsia="汉仪中等线简;Arial Unicode MS" w:cs="Arial"/>
      <w:color w:val="000000"/>
      <w:sz w:val="18"/>
      <w:szCs w:val="18"/>
      <w:lang w:val="en-US" w:eastAsia="zh-CN" w:bidi="ar-SA"/>
    </w:rPr>
  </w:style>
  <w:style w:type="paragraph" w:customStyle="1" w:styleId="146">
    <w:name w:val="Default"/>
    <w:qFormat/>
    <w:uiPriority w:val="0"/>
    <w:pPr>
      <w:widowControl w:val="0"/>
      <w:suppressAutoHyphens/>
      <w:autoSpaceDE w:val="0"/>
      <w:bidi w:val="0"/>
    </w:pPr>
    <w:rPr>
      <w:rFonts w:ascii="仿宋_GB2312" w:hAnsi="仿宋_GB2312" w:eastAsia="仿宋_GB2312" w:cs="仿宋_GB2312"/>
      <w:color w:val="000000"/>
      <w:sz w:val="24"/>
      <w:szCs w:val="24"/>
      <w:lang w:val="en-US" w:eastAsia="zh-CN" w:bidi="ar-SA"/>
    </w:rPr>
  </w:style>
  <w:style w:type="paragraph" w:styleId="147">
    <w:name w:val="No Spacing"/>
    <w:qFormat/>
    <w:uiPriority w:val="0"/>
    <w:pPr>
      <w:widowControl w:val="0"/>
      <w:suppressAutoHyphens/>
      <w:bidi w:val="0"/>
      <w:jc w:val="both"/>
    </w:pPr>
    <w:rPr>
      <w:rFonts w:ascii="Calibri" w:hAnsi="Calibri" w:eastAsia="宋体;SimSun" w:cs="Calibri"/>
      <w:color w:val="auto"/>
      <w:kern w:val="2"/>
      <w:sz w:val="21"/>
      <w:szCs w:val="22"/>
      <w:lang w:val="en-US" w:eastAsia="zh-CN" w:bidi="ar-SA"/>
    </w:rPr>
  </w:style>
  <w:style w:type="paragraph" w:customStyle="1" w:styleId="148">
    <w:name w:val="正文文本缩进 21"/>
    <w:basedOn w:val="1"/>
    <w:qFormat/>
    <w:uiPriority w:val="0"/>
    <w:pPr>
      <w:spacing w:line="600" w:lineRule="exact"/>
      <w:ind w:left="0" w:right="0" w:firstLine="600"/>
    </w:pPr>
    <w:rPr>
      <w:rFonts w:ascii="仿宋_GB2312" w:hAnsi="仿宋_GB2312" w:eastAsia="仿宋_GB2312" w:cs="宋体;SimSun"/>
      <w:sz w:val="30"/>
      <w:szCs w:val="30"/>
      <w:lang w:val="zh-CN" w:eastAsia="zh-CN"/>
    </w:rPr>
  </w:style>
  <w:style w:type="paragraph" w:customStyle="1" w:styleId="149">
    <w:name w:val="正文文本缩进 31"/>
    <w:basedOn w:val="1"/>
    <w:qFormat/>
    <w:uiPriority w:val="0"/>
    <w:pPr>
      <w:autoSpaceDE w:val="0"/>
      <w:spacing w:line="760" w:lineRule="exact"/>
      <w:ind w:left="0" w:right="0" w:firstLine="560"/>
      <w:jc w:val="left"/>
    </w:pPr>
    <w:rPr>
      <w:rFonts w:ascii="仿宋_GB2312" w:hAnsi="仿宋_GB2312" w:eastAsia="仿宋_GB2312"/>
      <w:kern w:val="0"/>
      <w:sz w:val="30"/>
      <w:szCs w:val="28"/>
      <w:lang w:val="zh-CN" w:eastAsia="zh-CN"/>
    </w:rPr>
  </w:style>
  <w:style w:type="paragraph" w:customStyle="1" w:styleId="150">
    <w:name w:val="正文文本 31"/>
    <w:basedOn w:val="1"/>
    <w:qFormat/>
    <w:uiPriority w:val="0"/>
    <w:pPr>
      <w:spacing w:line="840" w:lineRule="exact"/>
      <w:jc w:val="center"/>
    </w:pPr>
    <w:rPr>
      <w:rFonts w:ascii="方正大标宋简体;Arial Unicode MS" w:hAnsi="方正大标宋简体;Arial Unicode MS" w:eastAsia="方正大标宋简体;Arial Unicode MS" w:cs="宋体;SimSun"/>
      <w:bCs/>
      <w:sz w:val="42"/>
      <w:szCs w:val="42"/>
      <w:lang w:val="zh-CN" w:eastAsia="zh-CN"/>
    </w:rPr>
  </w:style>
  <w:style w:type="paragraph" w:customStyle="1" w:styleId="151">
    <w:name w:val="条款"/>
    <w:basedOn w:val="1"/>
    <w:qFormat/>
    <w:uiPriority w:val="0"/>
    <w:pPr>
      <w:widowControl/>
      <w:spacing w:line="360" w:lineRule="auto"/>
      <w:ind w:left="0" w:right="272" w:firstLine="560"/>
    </w:pPr>
    <w:rPr>
      <w:rFonts w:ascii="仿宋_GB2312" w:hAnsi="仿宋_GB2312" w:eastAsia="仿宋_GB2312" w:cs="Calibri"/>
      <w:color w:val="000000"/>
      <w:kern w:val="0"/>
      <w:sz w:val="28"/>
      <w:lang w:val="zh-CN"/>
    </w:rPr>
  </w:style>
  <w:style w:type="paragraph" w:customStyle="1" w:styleId="152">
    <w:name w:val="批注主题1"/>
    <w:basedOn w:val="142"/>
    <w:next w:val="142"/>
    <w:qFormat/>
    <w:uiPriority w:val="0"/>
    <w:rPr>
      <w:b/>
      <w:bCs/>
      <w:kern w:val="2"/>
      <w:sz w:val="21"/>
      <w:lang w:val="en-US" w:eastAsia="zh-CN"/>
    </w:rPr>
  </w:style>
  <w:style w:type="paragraph" w:customStyle="1" w:styleId="153">
    <w:name w:val="Char3"/>
    <w:basedOn w:val="1"/>
    <w:qFormat/>
    <w:uiPriority w:val="0"/>
    <w:rPr>
      <w:szCs w:val="21"/>
    </w:rPr>
  </w:style>
  <w:style w:type="paragraph" w:customStyle="1" w:styleId="154">
    <w:name w:val="doc-a2"/>
    <w:basedOn w:val="1"/>
    <w:qFormat/>
    <w:uiPriority w:val="0"/>
    <w:pPr>
      <w:widowControl/>
      <w:spacing w:before="225" w:after="280" w:line="450" w:lineRule="atLeast"/>
      <w:ind w:left="0" w:right="0" w:firstLine="480"/>
      <w:jc w:val="left"/>
    </w:pPr>
    <w:rPr>
      <w:rFonts w:ascii="微软雅黑" w:hAnsi="微软雅黑" w:eastAsia="微软雅黑" w:cs="宋体;SimSun"/>
      <w:kern w:val="0"/>
      <w:szCs w:val="21"/>
    </w:rPr>
  </w:style>
  <w:style w:type="paragraph" w:customStyle="1" w:styleId="155">
    <w:name w:val="样式1"/>
    <w:basedOn w:val="1"/>
    <w:qFormat/>
    <w:uiPriority w:val="0"/>
    <w:pPr>
      <w:numPr>
        <w:ilvl w:val="0"/>
        <w:numId w:val="2"/>
      </w:numPr>
      <w:tabs>
        <w:tab w:val="left" w:pos="2127"/>
      </w:tabs>
      <w:snapToGrid w:val="0"/>
      <w:spacing w:line="540" w:lineRule="exact"/>
      <w:ind w:left="988" w:right="0" w:firstLine="0"/>
    </w:pPr>
    <w:rPr>
      <w:rFonts w:ascii="仿宋_GB2312" w:hAnsi="仿宋_GB2312" w:eastAsia="仿宋_GB2312" w:cs="宋体;SimSun"/>
      <w:kern w:val="0"/>
      <w:sz w:val="30"/>
      <w:szCs w:val="30"/>
      <w:lang w:val="zh-CN"/>
    </w:rPr>
  </w:style>
  <w:style w:type="paragraph" w:customStyle="1" w:styleId="156">
    <w:name w:val="SSE正文"/>
    <w:basedOn w:val="1"/>
    <w:qFormat/>
    <w:uiPriority w:val="0"/>
    <w:pPr>
      <w:ind w:left="0" w:right="0" w:firstLine="200"/>
    </w:pPr>
    <w:rPr>
      <w:rFonts w:eastAsia="仿宋_GB2312"/>
      <w:sz w:val="28"/>
      <w:szCs w:val="28"/>
    </w:rPr>
  </w:style>
  <w:style w:type="paragraph" w:customStyle="1" w:styleId="157">
    <w:name w:val="文本块1"/>
    <w:basedOn w:val="1"/>
    <w:qFormat/>
    <w:uiPriority w:val="0"/>
    <w:pPr>
      <w:widowControl/>
      <w:spacing w:before="0" w:after="240"/>
      <w:jc w:val="left"/>
    </w:pPr>
    <w:rPr>
      <w:kern w:val="0"/>
      <w:sz w:val="24"/>
    </w:rPr>
  </w:style>
  <w:style w:type="paragraph" w:customStyle="1" w:styleId="158">
    <w:name w:val="默认"/>
    <w:qFormat/>
    <w:uiPriority w:val="0"/>
    <w:pPr>
      <w:widowControl/>
      <w:suppressAutoHyphens/>
      <w:bidi w:val="0"/>
    </w:pPr>
    <w:rPr>
      <w:rFonts w:ascii="Arial Unicode MS" w:hAnsi="Arial Unicode MS" w:eastAsia="Helvetica" w:cs="Arial Unicode MS"/>
      <w:color w:val="000000"/>
      <w:sz w:val="22"/>
      <w:szCs w:val="22"/>
      <w:lang w:val="zh-CN" w:eastAsia="zh-CN" w:bidi="ar-SA"/>
    </w:rPr>
  </w:style>
  <w:style w:type="paragraph" w:customStyle="1" w:styleId="159">
    <w:name w:val="Message Heading"/>
    <w:basedOn w:val="1"/>
    <w:next w:val="1"/>
    <w:qFormat/>
    <w:uiPriority w:val="0"/>
    <w:pPr>
      <w:widowControl/>
      <w:spacing w:before="0" w:after="120" w:line="320" w:lineRule="atLeast"/>
      <w:jc w:val="left"/>
    </w:pPr>
    <w:rPr>
      <w:rFonts w:ascii="Frutiger 45 Light;Arial" w:hAnsi="Frutiger 45 Light;Arial" w:eastAsia="华文楷体" w:cs="Frutiger 45 Light;Arial"/>
      <w:b/>
      <w:color w:val="3783FF"/>
      <w:kern w:val="0"/>
      <w:sz w:val="28"/>
    </w:rPr>
  </w:style>
  <w:style w:type="paragraph" w:customStyle="1" w:styleId="160">
    <w:name w:val="SSE标题1"/>
    <w:basedOn w:val="2"/>
    <w:qFormat/>
    <w:uiPriority w:val="0"/>
    <w:pPr>
      <w:numPr>
        <w:ilvl w:val="0"/>
        <w:numId w:val="0"/>
      </w:numPr>
      <w:spacing w:before="0" w:after="120" w:line="240" w:lineRule="auto"/>
      <w:ind w:left="1232" w:right="0" w:hanging="630"/>
      <w:outlineLvl w:val="9"/>
    </w:pPr>
    <w:rPr>
      <w:rFonts w:eastAsia="黑体;SimHei"/>
      <w:sz w:val="30"/>
      <w:szCs w:val="30"/>
      <w:lang w:val="en-US" w:eastAsia="zh-CN"/>
    </w:rPr>
  </w:style>
  <w:style w:type="paragraph" w:customStyle="1" w:styleId="161">
    <w:name w:val="SSE标题0"/>
    <w:basedOn w:val="1"/>
    <w:qFormat/>
    <w:uiPriority w:val="0"/>
    <w:pPr>
      <w:spacing w:before="280" w:after="280"/>
      <w:jc w:val="center"/>
    </w:pPr>
    <w:rPr>
      <w:rFonts w:eastAsia="华文中宋"/>
      <w:b/>
      <w:sz w:val="44"/>
      <w:szCs w:val="44"/>
    </w:rPr>
  </w:style>
  <w:style w:type="paragraph" w:customStyle="1" w:styleId="162">
    <w:name w:val="Стандартный HTML"/>
    <w:basedOn w:val="1"/>
    <w:qFormat/>
    <w:uiPriority w:val="0"/>
    <w:pPr>
      <w:widowControl/>
      <w:suppressAutoHyphens/>
      <w:jc w:val="left"/>
    </w:pPr>
    <w:rPr>
      <w:rFonts w:ascii="Courier New" w:hAnsi="Courier New" w:eastAsia="宋体;SimSun" w:cs="Courier New"/>
      <w:kern w:val="2"/>
      <w:sz w:val="20"/>
    </w:rPr>
  </w:style>
  <w:style w:type="paragraph" w:customStyle="1" w:styleId="163">
    <w:name w:val="Основной текст 2"/>
    <w:basedOn w:val="1"/>
    <w:qFormat/>
    <w:uiPriority w:val="0"/>
    <w:pPr>
      <w:widowControl/>
      <w:suppressAutoHyphens/>
      <w:overflowPunct w:val="0"/>
      <w:autoSpaceDE w:val="0"/>
    </w:pPr>
    <w:rPr>
      <w:rFonts w:ascii="ClassGarmnd BT;Times New Roman" w:hAnsi="ClassGarmnd BT;Times New Roman" w:eastAsia="宋体;SimSun" w:cs="ClassGarmnd BT;Times New Roman"/>
      <w:color w:val="000000"/>
      <w:kern w:val="2"/>
      <w:sz w:val="20"/>
      <w:lang w:val="en-AU"/>
    </w:rPr>
  </w:style>
  <w:style w:type="paragraph" w:customStyle="1" w:styleId="164">
    <w:name w:val="List Paragraph1"/>
    <w:basedOn w:val="1"/>
    <w:qFormat/>
    <w:uiPriority w:val="0"/>
    <w:pPr>
      <w:suppressAutoHyphens/>
      <w:ind w:left="720" w:right="0" w:firstLine="0"/>
    </w:pPr>
    <w:rPr>
      <w:rFonts w:eastAsia="宋体;SimSun"/>
      <w:kern w:val="2"/>
      <w:sz w:val="32"/>
      <w:szCs w:val="24"/>
    </w:rPr>
  </w:style>
  <w:style w:type="paragraph" w:customStyle="1" w:styleId="165">
    <w:name w:val="Style1"/>
    <w:basedOn w:val="1"/>
    <w:qFormat/>
    <w:uiPriority w:val="0"/>
    <w:pPr>
      <w:numPr>
        <w:ilvl w:val="0"/>
        <w:numId w:val="3"/>
      </w:numPr>
      <w:suppressAutoHyphens/>
    </w:pPr>
    <w:rPr>
      <w:rFonts w:eastAsia="宋体;SimSun"/>
      <w:kern w:val="2"/>
      <w:szCs w:val="24"/>
    </w:rPr>
  </w:style>
  <w:style w:type="paragraph" w:customStyle="1" w:styleId="166">
    <w:name w:val="语句"/>
    <w:basedOn w:val="1"/>
    <w:qFormat/>
    <w:uiPriority w:val="0"/>
    <w:pPr>
      <w:widowControl/>
      <w:snapToGrid w:val="0"/>
      <w:spacing w:line="540" w:lineRule="exact"/>
      <w:ind w:left="0" w:right="0" w:firstLine="567"/>
    </w:pPr>
    <w:rPr>
      <w:rFonts w:ascii="仿宋_GB2312" w:hAnsi="仿宋_GB2312" w:eastAsia="仿宋_GB2312"/>
      <w:b/>
      <w:i/>
      <w:kern w:val="0"/>
      <w:sz w:val="30"/>
      <w:szCs w:val="30"/>
      <w:lang w:val="zh-CN"/>
    </w:rPr>
  </w:style>
  <w:style w:type="paragraph" w:customStyle="1" w:styleId="167">
    <w:name w:val="KK一级"/>
    <w:basedOn w:val="1"/>
    <w:qFormat/>
    <w:uiPriority w:val="0"/>
    <w:pPr>
      <w:spacing w:line="600" w:lineRule="exact"/>
      <w:jc w:val="left"/>
    </w:pPr>
    <w:rPr>
      <w:rFonts w:ascii="仿宋_GB2312" w:hAnsi="仿宋_GB2312" w:eastAsia="仿宋_GB2312" w:cs="Calibri"/>
      <w:b/>
      <w:bCs/>
      <w:kern w:val="0"/>
      <w:sz w:val="30"/>
      <w:szCs w:val="30"/>
      <w:lang w:val="zh-CN"/>
    </w:rPr>
  </w:style>
  <w:style w:type="paragraph" w:customStyle="1" w:styleId="168">
    <w:name w:val="KK二级"/>
    <w:basedOn w:val="1"/>
    <w:qFormat/>
    <w:uiPriority w:val="0"/>
    <w:pPr>
      <w:spacing w:line="600" w:lineRule="exact"/>
      <w:jc w:val="left"/>
    </w:pPr>
    <w:rPr>
      <w:rFonts w:ascii="仿宋_GB2312" w:hAnsi="仿宋_GB2312" w:eastAsia="仿宋_GB2312" w:cs="Calibri"/>
      <w:b/>
      <w:bCs/>
      <w:kern w:val="0"/>
      <w:sz w:val="30"/>
      <w:szCs w:val="30"/>
      <w:lang w:val="zh-CN"/>
    </w:rPr>
  </w:style>
  <w:style w:type="paragraph" w:customStyle="1" w:styleId="169">
    <w:name w:val="eee"/>
    <w:basedOn w:val="1"/>
    <w:qFormat/>
    <w:uiPriority w:val="0"/>
    <w:pPr>
      <w:autoSpaceDE w:val="0"/>
      <w:spacing w:line="360" w:lineRule="auto"/>
      <w:ind w:left="0" w:right="0" w:firstLine="480"/>
    </w:pPr>
    <w:rPr>
      <w:rFonts w:ascii="宋体;SimSun" w:hAnsi="宋体;SimSun" w:cs="宋体;SimSun"/>
      <w:kern w:val="0"/>
      <w:sz w:val="24"/>
      <w:szCs w:val="24"/>
      <w:lang w:val="zh-CN"/>
    </w:rPr>
  </w:style>
  <w:style w:type="paragraph" w:customStyle="1" w:styleId="170">
    <w:name w:val="SSE内容提要正文"/>
    <w:basedOn w:val="1"/>
    <w:qFormat/>
    <w:uiPriority w:val="0"/>
    <w:pPr>
      <w:ind w:left="0" w:right="0" w:firstLine="560"/>
    </w:pPr>
    <w:rPr>
      <w:rFonts w:ascii="仿宋_GB2312" w:hAnsi="仿宋_GB2312" w:eastAsia="仿宋_GB2312"/>
      <w:kern w:val="0"/>
      <w:sz w:val="28"/>
      <w:lang w:val="zh-CN"/>
    </w:rPr>
  </w:style>
  <w:style w:type="paragraph" w:customStyle="1" w:styleId="171">
    <w:name w:val="SSE资料来源"/>
    <w:basedOn w:val="1"/>
    <w:qFormat/>
    <w:uiPriority w:val="0"/>
    <w:pPr>
      <w:spacing w:before="0" w:after="280"/>
      <w:ind w:left="0" w:right="0" w:firstLine="200"/>
    </w:pPr>
    <w:rPr>
      <w:rFonts w:ascii="仿宋_GB2312" w:hAnsi="仿宋_GB2312" w:eastAsia="仿宋_GB2312"/>
      <w:color w:val="000000"/>
      <w:kern w:val="0"/>
      <w:sz w:val="20"/>
      <w:lang w:val="zh-CN"/>
    </w:rPr>
  </w:style>
  <w:style w:type="paragraph" w:customStyle="1" w:styleId="172">
    <w:name w:val="SSE标题2"/>
    <w:basedOn w:val="3"/>
    <w:qFormat/>
    <w:uiPriority w:val="0"/>
    <w:pPr>
      <w:numPr>
        <w:ilvl w:val="0"/>
        <w:numId w:val="0"/>
      </w:numPr>
      <w:spacing w:before="260" w:after="0" w:line="240" w:lineRule="auto"/>
      <w:outlineLvl w:val="9"/>
    </w:pPr>
    <w:rPr>
      <w:rFonts w:ascii="仿宋_GB2312" w:hAnsi="仿宋_GB2312" w:eastAsia="仿宋_GB2312" w:cs="Times New Roman"/>
      <w:sz w:val="28"/>
      <w:szCs w:val="28"/>
    </w:rPr>
  </w:style>
  <w:style w:type="paragraph" w:customStyle="1" w:styleId="173">
    <w:name w:val="SSE表格文字"/>
    <w:basedOn w:val="1"/>
    <w:qFormat/>
    <w:uiPriority w:val="0"/>
    <w:pPr>
      <w:widowControl/>
      <w:jc w:val="center"/>
    </w:pPr>
    <w:rPr>
      <w:rFonts w:ascii="仿宋_GB2312" w:hAnsi="仿宋_GB2312" w:eastAsia="仿宋_GB2312"/>
      <w:color w:val="000000"/>
      <w:kern w:val="0"/>
      <w:sz w:val="24"/>
      <w:szCs w:val="24"/>
      <w:lang w:val="zh-CN"/>
    </w:rPr>
  </w:style>
  <w:style w:type="paragraph" w:customStyle="1" w:styleId="174">
    <w:name w:val="SSE图表标题"/>
    <w:basedOn w:val="7"/>
    <w:qFormat/>
    <w:uiPriority w:val="0"/>
    <w:pPr>
      <w:numPr>
        <w:ilvl w:val="0"/>
        <w:numId w:val="0"/>
      </w:numPr>
      <w:spacing w:before="240" w:after="0" w:line="240" w:lineRule="auto"/>
      <w:jc w:val="center"/>
      <w:outlineLvl w:val="9"/>
    </w:pPr>
    <w:rPr>
      <w:rFonts w:ascii="仿宋_GB2312" w:hAnsi="仿宋_GB2312" w:eastAsia="仿宋_GB2312" w:cs="Times New Roman"/>
      <w:color w:val="000000"/>
      <w:kern w:val="0"/>
      <w:lang w:val="zh-CN"/>
    </w:rPr>
  </w:style>
  <w:style w:type="paragraph" w:customStyle="1" w:styleId="175">
    <w:name w:val="a4"/>
    <w:basedOn w:val="1"/>
    <w:qFormat/>
    <w:uiPriority w:val="0"/>
    <w:pPr>
      <w:widowControl/>
      <w:spacing w:before="280" w:after="280"/>
      <w:jc w:val="left"/>
    </w:pPr>
    <w:rPr>
      <w:rFonts w:ascii="宋体;SimSun" w:hAnsi="宋体;SimSun" w:cs="宋体;SimSun"/>
      <w:kern w:val="0"/>
      <w:sz w:val="24"/>
      <w:szCs w:val="24"/>
    </w:rPr>
  </w:style>
  <w:style w:type="paragraph" w:customStyle="1" w:styleId="176">
    <w:name w:val="font5"/>
    <w:basedOn w:val="1"/>
    <w:qFormat/>
    <w:uiPriority w:val="0"/>
    <w:pPr>
      <w:widowControl/>
      <w:spacing w:before="280" w:after="280"/>
      <w:jc w:val="left"/>
    </w:pPr>
    <w:rPr>
      <w:rFonts w:ascii="等线;汉仪中等线KW" w:hAnsi="等线;汉仪中等线KW" w:eastAsia="等线;汉仪中等线KW" w:cs="宋体;SimSun"/>
      <w:kern w:val="0"/>
      <w:sz w:val="18"/>
      <w:szCs w:val="18"/>
    </w:rPr>
  </w:style>
  <w:style w:type="paragraph" w:customStyle="1" w:styleId="177">
    <w:name w:val="xl65"/>
    <w:basedOn w:val="1"/>
    <w:qFormat/>
    <w:uiPriority w:val="0"/>
    <w:pPr>
      <w:widowControl/>
      <w:pBdr>
        <w:top w:val="single" w:color="000000" w:sz="4" w:space="0"/>
        <w:left w:val="single" w:color="000000" w:sz="4" w:space="0"/>
        <w:bottom w:val="single" w:color="000000" w:sz="4" w:space="0"/>
        <w:right w:val="single" w:color="000000" w:sz="4" w:space="0"/>
      </w:pBdr>
      <w:spacing w:before="280" w:after="280"/>
      <w:jc w:val="center"/>
    </w:pPr>
    <w:rPr>
      <w:rFonts w:ascii="仿宋_GB2312" w:hAnsi="仿宋_GB2312" w:eastAsia="仿宋_GB2312" w:cs="宋体;SimSun"/>
      <w:b/>
      <w:bCs/>
      <w:kern w:val="0"/>
      <w:szCs w:val="21"/>
    </w:rPr>
  </w:style>
  <w:style w:type="paragraph" w:customStyle="1" w:styleId="178">
    <w:name w:val="xl66"/>
    <w:basedOn w:val="1"/>
    <w:qFormat/>
    <w:uiPriority w:val="0"/>
    <w:pPr>
      <w:widowControl/>
      <w:pBdr>
        <w:top w:val="single" w:color="000000" w:sz="4" w:space="0"/>
        <w:left w:val="single" w:color="000000" w:sz="4" w:space="0"/>
        <w:bottom w:val="single" w:color="000000" w:sz="4" w:space="0"/>
        <w:right w:val="single" w:color="000000" w:sz="4" w:space="0"/>
      </w:pBdr>
      <w:spacing w:before="280" w:after="280"/>
      <w:jc w:val="center"/>
    </w:pPr>
    <w:rPr>
      <w:rFonts w:ascii="宋体;SimSun" w:hAnsi="宋体;SimSun" w:cs="宋体;SimSun"/>
      <w:kern w:val="0"/>
      <w:sz w:val="24"/>
      <w:szCs w:val="24"/>
    </w:rPr>
  </w:style>
  <w:style w:type="paragraph" w:customStyle="1" w:styleId="179">
    <w:name w:val="正正正"/>
    <w:basedOn w:val="1"/>
    <w:qFormat/>
    <w:uiPriority w:val="0"/>
    <w:pPr>
      <w:spacing w:line="560" w:lineRule="exact"/>
      <w:ind w:left="0" w:right="0" w:firstLine="640"/>
    </w:pPr>
    <w:rPr>
      <w:rFonts w:ascii="仿宋_GB2312" w:hAnsi="仿宋_GB2312" w:eastAsia="仿宋_GB2312" w:cs="Times New Roman"/>
      <w:sz w:val="32"/>
      <w:szCs w:val="32"/>
    </w:rPr>
  </w:style>
  <w:style w:type="paragraph" w:customStyle="1" w:styleId="180">
    <w:name w:val="Frame Contents"/>
    <w:basedOn w:v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wdzx97.dot</Template>
  <Pages>13</Pages>
  <Words>5994</Words>
  <Characters>6135</Characters>
  <TotalTime>0</TotalTime>
  <ScaleCrop>false</ScaleCrop>
  <LinksUpToDate>false</LinksUpToDate>
  <CharactersWithSpaces>6151</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2025-07-09T05:41:42Z</dcterms:created>
  <dc:creator>user</dc:creator>
  <cp:lastModifiedBy>妮妮橙  จุ๊บ</cp:lastModifiedBy>
  <dcterms:modified xsi:type="dcterms:W3CDTF">2025-07-09T05:42:18Z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eyJoZGlkIjoiMTU4ZWRiMTZhMjAzZTczZTMwYjAxYTVhNTEzNDEwOWMiLCJ1c2VySWQiOiIxMDQyNTAzNzc4In0=</vt:lpwstr>
  </property>
  <property fmtid="{D5CDD505-2E9C-101B-9397-08002B2CF9AE}" pid="3" name="KSOProductBuildVer">
    <vt:lpwstr>2052-12.1.0.21915</vt:lpwstr>
  </property>
  <property fmtid="{D5CDD505-2E9C-101B-9397-08002B2CF9AE}" pid="4" name="ICV">
    <vt:lpwstr>0AC761177B23449ABAAA0A3CC3CA2FC8_12</vt:lpwstr>
  </property>
</Properties>
</file>