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7A2488">
      <w:pPr>
        <w:spacing w:line="560" w:lineRule="exact"/>
        <w:jc w:val="left"/>
        <w:rPr>
          <w:rFonts w:ascii="黑体" w:hAnsi="黑体" w:eastAsia="黑体" w:cs="黑体"/>
          <w:sz w:val="32"/>
          <w:szCs w:val="32"/>
        </w:rPr>
      </w:pPr>
      <w:r>
        <w:rPr>
          <w:rFonts w:hint="eastAsia" w:ascii="黑体" w:hAnsi="黑体" w:eastAsia="黑体" w:cs="黑体"/>
          <w:sz w:val="32"/>
          <w:szCs w:val="32"/>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Pr>
          <w:rFonts w:hint="eastAsia" w:ascii="黑体" w:hAnsi="黑体" w:eastAsia="黑体" w:cs="黑体"/>
          <w:sz w:val="32"/>
          <w:szCs w:val="32"/>
        </w:rPr>
        <w:instrText xml:space="preserve">ADDIN CNKISM.UserStyle</w:instrText>
      </w:r>
      <w:r>
        <w:rPr>
          <w:rFonts w:hint="eastAsia" w:ascii="黑体" w:hAnsi="黑体" w:eastAsia="黑体" w:cs="黑体"/>
          <w:sz w:val="32"/>
          <w:szCs w:val="32"/>
        </w:rPr>
        <w:fldChar w:fldCharType="end"/>
      </w:r>
      <w:r>
        <w:rPr>
          <w:rFonts w:hint="eastAsia" w:ascii="黑体" w:hAnsi="黑体" w:eastAsia="黑体" w:cs="黑体"/>
          <w:sz w:val="32"/>
          <w:szCs w:val="32"/>
        </w:rPr>
        <w:t>附件</w:t>
      </w:r>
    </w:p>
    <w:p w14:paraId="5F4E2AAE">
      <w:pPr>
        <w:spacing w:line="560" w:lineRule="exact"/>
        <w:jc w:val="left"/>
        <w:rPr>
          <w:rFonts w:ascii="仿宋_GB2312" w:hAnsi="仿宋" w:eastAsia="仿宋_GB2312"/>
          <w:sz w:val="32"/>
          <w:szCs w:val="32"/>
        </w:rPr>
      </w:pPr>
      <w:r>
        <w:rPr>
          <w:rFonts w:ascii="仿宋_GB2312" w:hAnsi="仿宋" w:eastAsia="仿宋_GB2312"/>
          <w:sz w:val="32"/>
          <w:szCs w:val="32"/>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Pr>
          <w:rFonts w:ascii="仿宋_GB2312" w:hAnsi="仿宋" w:eastAsia="仿宋_GB2312"/>
          <w:sz w:val="32"/>
          <w:szCs w:val="32"/>
        </w:rPr>
        <w:instrText xml:space="preserve">ADDIN CNKISM.UserStyle</w:instrText>
      </w:r>
      <w:r>
        <w:rPr>
          <w:rFonts w:ascii="仿宋_GB2312" w:hAnsi="仿宋" w:eastAsia="仿宋_GB2312"/>
          <w:sz w:val="32"/>
          <w:szCs w:val="32"/>
        </w:rPr>
        <w:fldChar w:fldCharType="end"/>
      </w:r>
    </w:p>
    <w:p w14:paraId="71FE4CE0">
      <w:pPr>
        <w:adjustRightInd w:val="0"/>
        <w:snapToGrid w:val="0"/>
        <w:spacing w:line="560" w:lineRule="exact"/>
        <w:jc w:val="center"/>
        <w:rPr>
          <w:rFonts w:ascii="Times New Roman" w:hAnsi="Times New Roman" w:eastAsia="方正大标宋简体"/>
          <w:b/>
          <w:bCs/>
          <w:kern w:val="0"/>
          <w:sz w:val="44"/>
          <w:szCs w:val="44"/>
        </w:rPr>
      </w:pPr>
      <w:r>
        <w:rPr>
          <w:rFonts w:ascii="Times New Roman" w:hAnsi="Times New Roman" w:eastAsia="方正大标宋简体"/>
          <w:b/>
          <w:bCs/>
          <w:kern w:val="0"/>
          <w:sz w:val="44"/>
          <w:szCs w:val="44"/>
        </w:rPr>
        <w:t>上海证券交易所债券交易规则适用指引</w:t>
      </w:r>
    </w:p>
    <w:p w14:paraId="12A71320">
      <w:pPr>
        <w:adjustRightInd w:val="0"/>
        <w:snapToGrid w:val="0"/>
        <w:spacing w:line="560" w:lineRule="exact"/>
        <w:jc w:val="center"/>
        <w:rPr>
          <w:rFonts w:ascii="Times New Roman" w:hAnsi="Times New Roman" w:eastAsia="方正大标宋简体"/>
          <w:b/>
          <w:bCs/>
          <w:kern w:val="0"/>
          <w:sz w:val="44"/>
          <w:szCs w:val="44"/>
        </w:rPr>
      </w:pPr>
      <w:bookmarkStart w:id="2" w:name="_GoBack"/>
      <w:bookmarkEnd w:id="2"/>
      <w:r>
        <w:rPr>
          <w:rFonts w:ascii="Times New Roman" w:hAnsi="Times New Roman" w:eastAsia="方正大标宋简体"/>
          <w:b/>
          <w:bCs/>
          <w:kern w:val="0"/>
          <w:sz w:val="44"/>
          <w:szCs w:val="44"/>
        </w:rPr>
        <w:t>第5号——交易中介服务</w:t>
      </w:r>
    </w:p>
    <w:p w14:paraId="3B64C4A5">
      <w:pPr>
        <w:adjustRightInd w:val="0"/>
        <w:snapToGrid w:val="0"/>
        <w:spacing w:line="560" w:lineRule="exact"/>
        <w:rPr>
          <w:rFonts w:ascii="仿宋_GB2312" w:eastAsia="仿宋_GB2312" w:cs="宋体"/>
          <w:kern w:val="0"/>
          <w:sz w:val="32"/>
          <w:szCs w:val="32"/>
        </w:rPr>
      </w:pPr>
    </w:p>
    <w:p w14:paraId="33E0A638">
      <w:pPr>
        <w:adjustRightInd w:val="0"/>
        <w:snapToGrid w:val="0"/>
        <w:spacing w:line="560" w:lineRule="exact"/>
        <w:jc w:val="center"/>
        <w:rPr>
          <w:rFonts w:ascii="黑体" w:hAnsi="黑体" w:eastAsia="黑体" w:cs="黑体"/>
          <w:b/>
          <w:bCs/>
          <w:kern w:val="0"/>
          <w:sz w:val="32"/>
          <w:szCs w:val="32"/>
        </w:rPr>
      </w:pPr>
      <w:r>
        <w:rPr>
          <w:rFonts w:hint="eastAsia" w:ascii="黑体" w:hAnsi="黑体" w:eastAsia="黑体" w:cs="黑体"/>
          <w:b/>
          <w:bCs/>
          <w:kern w:val="0"/>
          <w:sz w:val="32"/>
          <w:szCs w:val="32"/>
        </w:rPr>
        <w:t>第一章  总则</w:t>
      </w:r>
    </w:p>
    <w:p w14:paraId="470E046D">
      <w:pPr>
        <w:pStyle w:val="20"/>
        <w:numPr>
          <w:ilvl w:val="1"/>
          <w:numId w:val="0"/>
        </w:numPr>
        <w:spacing w:line="560" w:lineRule="exact"/>
        <w:ind w:left="-10" w:leftChars="0" w:firstLine="640" w:firstLineChars="0"/>
        <w:rPr>
          <w:rFonts w:ascii="仿宋_GB2312" w:eastAsia="仿宋_GB2312"/>
          <w:sz w:val="32"/>
          <w:szCs w:val="32"/>
        </w:rPr>
      </w:pPr>
      <w:bookmarkStart w:id="0" w:name="_Toc18595377"/>
      <w:bookmarkEnd w:id="0"/>
      <w:bookmarkStart w:id="1" w:name="_Toc27643079"/>
      <w:r>
        <w:rPr>
          <w:rFonts w:hint="eastAsia" w:ascii="仿宋_GB2312" w:hAnsi="Calibri" w:eastAsia="仿宋_GB2312" w:cs="Times New Roman"/>
          <w:b/>
          <w:i w:val="0"/>
          <w:color w:val="auto"/>
          <w:kern w:val="2"/>
          <w:sz w:val="32"/>
          <w:szCs w:val="32"/>
          <w:highlight w:val="none"/>
          <w:lang w:val="en-US" w:eastAsia="zh-CN" w:bidi="ar-SA"/>
        </w:rPr>
        <w:t xml:space="preserve">第一条 </w:t>
      </w:r>
      <w:r>
        <w:rPr>
          <w:rFonts w:hint="eastAsia" w:ascii="仿宋_GB2312" w:eastAsia="仿宋_GB2312"/>
          <w:sz w:val="32"/>
          <w:szCs w:val="32"/>
        </w:rPr>
        <w:t>为了规范上海证券交易所（以下简称本所）债券交易中介服务，促进债券市场健康发展，保护投资者合法权益，根据《上海证券交易所债券交易规则》等规定，制定本指引。</w:t>
      </w:r>
    </w:p>
    <w:p w14:paraId="66EAA6A1">
      <w:pPr>
        <w:pStyle w:val="20"/>
        <w:numPr>
          <w:ilvl w:val="1"/>
          <w:numId w:val="0"/>
        </w:numPr>
        <w:spacing w:line="560" w:lineRule="exact"/>
        <w:ind w:left="-10" w:leftChars="0" w:firstLine="640" w:firstLineChars="0"/>
        <w:rPr>
          <w:rFonts w:ascii="仿宋_GB2312" w:eastAsia="仿宋_GB2312"/>
          <w:sz w:val="32"/>
          <w:szCs w:val="32"/>
        </w:rPr>
      </w:pPr>
      <w:r>
        <w:rPr>
          <w:rFonts w:hint="eastAsia" w:ascii="仿宋_GB2312" w:hAnsi="Calibri" w:eastAsia="仿宋_GB2312" w:cs="Times New Roman"/>
          <w:b/>
          <w:i w:val="0"/>
          <w:color w:val="auto"/>
          <w:kern w:val="2"/>
          <w:sz w:val="32"/>
          <w:szCs w:val="32"/>
          <w:highlight w:val="none"/>
          <w:lang w:val="en-US" w:eastAsia="zh-CN" w:bidi="ar-SA"/>
        </w:rPr>
        <w:t xml:space="preserve">第二条 </w:t>
      </w:r>
      <w:r>
        <w:rPr>
          <w:rFonts w:hint="eastAsia" w:ascii="仿宋_GB2312" w:eastAsia="仿宋_GB2312"/>
          <w:sz w:val="32"/>
          <w:szCs w:val="32"/>
        </w:rPr>
        <w:t>按照规定设立的货币经纪公司等交易中介服务机构开展的,与本所债券交易相关的交易中介服务，适用本指引。</w:t>
      </w:r>
    </w:p>
    <w:p w14:paraId="43033D2F">
      <w:pPr>
        <w:pStyle w:val="20"/>
        <w:spacing w:line="560" w:lineRule="exact"/>
        <w:ind w:firstLine="640"/>
        <w:rPr>
          <w:rFonts w:ascii="仿宋_GB2312" w:eastAsia="仿宋_GB2312"/>
          <w:sz w:val="32"/>
          <w:szCs w:val="32"/>
        </w:rPr>
      </w:pPr>
      <w:r>
        <w:rPr>
          <w:rFonts w:hint="eastAsia" w:ascii="仿宋_GB2312" w:eastAsia="仿宋_GB2312"/>
          <w:sz w:val="32"/>
          <w:szCs w:val="32"/>
        </w:rPr>
        <w:t>本指引所称债券交易中介服务，是指债券交易中介服务机构自身不作为交易对手方，以促成服务对象的债券交易达成为目的，接受服务对象的委托，为服务对象寻找交易对手、发布交易意向等服务行为。</w:t>
      </w:r>
    </w:p>
    <w:p w14:paraId="22E5571A">
      <w:pPr>
        <w:pStyle w:val="20"/>
        <w:spacing w:line="560" w:lineRule="exact"/>
        <w:ind w:firstLine="640"/>
        <w:rPr>
          <w:rFonts w:ascii="仿宋_GB2312" w:eastAsia="仿宋_GB2312"/>
          <w:sz w:val="32"/>
          <w:szCs w:val="32"/>
        </w:rPr>
      </w:pPr>
      <w:r>
        <w:rPr>
          <w:rFonts w:hint="eastAsia" w:ascii="仿宋_GB2312" w:eastAsia="仿宋_GB2312"/>
          <w:sz w:val="32"/>
          <w:szCs w:val="32"/>
        </w:rPr>
        <w:t>本指引所称服务对象,是指符合相关规定，接受债券交易中介服务机构提供的债券交易中介服务的机构投资者。</w:t>
      </w:r>
    </w:p>
    <w:p w14:paraId="2727069F">
      <w:pPr>
        <w:pStyle w:val="20"/>
        <w:numPr>
          <w:ilvl w:val="1"/>
          <w:numId w:val="0"/>
        </w:numPr>
        <w:spacing w:line="560" w:lineRule="exact"/>
        <w:ind w:left="-10" w:leftChars="0" w:firstLine="640" w:firstLineChars="0"/>
        <w:rPr>
          <w:rFonts w:ascii="仿宋_GB2312" w:eastAsia="仿宋_GB2312"/>
          <w:sz w:val="32"/>
          <w:szCs w:val="32"/>
        </w:rPr>
      </w:pPr>
      <w:r>
        <w:rPr>
          <w:rFonts w:hint="eastAsia" w:ascii="仿宋_GB2312" w:hAnsi="Calibri" w:eastAsia="仿宋_GB2312" w:cs="Times New Roman"/>
          <w:b/>
          <w:i w:val="0"/>
          <w:color w:val="auto"/>
          <w:kern w:val="2"/>
          <w:sz w:val="32"/>
          <w:szCs w:val="32"/>
          <w:highlight w:val="none"/>
          <w:lang w:val="en-US" w:eastAsia="zh-CN" w:bidi="ar-SA"/>
        </w:rPr>
        <w:t xml:space="preserve">第三条 </w:t>
      </w:r>
      <w:r>
        <w:rPr>
          <w:rFonts w:hint="eastAsia" w:ascii="仿宋_GB2312" w:eastAsia="仿宋_GB2312"/>
          <w:sz w:val="32"/>
          <w:szCs w:val="32"/>
        </w:rPr>
        <w:t>债券交易中介服务机构可以提供债券交易中介服务的业务范围，包括在本所上市或挂牌的债券、资产支持证券和其他具有固定收益特征产品的现券交易或转让，以及在本所开展的债券回购、债券借贷以及本所认可的其他交易。</w:t>
      </w:r>
    </w:p>
    <w:p w14:paraId="21481C04">
      <w:pPr>
        <w:pStyle w:val="20"/>
        <w:spacing w:line="560" w:lineRule="exact"/>
        <w:ind w:firstLine="640"/>
        <w:rPr>
          <w:rFonts w:ascii="仿宋_GB2312" w:eastAsia="仿宋_GB2312"/>
          <w:sz w:val="32"/>
          <w:szCs w:val="32"/>
        </w:rPr>
      </w:pPr>
      <w:r>
        <w:rPr>
          <w:rFonts w:hint="eastAsia" w:ascii="仿宋_GB2312" w:eastAsia="仿宋_GB2312"/>
          <w:sz w:val="32"/>
          <w:szCs w:val="32"/>
        </w:rPr>
        <w:t>债券交易中介服务机构不得在本所债券发行业务中开展中介服务。</w:t>
      </w:r>
    </w:p>
    <w:p w14:paraId="451F40A2">
      <w:pPr>
        <w:pStyle w:val="20"/>
        <w:numPr>
          <w:ilvl w:val="1"/>
          <w:numId w:val="0"/>
        </w:numPr>
        <w:spacing w:line="560" w:lineRule="exact"/>
        <w:ind w:left="-10" w:leftChars="0" w:firstLine="640" w:firstLineChars="0"/>
        <w:rPr>
          <w:rFonts w:ascii="仿宋_GB2312" w:eastAsia="仿宋_GB2312"/>
          <w:sz w:val="32"/>
          <w:szCs w:val="32"/>
        </w:rPr>
      </w:pPr>
      <w:r>
        <w:rPr>
          <w:rFonts w:hint="eastAsia" w:ascii="仿宋_GB2312" w:hAnsi="Calibri" w:eastAsia="仿宋_GB2312" w:cs="Times New Roman"/>
          <w:b/>
          <w:i w:val="0"/>
          <w:color w:val="auto"/>
          <w:kern w:val="2"/>
          <w:sz w:val="32"/>
          <w:szCs w:val="32"/>
          <w:highlight w:val="none"/>
          <w:lang w:val="en-US" w:eastAsia="zh-CN" w:bidi="ar-SA"/>
        </w:rPr>
        <w:t xml:space="preserve">第四条 </w:t>
      </w:r>
      <w:r>
        <w:rPr>
          <w:rFonts w:hint="eastAsia" w:ascii="仿宋_GB2312" w:eastAsia="仿宋_GB2312"/>
          <w:sz w:val="32"/>
          <w:szCs w:val="32"/>
        </w:rPr>
        <w:t>债券交易中介服务机构及其从业人员开展债券交易中介服务，应当遵守法律、行政法规、部门规章、规范性文件（以下统称法律法规）、本指引和本所其他相关业务规则的规定，以及相关协议的约定。</w:t>
      </w:r>
    </w:p>
    <w:p w14:paraId="40AAA0CE">
      <w:pPr>
        <w:pStyle w:val="20"/>
        <w:spacing w:line="560" w:lineRule="exact"/>
        <w:ind w:firstLine="640"/>
        <w:rPr>
          <w:rFonts w:ascii="仿宋_GB2312" w:eastAsia="仿宋_GB2312"/>
          <w:sz w:val="32"/>
          <w:szCs w:val="32"/>
        </w:rPr>
      </w:pPr>
      <w:r>
        <w:rPr>
          <w:rFonts w:hint="eastAsia" w:ascii="仿宋_GB2312" w:eastAsia="仿宋_GB2312"/>
          <w:sz w:val="32"/>
          <w:szCs w:val="32"/>
        </w:rPr>
        <w:t>债券交易中介服务机构是本所债券交易专业服务机构，应当接受本所的自律管理。</w:t>
      </w:r>
    </w:p>
    <w:p w14:paraId="7F541B03">
      <w:pPr>
        <w:pStyle w:val="20"/>
        <w:spacing w:line="560" w:lineRule="exact"/>
        <w:ind w:left="630" w:firstLine="0" w:firstLineChars="0"/>
        <w:rPr>
          <w:rFonts w:ascii="仿宋_GB2312" w:eastAsia="仿宋_GB2312"/>
          <w:sz w:val="32"/>
          <w:szCs w:val="32"/>
        </w:rPr>
      </w:pPr>
    </w:p>
    <w:p w14:paraId="0EAD5A6F">
      <w:pPr>
        <w:pStyle w:val="20"/>
        <w:spacing w:line="560" w:lineRule="exact"/>
        <w:ind w:firstLine="0" w:firstLineChars="0"/>
        <w:jc w:val="center"/>
        <w:rPr>
          <w:rFonts w:ascii="黑体" w:hAnsi="黑体" w:eastAsia="黑体"/>
          <w:b/>
          <w:bCs/>
          <w:kern w:val="44"/>
          <w:sz w:val="32"/>
          <w:szCs w:val="32"/>
        </w:rPr>
      </w:pPr>
      <w:r>
        <w:rPr>
          <w:rFonts w:hint="eastAsia" w:ascii="黑体" w:hAnsi="黑体" w:eastAsia="黑体"/>
          <w:b/>
          <w:bCs/>
          <w:kern w:val="44"/>
          <w:sz w:val="32"/>
          <w:szCs w:val="32"/>
        </w:rPr>
        <w:t>第二章  内部管理与风险管理</w:t>
      </w:r>
    </w:p>
    <w:p w14:paraId="0D67A523">
      <w:pPr>
        <w:pStyle w:val="20"/>
        <w:numPr>
          <w:ilvl w:val="1"/>
          <w:numId w:val="0"/>
        </w:numPr>
        <w:spacing w:line="560" w:lineRule="exact"/>
        <w:ind w:left="-10" w:leftChars="0" w:firstLine="640" w:firstLineChars="0"/>
        <w:rPr>
          <w:rFonts w:ascii="仿宋_GB2312" w:eastAsia="仿宋_GB2312"/>
          <w:sz w:val="32"/>
          <w:szCs w:val="32"/>
        </w:rPr>
      </w:pPr>
      <w:r>
        <w:rPr>
          <w:rFonts w:hint="eastAsia" w:ascii="仿宋_GB2312" w:hAnsi="Calibri" w:eastAsia="仿宋_GB2312" w:cs="Times New Roman"/>
          <w:b/>
          <w:i w:val="0"/>
          <w:color w:val="auto"/>
          <w:kern w:val="2"/>
          <w:sz w:val="32"/>
          <w:szCs w:val="32"/>
          <w:highlight w:val="none"/>
          <w:lang w:val="en-US" w:eastAsia="zh-CN" w:bidi="ar-SA"/>
        </w:rPr>
        <w:t xml:space="preserve">第五条 </w:t>
      </w:r>
      <w:r>
        <w:rPr>
          <w:rFonts w:hint="eastAsia" w:ascii="仿宋_GB2312" w:eastAsia="仿宋_GB2312"/>
          <w:sz w:val="32"/>
          <w:szCs w:val="32"/>
        </w:rPr>
        <w:t>债券交易中介服务机构应当按照审慎经营原则，建立完善有效的内部控制制度，对其在本所开展的债券交易中介服务实现全流程管理。</w:t>
      </w:r>
    </w:p>
    <w:p w14:paraId="5CD50C23">
      <w:pPr>
        <w:pStyle w:val="20"/>
        <w:numPr>
          <w:ilvl w:val="1"/>
          <w:numId w:val="0"/>
        </w:numPr>
        <w:spacing w:line="560" w:lineRule="exact"/>
        <w:ind w:left="-10" w:leftChars="0" w:firstLine="640" w:firstLineChars="0"/>
        <w:rPr>
          <w:rFonts w:ascii="仿宋_GB2312" w:eastAsia="仿宋_GB2312"/>
          <w:sz w:val="32"/>
          <w:szCs w:val="32"/>
        </w:rPr>
      </w:pPr>
      <w:r>
        <w:rPr>
          <w:rFonts w:hint="eastAsia" w:ascii="仿宋_GB2312" w:hAnsi="Calibri" w:eastAsia="仿宋_GB2312" w:cs="Times New Roman"/>
          <w:b/>
          <w:i w:val="0"/>
          <w:color w:val="auto"/>
          <w:kern w:val="2"/>
          <w:sz w:val="32"/>
          <w:szCs w:val="32"/>
          <w:highlight w:val="none"/>
          <w:lang w:val="en-US" w:eastAsia="zh-CN" w:bidi="ar-SA"/>
        </w:rPr>
        <w:t xml:space="preserve">第六条 </w:t>
      </w:r>
      <w:r>
        <w:rPr>
          <w:rFonts w:hint="eastAsia" w:ascii="仿宋_GB2312" w:eastAsia="仿宋_GB2312"/>
          <w:sz w:val="32"/>
          <w:szCs w:val="32"/>
        </w:rPr>
        <w:t>债券交易中介服务机构应当建立业务岗位职责和权限管理制度，制定从业人员行为规范，防范从业人员违规展业和利益冲突。</w:t>
      </w:r>
    </w:p>
    <w:p w14:paraId="622C669A">
      <w:pPr>
        <w:pStyle w:val="20"/>
        <w:spacing w:line="560" w:lineRule="exact"/>
        <w:ind w:firstLine="640"/>
        <w:rPr>
          <w:rFonts w:ascii="仿宋_GB2312" w:eastAsia="仿宋_GB2312"/>
          <w:sz w:val="32"/>
          <w:szCs w:val="32"/>
        </w:rPr>
      </w:pPr>
      <w:r>
        <w:rPr>
          <w:rFonts w:hint="eastAsia" w:ascii="仿宋_GB2312" w:eastAsia="仿宋_GB2312"/>
          <w:sz w:val="32"/>
          <w:szCs w:val="32"/>
        </w:rPr>
        <w:t>债券交易中介服务机构应当根据岗位职责需要，配备具有相应职业操守、专业技能和认知能力的从业人员，并对从业人员的业务行为负责。</w:t>
      </w:r>
    </w:p>
    <w:p w14:paraId="46F591BF">
      <w:pPr>
        <w:pStyle w:val="20"/>
        <w:numPr>
          <w:ilvl w:val="1"/>
          <w:numId w:val="0"/>
        </w:numPr>
        <w:spacing w:line="560" w:lineRule="exact"/>
        <w:ind w:left="-10" w:leftChars="0" w:firstLine="640" w:firstLineChars="0"/>
        <w:rPr>
          <w:rFonts w:ascii="仿宋_GB2312" w:eastAsia="仿宋_GB2312"/>
          <w:sz w:val="32"/>
          <w:szCs w:val="32"/>
        </w:rPr>
      </w:pPr>
      <w:r>
        <w:rPr>
          <w:rFonts w:hint="eastAsia" w:ascii="仿宋_GB2312" w:hAnsi="Calibri" w:eastAsia="仿宋_GB2312" w:cs="Times New Roman"/>
          <w:b/>
          <w:i w:val="0"/>
          <w:color w:val="auto"/>
          <w:kern w:val="2"/>
          <w:sz w:val="32"/>
          <w:szCs w:val="32"/>
          <w:highlight w:val="none"/>
          <w:lang w:val="en-US" w:eastAsia="zh-CN" w:bidi="ar-SA"/>
        </w:rPr>
        <w:t xml:space="preserve">第七条 </w:t>
      </w:r>
      <w:r>
        <w:rPr>
          <w:rFonts w:hint="eastAsia" w:ascii="仿宋_GB2312" w:eastAsia="仿宋_GB2312"/>
          <w:sz w:val="32"/>
          <w:szCs w:val="32"/>
        </w:rPr>
        <w:t>债券交易中介服务机构应当具备专用于开展债券交易中介服务的办公场地，以及电话、邮件和交易即时通讯工具等通讯设施（以下统称通讯设施），并通过内部制度明确从业人员可以开展业务的场所范围和通讯设施使用范围。</w:t>
      </w:r>
    </w:p>
    <w:p w14:paraId="58D8A030">
      <w:pPr>
        <w:pStyle w:val="20"/>
        <w:spacing w:line="560" w:lineRule="exact"/>
        <w:ind w:firstLine="640"/>
        <w:rPr>
          <w:rFonts w:ascii="仿宋_GB2312" w:eastAsia="仿宋_GB2312"/>
          <w:sz w:val="32"/>
          <w:szCs w:val="32"/>
        </w:rPr>
      </w:pPr>
      <w:r>
        <w:rPr>
          <w:rFonts w:hint="eastAsia" w:ascii="仿宋_GB2312" w:eastAsia="仿宋_GB2312"/>
          <w:sz w:val="32"/>
          <w:szCs w:val="32"/>
        </w:rPr>
        <w:t>债券交易中介服务机构从业人员应当使用公司统一配置的通讯设施，并做好实名认证和沟通记录的监控留痕，真实、准确、完整地反映从业人员债券交易中介服务过程和成交结果，有效管理从业人员债券交易中介服务开展情况。</w:t>
      </w:r>
    </w:p>
    <w:p w14:paraId="2868A240">
      <w:pPr>
        <w:pStyle w:val="20"/>
        <w:numPr>
          <w:ilvl w:val="1"/>
          <w:numId w:val="0"/>
        </w:numPr>
        <w:spacing w:line="560" w:lineRule="exact"/>
        <w:ind w:left="-10" w:leftChars="0" w:firstLine="640" w:firstLineChars="0"/>
        <w:rPr>
          <w:rFonts w:ascii="仿宋_GB2312" w:eastAsia="仿宋_GB2312"/>
          <w:sz w:val="32"/>
          <w:szCs w:val="32"/>
        </w:rPr>
      </w:pPr>
      <w:r>
        <w:rPr>
          <w:rFonts w:hint="eastAsia" w:ascii="仿宋_GB2312" w:hAnsi="Calibri" w:eastAsia="仿宋_GB2312" w:cs="Times New Roman"/>
          <w:b/>
          <w:i w:val="0"/>
          <w:color w:val="auto"/>
          <w:kern w:val="2"/>
          <w:sz w:val="32"/>
          <w:szCs w:val="32"/>
          <w:highlight w:val="none"/>
          <w:lang w:val="en-US" w:eastAsia="zh-CN" w:bidi="ar-SA"/>
        </w:rPr>
        <w:t xml:space="preserve">第八条 </w:t>
      </w:r>
      <w:r>
        <w:rPr>
          <w:rFonts w:hint="eastAsia" w:ascii="仿宋_GB2312" w:eastAsia="仿宋_GB2312"/>
          <w:sz w:val="32"/>
          <w:szCs w:val="32"/>
        </w:rPr>
        <w:t>债券交易中介服务机构应当建立数据安全管理制度，确保在本所开展的债券交易中介服务产生数据的处理、使用和保管符合法律法规规定。</w:t>
      </w:r>
    </w:p>
    <w:p w14:paraId="00C3785E">
      <w:pPr>
        <w:pStyle w:val="20"/>
        <w:numPr>
          <w:ilvl w:val="1"/>
          <w:numId w:val="0"/>
        </w:numPr>
        <w:spacing w:line="560" w:lineRule="exact"/>
        <w:ind w:left="-10" w:leftChars="0" w:firstLine="640" w:firstLineChars="0"/>
        <w:rPr>
          <w:rFonts w:ascii="仿宋_GB2312" w:eastAsia="仿宋_GB2312"/>
          <w:sz w:val="32"/>
          <w:szCs w:val="32"/>
        </w:rPr>
      </w:pPr>
      <w:r>
        <w:rPr>
          <w:rFonts w:hint="eastAsia" w:ascii="仿宋_GB2312" w:hAnsi="Calibri" w:eastAsia="仿宋_GB2312" w:cs="Times New Roman"/>
          <w:b/>
          <w:i w:val="0"/>
          <w:color w:val="auto"/>
          <w:kern w:val="2"/>
          <w:sz w:val="32"/>
          <w:szCs w:val="32"/>
          <w:highlight w:val="none"/>
          <w:lang w:val="en-US" w:eastAsia="zh-CN" w:bidi="ar-SA"/>
        </w:rPr>
        <w:t xml:space="preserve">第九条 </w:t>
      </w:r>
      <w:r>
        <w:rPr>
          <w:rFonts w:hint="eastAsia" w:ascii="仿宋_GB2312" w:eastAsia="仿宋_GB2312"/>
          <w:sz w:val="32"/>
          <w:szCs w:val="32"/>
        </w:rPr>
        <w:t>债券交易中介服务机构应当建立有效的应急响应和恢复机制，在因不可抗力、意外事件、重大技术故障、重大人为差错等突发性事件导致业务中断时，确保业务连续和数据安全。</w:t>
      </w:r>
    </w:p>
    <w:p w14:paraId="279E0B53">
      <w:pPr>
        <w:pStyle w:val="20"/>
        <w:spacing w:line="560" w:lineRule="exact"/>
        <w:ind w:left="630" w:firstLine="0" w:firstLineChars="0"/>
        <w:rPr>
          <w:rFonts w:ascii="仿宋_GB2312" w:eastAsia="仿宋_GB2312"/>
          <w:sz w:val="32"/>
          <w:szCs w:val="32"/>
        </w:rPr>
      </w:pPr>
    </w:p>
    <w:p w14:paraId="2C856DE3">
      <w:pPr>
        <w:pStyle w:val="20"/>
        <w:spacing w:line="560" w:lineRule="exact"/>
        <w:ind w:firstLine="0" w:firstLineChars="0"/>
        <w:jc w:val="center"/>
        <w:rPr>
          <w:rFonts w:ascii="黑体" w:hAnsi="黑体" w:eastAsia="黑体"/>
          <w:b/>
          <w:bCs/>
          <w:kern w:val="44"/>
          <w:sz w:val="32"/>
          <w:szCs w:val="32"/>
        </w:rPr>
      </w:pPr>
      <w:r>
        <w:rPr>
          <w:rFonts w:hint="eastAsia" w:ascii="黑体" w:hAnsi="黑体" w:eastAsia="黑体"/>
          <w:b/>
          <w:bCs/>
          <w:kern w:val="44"/>
          <w:sz w:val="32"/>
          <w:szCs w:val="32"/>
        </w:rPr>
        <w:t>第三章</w:t>
      </w:r>
      <w:r>
        <w:rPr>
          <w:rFonts w:hint="eastAsia" w:ascii="黑体" w:hAnsi="黑体" w:eastAsia="黑体"/>
          <w:b/>
          <w:bCs/>
          <w:kern w:val="44"/>
          <w:sz w:val="32"/>
          <w:szCs w:val="32"/>
          <w:lang w:val="en-US" w:eastAsia="zh-CN"/>
        </w:rPr>
        <w:t xml:space="preserve">  </w:t>
      </w:r>
      <w:r>
        <w:rPr>
          <w:rFonts w:hint="eastAsia" w:ascii="黑体" w:hAnsi="黑体" w:eastAsia="黑体"/>
          <w:b/>
          <w:bCs/>
          <w:kern w:val="44"/>
          <w:sz w:val="32"/>
          <w:szCs w:val="32"/>
        </w:rPr>
        <w:t>债券交易中介服务业务规范</w:t>
      </w:r>
    </w:p>
    <w:p w14:paraId="737A195C">
      <w:pPr>
        <w:pStyle w:val="20"/>
        <w:numPr>
          <w:ilvl w:val="1"/>
          <w:numId w:val="0"/>
        </w:numPr>
        <w:spacing w:line="560" w:lineRule="exact"/>
        <w:ind w:left="-10" w:leftChars="0" w:firstLine="640" w:firstLineChars="0"/>
        <w:rPr>
          <w:rFonts w:ascii="仿宋_GB2312" w:eastAsia="仿宋_GB2312"/>
          <w:sz w:val="32"/>
          <w:szCs w:val="32"/>
        </w:rPr>
      </w:pPr>
      <w:r>
        <w:rPr>
          <w:rFonts w:hint="eastAsia" w:ascii="仿宋_GB2312" w:hAnsi="Calibri" w:eastAsia="仿宋_GB2312" w:cs="Times New Roman"/>
          <w:b/>
          <w:i w:val="0"/>
          <w:color w:val="auto"/>
          <w:kern w:val="2"/>
          <w:sz w:val="32"/>
          <w:szCs w:val="32"/>
          <w:highlight w:val="none"/>
          <w:lang w:val="en-US" w:eastAsia="zh-CN" w:bidi="ar-SA"/>
        </w:rPr>
        <w:t xml:space="preserve">第十条 </w:t>
      </w:r>
      <w:r>
        <w:rPr>
          <w:rFonts w:hint="eastAsia" w:ascii="仿宋_GB2312" w:eastAsia="仿宋_GB2312"/>
          <w:sz w:val="32"/>
          <w:szCs w:val="32"/>
        </w:rPr>
        <w:t>债券交易中介服务机构应当遵循公平、公正、诚实守信、为客户保密的原则，切实保障服务对象公平交易权，规范提供债券交易中介服务，遵守职业道德，维护市场秩序。</w:t>
      </w:r>
    </w:p>
    <w:p w14:paraId="56601F18">
      <w:pPr>
        <w:pStyle w:val="20"/>
        <w:numPr>
          <w:ilvl w:val="1"/>
          <w:numId w:val="0"/>
        </w:numPr>
        <w:spacing w:line="560" w:lineRule="exact"/>
        <w:ind w:left="-10" w:leftChars="0" w:firstLine="640" w:firstLineChars="0"/>
        <w:rPr>
          <w:rFonts w:ascii="仿宋_GB2312" w:eastAsia="仿宋_GB2312"/>
          <w:sz w:val="32"/>
          <w:szCs w:val="32"/>
        </w:rPr>
      </w:pPr>
      <w:r>
        <w:rPr>
          <w:rFonts w:hint="eastAsia" w:ascii="仿宋_GB2312" w:hAnsi="Calibri" w:eastAsia="仿宋_GB2312" w:cs="Times New Roman"/>
          <w:b/>
          <w:i w:val="0"/>
          <w:color w:val="auto"/>
          <w:kern w:val="2"/>
          <w:sz w:val="32"/>
          <w:szCs w:val="32"/>
          <w:highlight w:val="none"/>
          <w:lang w:val="en-US" w:eastAsia="zh-CN" w:bidi="ar-SA"/>
        </w:rPr>
        <w:t xml:space="preserve">第十一条 </w:t>
      </w:r>
      <w:r>
        <w:rPr>
          <w:rFonts w:hint="eastAsia" w:ascii="仿宋_GB2312" w:eastAsia="仿宋_GB2312"/>
          <w:sz w:val="32"/>
          <w:szCs w:val="32"/>
        </w:rPr>
        <w:t>债券交易中介服务机构在提供债券交易中介服务前，应当采取有效措施，确保拟服务对象符合相关规定，确认拟服务人员有权代表其任职机构开展交易。</w:t>
      </w:r>
    </w:p>
    <w:p w14:paraId="388C645C">
      <w:pPr>
        <w:pStyle w:val="20"/>
        <w:numPr>
          <w:ilvl w:val="1"/>
          <w:numId w:val="0"/>
        </w:numPr>
        <w:spacing w:line="560" w:lineRule="exact"/>
        <w:ind w:left="-10" w:leftChars="0" w:firstLine="640" w:firstLineChars="0"/>
        <w:rPr>
          <w:rFonts w:ascii="仿宋_GB2312" w:eastAsia="仿宋_GB2312"/>
          <w:sz w:val="32"/>
          <w:szCs w:val="32"/>
        </w:rPr>
      </w:pPr>
      <w:r>
        <w:rPr>
          <w:rFonts w:hint="eastAsia" w:ascii="仿宋_GB2312" w:hAnsi="Calibri" w:eastAsia="仿宋_GB2312" w:cs="Times New Roman"/>
          <w:b/>
          <w:i w:val="0"/>
          <w:color w:val="auto"/>
          <w:kern w:val="2"/>
          <w:sz w:val="32"/>
          <w:szCs w:val="32"/>
          <w:highlight w:val="none"/>
          <w:lang w:val="en-US" w:eastAsia="zh-CN" w:bidi="ar-SA"/>
        </w:rPr>
        <w:t xml:space="preserve">第十二条 </w:t>
      </w:r>
      <w:r>
        <w:rPr>
          <w:rFonts w:hint="eastAsia" w:ascii="仿宋_GB2312" w:eastAsia="仿宋_GB2312"/>
          <w:sz w:val="32"/>
          <w:szCs w:val="32"/>
        </w:rPr>
        <w:t>债券交易中介服务机构和服务对象应当明确约定服务内容、服务期限、服务费用、纠纷解决与违约责任等事项。</w:t>
      </w:r>
    </w:p>
    <w:p w14:paraId="6AC2D817">
      <w:pPr>
        <w:pStyle w:val="20"/>
        <w:spacing w:line="560" w:lineRule="exact"/>
        <w:ind w:firstLine="640"/>
        <w:rPr>
          <w:rFonts w:ascii="仿宋_GB2312" w:eastAsia="仿宋_GB2312"/>
          <w:sz w:val="32"/>
          <w:szCs w:val="32"/>
        </w:rPr>
      </w:pPr>
      <w:r>
        <w:rPr>
          <w:rFonts w:hint="eastAsia" w:ascii="仿宋_GB2312" w:eastAsia="仿宋_GB2312"/>
          <w:sz w:val="32"/>
          <w:szCs w:val="32"/>
        </w:rPr>
        <w:t>债券交易中介服务机构不得在债券交易价格中变相收取服务费用。</w:t>
      </w:r>
    </w:p>
    <w:p w14:paraId="44FE9F8F">
      <w:pPr>
        <w:pStyle w:val="20"/>
        <w:numPr>
          <w:ilvl w:val="1"/>
          <w:numId w:val="0"/>
        </w:numPr>
        <w:spacing w:line="560" w:lineRule="exact"/>
        <w:ind w:left="-10" w:leftChars="0" w:firstLine="640" w:firstLineChars="0"/>
        <w:rPr>
          <w:rFonts w:ascii="仿宋_GB2312" w:eastAsia="仿宋_GB2312"/>
          <w:sz w:val="32"/>
          <w:szCs w:val="32"/>
        </w:rPr>
      </w:pPr>
      <w:r>
        <w:rPr>
          <w:rFonts w:hint="eastAsia" w:ascii="仿宋_GB2312" w:hAnsi="Calibri" w:eastAsia="仿宋_GB2312" w:cs="Times New Roman"/>
          <w:b/>
          <w:i w:val="0"/>
          <w:color w:val="auto"/>
          <w:kern w:val="2"/>
          <w:sz w:val="32"/>
          <w:szCs w:val="32"/>
          <w:highlight w:val="none"/>
          <w:lang w:val="en-US" w:eastAsia="zh-CN" w:bidi="ar-SA"/>
        </w:rPr>
        <w:t xml:space="preserve">第十三条 </w:t>
      </w:r>
      <w:r>
        <w:rPr>
          <w:rFonts w:hint="eastAsia" w:ascii="仿宋_GB2312" w:eastAsia="仿宋_GB2312"/>
          <w:sz w:val="32"/>
          <w:szCs w:val="32"/>
        </w:rPr>
        <w:t>债券交易中介服务机构应当按照服务对象委托载明的证券名称、数量和价格等信息发布交易意向。</w:t>
      </w:r>
    </w:p>
    <w:p w14:paraId="791807AC">
      <w:pPr>
        <w:pStyle w:val="20"/>
        <w:spacing w:line="560" w:lineRule="exact"/>
        <w:ind w:firstLine="640"/>
        <w:rPr>
          <w:rFonts w:ascii="仿宋_GB2312" w:eastAsia="仿宋_GB2312"/>
          <w:sz w:val="32"/>
          <w:szCs w:val="32"/>
        </w:rPr>
      </w:pPr>
      <w:r>
        <w:rPr>
          <w:rFonts w:hint="eastAsia" w:ascii="仿宋_GB2312" w:eastAsia="仿宋_GB2312"/>
          <w:sz w:val="32"/>
          <w:szCs w:val="32"/>
        </w:rPr>
        <w:t>债券交易中介服务机构应当在发布交易意向前，通过符合本指引规定的通讯设施，与服务对象就每笔委托的关键交易要素进行确认。债券交易中介服务机构发现关键交易要素错误或者明显不合理的，应当主动向服务对象提示、确认，避免对外发布错误交易意向。</w:t>
      </w:r>
    </w:p>
    <w:p w14:paraId="7B90FC2D">
      <w:pPr>
        <w:pStyle w:val="20"/>
        <w:numPr>
          <w:ilvl w:val="1"/>
          <w:numId w:val="0"/>
        </w:numPr>
        <w:spacing w:line="560" w:lineRule="exact"/>
        <w:ind w:left="-10" w:leftChars="0" w:firstLine="640" w:firstLineChars="0"/>
        <w:rPr>
          <w:rFonts w:ascii="仿宋_GB2312" w:eastAsia="仿宋_GB2312"/>
          <w:sz w:val="32"/>
          <w:szCs w:val="32"/>
        </w:rPr>
      </w:pPr>
      <w:r>
        <w:rPr>
          <w:rFonts w:hint="eastAsia" w:ascii="仿宋_GB2312" w:hAnsi="Calibri" w:eastAsia="仿宋_GB2312" w:cs="Times New Roman"/>
          <w:b/>
          <w:i w:val="0"/>
          <w:color w:val="auto"/>
          <w:kern w:val="2"/>
          <w:sz w:val="32"/>
          <w:szCs w:val="32"/>
          <w:highlight w:val="none"/>
          <w:lang w:val="en-US" w:eastAsia="zh-CN" w:bidi="ar-SA"/>
        </w:rPr>
        <w:t xml:space="preserve">第十四条 </w:t>
      </w:r>
      <w:r>
        <w:rPr>
          <w:rFonts w:hint="eastAsia" w:ascii="仿宋_GB2312" w:eastAsia="仿宋_GB2312"/>
          <w:sz w:val="32"/>
          <w:szCs w:val="32"/>
        </w:rPr>
        <w:t>服务对象原则上应当向债券交易中介服务机构委托实盘交易意向。存在附加条件或者仅为意向性委托的，应当在委托中予以明确说明。</w:t>
      </w:r>
    </w:p>
    <w:p w14:paraId="36F224A1">
      <w:pPr>
        <w:pStyle w:val="20"/>
        <w:numPr>
          <w:ilvl w:val="1"/>
          <w:numId w:val="0"/>
        </w:numPr>
        <w:spacing w:line="560" w:lineRule="exact"/>
        <w:ind w:left="-10" w:leftChars="0" w:firstLine="640" w:firstLineChars="0"/>
        <w:rPr>
          <w:rFonts w:ascii="仿宋_GB2312" w:eastAsia="仿宋_GB2312"/>
          <w:sz w:val="32"/>
          <w:szCs w:val="32"/>
        </w:rPr>
      </w:pPr>
      <w:r>
        <w:rPr>
          <w:rFonts w:hint="eastAsia" w:ascii="仿宋_GB2312" w:hAnsi="Calibri" w:eastAsia="仿宋_GB2312" w:cs="Times New Roman"/>
          <w:b/>
          <w:i w:val="0"/>
          <w:color w:val="auto"/>
          <w:kern w:val="2"/>
          <w:sz w:val="32"/>
          <w:szCs w:val="32"/>
          <w:highlight w:val="none"/>
          <w:lang w:val="en-US" w:eastAsia="zh-CN" w:bidi="ar-SA"/>
        </w:rPr>
        <w:t xml:space="preserve">第十五条 </w:t>
      </w:r>
      <w:r>
        <w:rPr>
          <w:rFonts w:hint="eastAsia" w:ascii="仿宋_GB2312" w:eastAsia="仿宋_GB2312"/>
          <w:sz w:val="32"/>
          <w:szCs w:val="32"/>
        </w:rPr>
        <w:t>成交意向达成后，债券交易中介服务机构应当及时通过符合本指引规定的通讯设施，采用本指引规定的规范交易用语，与交易双方确认关键交易要素，并交换交易双方真实名称。</w:t>
      </w:r>
    </w:p>
    <w:p w14:paraId="1430301E">
      <w:pPr>
        <w:pStyle w:val="20"/>
        <w:numPr>
          <w:ilvl w:val="1"/>
          <w:numId w:val="0"/>
        </w:numPr>
        <w:spacing w:line="560" w:lineRule="exact"/>
        <w:ind w:left="-10" w:leftChars="0" w:firstLine="640" w:firstLineChars="0"/>
        <w:rPr>
          <w:rFonts w:ascii="仿宋_GB2312" w:eastAsia="仿宋_GB2312"/>
          <w:sz w:val="32"/>
          <w:szCs w:val="32"/>
        </w:rPr>
      </w:pPr>
      <w:r>
        <w:rPr>
          <w:rFonts w:hint="eastAsia" w:ascii="仿宋_GB2312" w:hAnsi="Calibri" w:eastAsia="仿宋_GB2312" w:cs="Times New Roman"/>
          <w:b/>
          <w:i w:val="0"/>
          <w:color w:val="auto"/>
          <w:kern w:val="2"/>
          <w:sz w:val="32"/>
          <w:szCs w:val="32"/>
          <w:highlight w:val="none"/>
          <w:lang w:val="en-US" w:eastAsia="zh-CN" w:bidi="ar-SA"/>
        </w:rPr>
        <w:t xml:space="preserve">第十六条 </w:t>
      </w:r>
      <w:r>
        <w:rPr>
          <w:rFonts w:hint="eastAsia" w:ascii="仿宋_GB2312" w:eastAsia="仿宋_GB2312"/>
          <w:sz w:val="32"/>
          <w:szCs w:val="32"/>
        </w:rPr>
        <w:t>交易双方应当按照确认的交易要素执行交易。</w:t>
      </w:r>
    </w:p>
    <w:p w14:paraId="385AEFF5">
      <w:pPr>
        <w:pStyle w:val="20"/>
        <w:numPr>
          <w:ilvl w:val="1"/>
          <w:numId w:val="0"/>
        </w:numPr>
        <w:spacing w:line="560" w:lineRule="exact"/>
        <w:ind w:left="-10" w:leftChars="0" w:firstLine="640" w:firstLineChars="0"/>
        <w:rPr>
          <w:rFonts w:ascii="仿宋_GB2312" w:eastAsia="仿宋_GB2312"/>
          <w:sz w:val="32"/>
          <w:szCs w:val="32"/>
        </w:rPr>
      </w:pPr>
      <w:r>
        <w:rPr>
          <w:rFonts w:hint="eastAsia" w:ascii="仿宋_GB2312" w:hAnsi="Calibri" w:eastAsia="仿宋_GB2312" w:cs="Times New Roman"/>
          <w:b/>
          <w:i w:val="0"/>
          <w:color w:val="auto"/>
          <w:kern w:val="2"/>
          <w:sz w:val="32"/>
          <w:szCs w:val="32"/>
          <w:highlight w:val="none"/>
          <w:lang w:val="en-US" w:eastAsia="zh-CN" w:bidi="ar-SA"/>
        </w:rPr>
        <w:t xml:space="preserve">第十七条 </w:t>
      </w:r>
      <w:r>
        <w:rPr>
          <w:rFonts w:hint="eastAsia" w:ascii="仿宋_GB2312" w:eastAsia="仿宋_GB2312"/>
          <w:sz w:val="32"/>
          <w:szCs w:val="32"/>
        </w:rPr>
        <w:t>债券交易中介服务机构应当按照相关规定、服务约定和市场惯例，采取有效措施，对服务对象的交易意向、成交意向、持仓和风险控制等重要信息予以保密。有关法律法规或者本所业务规则另有要求的除外。</w:t>
      </w:r>
    </w:p>
    <w:p w14:paraId="7AB266D4">
      <w:pPr>
        <w:pStyle w:val="20"/>
        <w:spacing w:line="560" w:lineRule="exact"/>
        <w:ind w:left="630" w:firstLine="0" w:firstLineChars="0"/>
        <w:rPr>
          <w:rFonts w:ascii="仿宋_GB2312" w:eastAsia="仿宋_GB2312"/>
          <w:sz w:val="32"/>
          <w:szCs w:val="32"/>
        </w:rPr>
      </w:pPr>
    </w:p>
    <w:p w14:paraId="6AD51A85">
      <w:pPr>
        <w:pStyle w:val="20"/>
        <w:spacing w:line="560" w:lineRule="exact"/>
        <w:ind w:firstLine="0" w:firstLineChars="0"/>
        <w:jc w:val="center"/>
        <w:rPr>
          <w:rFonts w:ascii="黑体" w:hAnsi="黑体" w:eastAsia="黑体" w:cs="黑体"/>
          <w:b/>
          <w:bCs/>
          <w:sz w:val="32"/>
          <w:szCs w:val="32"/>
        </w:rPr>
      </w:pPr>
      <w:r>
        <w:rPr>
          <w:rFonts w:hint="eastAsia" w:ascii="黑体" w:hAnsi="黑体" w:eastAsia="黑体" w:cs="黑体"/>
          <w:b/>
          <w:bCs/>
          <w:sz w:val="32"/>
          <w:szCs w:val="32"/>
        </w:rPr>
        <w:t>第四章  业务报告及数据报送</w:t>
      </w:r>
    </w:p>
    <w:p w14:paraId="62DC8667">
      <w:pPr>
        <w:pStyle w:val="20"/>
        <w:numPr>
          <w:ilvl w:val="1"/>
          <w:numId w:val="0"/>
        </w:numPr>
        <w:spacing w:line="560" w:lineRule="exact"/>
        <w:ind w:left="-10" w:leftChars="0" w:firstLine="640" w:firstLineChars="0"/>
        <w:rPr>
          <w:rFonts w:ascii="仿宋_GB2312" w:eastAsia="仿宋_GB2312"/>
          <w:sz w:val="32"/>
          <w:szCs w:val="32"/>
        </w:rPr>
      </w:pPr>
      <w:r>
        <w:rPr>
          <w:rFonts w:hint="eastAsia" w:ascii="仿宋_GB2312" w:hAnsi="Calibri" w:eastAsia="仿宋_GB2312" w:cs="Times New Roman"/>
          <w:b/>
          <w:i w:val="0"/>
          <w:color w:val="auto"/>
          <w:kern w:val="2"/>
          <w:sz w:val="32"/>
          <w:szCs w:val="32"/>
          <w:highlight w:val="none"/>
          <w:lang w:val="en-US" w:eastAsia="zh-CN" w:bidi="ar-SA"/>
        </w:rPr>
        <w:t xml:space="preserve">第十八条 </w:t>
      </w:r>
      <w:r>
        <w:rPr>
          <w:rFonts w:hint="eastAsia" w:ascii="仿宋_GB2312" w:eastAsia="仿宋_GB2312"/>
          <w:sz w:val="32"/>
          <w:szCs w:val="32"/>
        </w:rPr>
        <w:t>债券交易中介服务机构应当于每</w:t>
      </w:r>
      <w:r>
        <w:rPr>
          <w:rFonts w:eastAsia="仿宋_GB2312"/>
          <w:sz w:val="32"/>
          <w:szCs w:val="32"/>
        </w:rPr>
        <w:t>年4月30日</w:t>
      </w:r>
      <w:r>
        <w:rPr>
          <w:rFonts w:hint="eastAsia" w:ascii="仿宋_GB2312" w:eastAsia="仿宋_GB2312"/>
          <w:sz w:val="32"/>
          <w:szCs w:val="32"/>
        </w:rPr>
        <w:t>前，向本所提交上一年度本所债券市场债券交易中介服务年度报告。年度报告的内容包括：</w:t>
      </w:r>
    </w:p>
    <w:p w14:paraId="4145D1F0">
      <w:pPr>
        <w:pStyle w:val="20"/>
        <w:spacing w:line="560" w:lineRule="exact"/>
        <w:ind w:firstLine="640"/>
        <w:rPr>
          <w:rFonts w:ascii="仿宋_GB2312" w:eastAsia="仿宋_GB2312"/>
          <w:sz w:val="32"/>
          <w:szCs w:val="32"/>
        </w:rPr>
      </w:pPr>
      <w:r>
        <w:rPr>
          <w:rFonts w:hint="eastAsia" w:ascii="仿宋_GB2312" w:eastAsia="仿宋_GB2312"/>
          <w:sz w:val="32"/>
          <w:szCs w:val="32"/>
        </w:rPr>
        <w:t>（一）上一年度债券交易中介服务业务开展的整体情况，成交的机构类型分布、交易场所分布、各交易品种的交易量和成交价格等数据的汇总和变化情况、本年度的业务规划等；</w:t>
      </w:r>
    </w:p>
    <w:p w14:paraId="749BDB17">
      <w:pPr>
        <w:pStyle w:val="20"/>
        <w:spacing w:line="560" w:lineRule="exact"/>
        <w:ind w:firstLine="640"/>
        <w:rPr>
          <w:rFonts w:ascii="仿宋_GB2312" w:eastAsia="仿宋_GB2312"/>
          <w:sz w:val="32"/>
          <w:szCs w:val="32"/>
        </w:rPr>
      </w:pPr>
      <w:r>
        <w:rPr>
          <w:rFonts w:hint="eastAsia" w:ascii="仿宋_GB2312" w:eastAsia="仿宋_GB2312"/>
          <w:sz w:val="32"/>
          <w:szCs w:val="32"/>
        </w:rPr>
        <w:t>（二）上一年度债券交易中介服务机构债券交易中介服务合规情况；</w:t>
      </w:r>
    </w:p>
    <w:p w14:paraId="579CA709">
      <w:pPr>
        <w:pStyle w:val="20"/>
        <w:spacing w:line="560" w:lineRule="exact"/>
        <w:ind w:firstLine="640"/>
        <w:rPr>
          <w:rFonts w:ascii="仿宋_GB2312" w:eastAsia="仿宋_GB2312"/>
          <w:sz w:val="32"/>
          <w:szCs w:val="32"/>
        </w:rPr>
      </w:pPr>
      <w:r>
        <w:rPr>
          <w:rFonts w:hint="eastAsia" w:ascii="仿宋_GB2312" w:eastAsia="仿宋_GB2312"/>
          <w:sz w:val="32"/>
          <w:szCs w:val="32"/>
        </w:rPr>
        <w:t>（三）债券交易中介服务的服务对象名单、服务费用收取方式、服务费率标准及调整情况；</w:t>
      </w:r>
    </w:p>
    <w:p w14:paraId="04523B13">
      <w:pPr>
        <w:pStyle w:val="20"/>
        <w:spacing w:line="560" w:lineRule="exact"/>
        <w:ind w:firstLine="640"/>
        <w:rPr>
          <w:rFonts w:ascii="仿宋_GB2312" w:eastAsia="仿宋_GB2312"/>
          <w:sz w:val="32"/>
          <w:szCs w:val="32"/>
        </w:rPr>
      </w:pPr>
      <w:r>
        <w:rPr>
          <w:rFonts w:hint="eastAsia" w:ascii="仿宋_GB2312" w:eastAsia="仿宋_GB2312"/>
          <w:sz w:val="32"/>
          <w:szCs w:val="32"/>
        </w:rPr>
        <w:t>（四）本所业务联络人及联系方式；</w:t>
      </w:r>
    </w:p>
    <w:p w14:paraId="68967CAB">
      <w:pPr>
        <w:pStyle w:val="20"/>
        <w:spacing w:line="560" w:lineRule="exact"/>
        <w:ind w:firstLine="640"/>
        <w:rPr>
          <w:rFonts w:ascii="仿宋_GB2312" w:eastAsia="仿宋_GB2312"/>
          <w:sz w:val="32"/>
          <w:szCs w:val="32"/>
        </w:rPr>
      </w:pPr>
      <w:r>
        <w:rPr>
          <w:rFonts w:hint="eastAsia" w:ascii="仿宋_GB2312" w:eastAsia="仿宋_GB2312"/>
          <w:sz w:val="32"/>
          <w:szCs w:val="32"/>
        </w:rPr>
        <w:t>（五）本所要求报告的其他情况。</w:t>
      </w:r>
    </w:p>
    <w:p w14:paraId="6266899B">
      <w:pPr>
        <w:pStyle w:val="20"/>
        <w:numPr>
          <w:ilvl w:val="1"/>
          <w:numId w:val="0"/>
        </w:numPr>
        <w:spacing w:line="560" w:lineRule="exact"/>
        <w:ind w:left="-10" w:leftChars="0" w:firstLine="640" w:firstLineChars="0"/>
        <w:rPr>
          <w:rFonts w:ascii="仿宋_GB2312" w:eastAsia="仿宋_GB2312"/>
          <w:sz w:val="32"/>
          <w:szCs w:val="32"/>
        </w:rPr>
      </w:pPr>
      <w:r>
        <w:rPr>
          <w:rFonts w:hint="eastAsia" w:ascii="仿宋_GB2312" w:hAnsi="Calibri" w:eastAsia="仿宋_GB2312" w:cs="Times New Roman"/>
          <w:b/>
          <w:i w:val="0"/>
          <w:color w:val="auto"/>
          <w:kern w:val="2"/>
          <w:sz w:val="32"/>
          <w:szCs w:val="32"/>
          <w:highlight w:val="none"/>
          <w:lang w:val="en-US" w:eastAsia="zh-CN" w:bidi="ar-SA"/>
        </w:rPr>
        <w:t xml:space="preserve">第十九条 </w:t>
      </w:r>
      <w:r>
        <w:rPr>
          <w:rFonts w:hint="eastAsia" w:ascii="仿宋_GB2312" w:eastAsia="仿宋_GB2312"/>
          <w:sz w:val="32"/>
          <w:szCs w:val="32"/>
        </w:rPr>
        <w:t>债券交易中介服务机构应当妥善做好业务数据收集、记录和保管，并按本所要求及时将以下数据报送至本所：</w:t>
      </w:r>
    </w:p>
    <w:p w14:paraId="61FE6CA4">
      <w:pPr>
        <w:pStyle w:val="20"/>
        <w:numPr>
          <w:ilvl w:val="0"/>
          <w:numId w:val="0"/>
        </w:numPr>
        <w:spacing w:line="560" w:lineRule="exact"/>
        <w:ind w:firstLine="640" w:firstLineChars="200"/>
        <w:rPr>
          <w:rFonts w:ascii="仿宋_GB2312" w:eastAsia="仿宋_GB2312"/>
          <w:sz w:val="32"/>
          <w:szCs w:val="32"/>
        </w:rPr>
      </w:pPr>
      <w:r>
        <w:rPr>
          <w:rFonts w:hint="eastAsia" w:ascii="仿宋_GB2312" w:hAnsi="Times New Roman" w:eastAsia="仿宋_GB2312" w:cs="Times New Roman"/>
          <w:kern w:val="2"/>
          <w:sz w:val="32"/>
          <w:szCs w:val="32"/>
          <w:lang w:val="en-US" w:eastAsia="zh-CN" w:bidi="ar-SA"/>
        </w:rPr>
        <w:t>（一）</w:t>
      </w:r>
      <w:r>
        <w:rPr>
          <w:rFonts w:hint="eastAsia" w:ascii="仿宋_GB2312" w:eastAsia="仿宋_GB2312"/>
          <w:sz w:val="32"/>
          <w:szCs w:val="32"/>
        </w:rPr>
        <w:t>债券现券交易的逐笔交易意向和逐笔成交意向，数据字段包括但不限于债券代码、债券简称、价格、数量、交易方向、意向发出时间及成交时间、结算方式（如有）、结算周期（如有）、交易执行日期、服务对象名称等；</w:t>
      </w:r>
    </w:p>
    <w:p w14:paraId="4BDABF40">
      <w:pPr>
        <w:pStyle w:val="20"/>
        <w:spacing w:line="560" w:lineRule="exact"/>
        <w:ind w:firstLine="640"/>
        <w:rPr>
          <w:rFonts w:ascii="仿宋_GB2312" w:eastAsia="仿宋_GB2312"/>
          <w:sz w:val="32"/>
          <w:szCs w:val="32"/>
        </w:rPr>
      </w:pPr>
      <w:r>
        <w:rPr>
          <w:rFonts w:hint="eastAsia" w:ascii="仿宋_GB2312" w:eastAsia="仿宋_GB2312"/>
          <w:sz w:val="32"/>
          <w:szCs w:val="32"/>
        </w:rPr>
        <w:t>（二）债券回购交易的逐笔交易意向和逐笔成交意向，数据字段包括但不限于回购品种类型、回购品种期限、价格、数量、交易方向、意向发出及成交时间、结算方式（如有）、结算周期（如有）、交易执行日期、服务对象名称等；</w:t>
      </w:r>
    </w:p>
    <w:p w14:paraId="4F5E67BB">
      <w:pPr>
        <w:pStyle w:val="20"/>
        <w:spacing w:line="560" w:lineRule="exact"/>
        <w:ind w:firstLine="640"/>
        <w:rPr>
          <w:rFonts w:ascii="仿宋_GB2312" w:eastAsia="仿宋_GB2312"/>
          <w:sz w:val="32"/>
          <w:szCs w:val="32"/>
        </w:rPr>
      </w:pPr>
      <w:r>
        <w:rPr>
          <w:rFonts w:hint="eastAsia" w:ascii="仿宋_GB2312" w:eastAsia="仿宋_GB2312"/>
          <w:sz w:val="32"/>
          <w:szCs w:val="32"/>
        </w:rPr>
        <w:t>（三）债券交易中介服务机构在本所开展债券交易中介服务的其他业务数据。</w:t>
      </w:r>
    </w:p>
    <w:p w14:paraId="038FF3CE">
      <w:pPr>
        <w:pStyle w:val="20"/>
        <w:spacing w:line="560" w:lineRule="exact"/>
        <w:ind w:firstLine="640"/>
        <w:rPr>
          <w:rFonts w:ascii="仿宋_GB2312" w:eastAsia="仿宋_GB2312"/>
          <w:sz w:val="32"/>
          <w:szCs w:val="32"/>
        </w:rPr>
      </w:pPr>
      <w:r>
        <w:rPr>
          <w:rFonts w:hint="eastAsia" w:ascii="仿宋_GB2312" w:eastAsia="仿宋_GB2312"/>
          <w:sz w:val="32"/>
          <w:szCs w:val="32"/>
        </w:rPr>
        <w:t>本所可以根据管理需要和市场发展情况，调整上述报送数据字段。</w:t>
      </w:r>
    </w:p>
    <w:p w14:paraId="70763F2D">
      <w:pPr>
        <w:pStyle w:val="20"/>
        <w:numPr>
          <w:ilvl w:val="1"/>
          <w:numId w:val="0"/>
        </w:numPr>
        <w:spacing w:line="560" w:lineRule="exact"/>
        <w:ind w:left="-10" w:leftChars="0" w:firstLine="640" w:firstLineChars="0"/>
        <w:rPr>
          <w:rFonts w:ascii="仿宋_GB2312" w:eastAsia="仿宋_GB2312"/>
          <w:sz w:val="32"/>
          <w:szCs w:val="32"/>
        </w:rPr>
      </w:pPr>
      <w:r>
        <w:rPr>
          <w:rFonts w:hint="eastAsia" w:ascii="仿宋_GB2312" w:hAnsi="Calibri" w:eastAsia="仿宋_GB2312" w:cs="Times New Roman"/>
          <w:b/>
          <w:i w:val="0"/>
          <w:color w:val="auto"/>
          <w:kern w:val="2"/>
          <w:sz w:val="32"/>
          <w:szCs w:val="32"/>
          <w:highlight w:val="none"/>
          <w:lang w:val="en-US" w:eastAsia="zh-CN" w:bidi="ar-SA"/>
        </w:rPr>
        <w:t xml:space="preserve">第二十条 </w:t>
      </w:r>
      <w:r>
        <w:rPr>
          <w:rFonts w:hint="eastAsia" w:ascii="仿宋_GB2312" w:eastAsia="仿宋_GB2312"/>
          <w:sz w:val="32"/>
          <w:szCs w:val="32"/>
        </w:rPr>
        <w:t>经服务对象同意，债券交易中介服务机构可以通过本所或者交易信息服务机构向市场展示交易意向和成交意向数据。</w:t>
      </w:r>
    </w:p>
    <w:p w14:paraId="553DC1C2">
      <w:pPr>
        <w:pStyle w:val="20"/>
        <w:spacing w:line="560" w:lineRule="exact"/>
        <w:ind w:left="630" w:firstLine="0" w:firstLineChars="0"/>
        <w:rPr>
          <w:rFonts w:ascii="仿宋_GB2312" w:eastAsia="仿宋_GB2312"/>
          <w:sz w:val="32"/>
          <w:szCs w:val="32"/>
        </w:rPr>
      </w:pPr>
    </w:p>
    <w:p w14:paraId="353E7D78">
      <w:pPr>
        <w:pStyle w:val="20"/>
        <w:spacing w:line="560" w:lineRule="exact"/>
        <w:ind w:firstLine="0" w:firstLineChars="0"/>
        <w:jc w:val="center"/>
        <w:rPr>
          <w:rFonts w:ascii="黑体" w:hAnsi="黑体" w:eastAsia="黑体" w:cs="黑体"/>
          <w:b/>
          <w:bCs/>
          <w:sz w:val="32"/>
          <w:szCs w:val="32"/>
        </w:rPr>
      </w:pPr>
      <w:r>
        <w:rPr>
          <w:rFonts w:hint="eastAsia" w:ascii="黑体" w:hAnsi="黑体" w:eastAsia="黑体" w:cs="黑体"/>
          <w:b/>
          <w:bCs/>
          <w:sz w:val="32"/>
          <w:szCs w:val="32"/>
        </w:rPr>
        <w:t>第五章  债券交易中介服务行为规范</w:t>
      </w:r>
    </w:p>
    <w:p w14:paraId="218F035F">
      <w:pPr>
        <w:pStyle w:val="20"/>
        <w:numPr>
          <w:ilvl w:val="1"/>
          <w:numId w:val="0"/>
        </w:numPr>
        <w:spacing w:line="560" w:lineRule="exact"/>
        <w:ind w:left="-10" w:leftChars="0" w:firstLine="640" w:firstLineChars="0"/>
        <w:rPr>
          <w:rFonts w:ascii="仿宋_GB2312" w:eastAsia="仿宋_GB2312"/>
          <w:sz w:val="32"/>
          <w:szCs w:val="32"/>
        </w:rPr>
      </w:pPr>
      <w:r>
        <w:rPr>
          <w:rFonts w:hint="eastAsia" w:ascii="仿宋_GB2312" w:hAnsi="Calibri" w:eastAsia="仿宋_GB2312" w:cs="Times New Roman"/>
          <w:b/>
          <w:i w:val="0"/>
          <w:color w:val="auto"/>
          <w:kern w:val="2"/>
          <w:sz w:val="32"/>
          <w:szCs w:val="32"/>
          <w:highlight w:val="none"/>
          <w:lang w:val="en-US" w:eastAsia="zh-CN" w:bidi="ar-SA"/>
        </w:rPr>
        <w:t xml:space="preserve">第二十一条 </w:t>
      </w:r>
      <w:r>
        <w:rPr>
          <w:rFonts w:hint="eastAsia" w:ascii="仿宋_GB2312" w:eastAsia="仿宋_GB2312"/>
          <w:sz w:val="32"/>
          <w:szCs w:val="32"/>
        </w:rPr>
        <w:t>债券交易中介服务机构及其从业人员应当按照服务对象的真实交易意图发布交易意向，确保交易意向数据发布的真实性、有效性和及时性。</w:t>
      </w:r>
    </w:p>
    <w:p w14:paraId="00C361F8">
      <w:pPr>
        <w:pStyle w:val="20"/>
        <w:spacing w:line="560" w:lineRule="exact"/>
        <w:ind w:firstLine="707" w:firstLineChars="221"/>
        <w:rPr>
          <w:rFonts w:ascii="仿宋_GB2312" w:eastAsia="仿宋_GB2312"/>
          <w:sz w:val="32"/>
          <w:szCs w:val="32"/>
        </w:rPr>
      </w:pPr>
      <w:r>
        <w:rPr>
          <w:rFonts w:hint="eastAsia" w:ascii="仿宋_GB2312" w:eastAsia="仿宋_GB2312"/>
          <w:sz w:val="32"/>
          <w:szCs w:val="32"/>
        </w:rPr>
        <w:t>债券交易中介服务机构不得无故隐瞒、延迟发布交易意向和成交意向信息，或者发布无效的、虚假的、不反映正当交易目的的交易意向和成交意向。</w:t>
      </w:r>
    </w:p>
    <w:p w14:paraId="24192EC4">
      <w:pPr>
        <w:pStyle w:val="20"/>
        <w:numPr>
          <w:ilvl w:val="1"/>
          <w:numId w:val="0"/>
        </w:numPr>
        <w:spacing w:line="560" w:lineRule="exact"/>
        <w:ind w:left="-10" w:leftChars="0" w:firstLine="640" w:firstLineChars="0"/>
        <w:rPr>
          <w:rFonts w:ascii="仿宋_GB2312" w:eastAsia="仿宋_GB2312"/>
          <w:sz w:val="32"/>
          <w:szCs w:val="32"/>
        </w:rPr>
      </w:pPr>
      <w:r>
        <w:rPr>
          <w:rFonts w:hint="eastAsia" w:ascii="仿宋_GB2312" w:hAnsi="Calibri" w:eastAsia="仿宋_GB2312" w:cs="Times New Roman"/>
          <w:b/>
          <w:i w:val="0"/>
          <w:color w:val="auto"/>
          <w:kern w:val="2"/>
          <w:sz w:val="32"/>
          <w:szCs w:val="32"/>
          <w:highlight w:val="none"/>
          <w:lang w:val="en-US" w:eastAsia="zh-CN" w:bidi="ar-SA"/>
        </w:rPr>
        <w:t xml:space="preserve">第二十二条 </w:t>
      </w:r>
      <w:r>
        <w:rPr>
          <w:rFonts w:hint="eastAsia" w:ascii="仿宋_GB2312" w:eastAsia="仿宋_GB2312"/>
          <w:sz w:val="32"/>
          <w:szCs w:val="32"/>
        </w:rPr>
        <w:t>债券交易中介服务机构及其从业人员应当遵循公平对待服务对象的原则开展债券交易中介服务，不得优待服务对象任何一方，并在双方确认关键交易要素后披露交易对手名称，不得提前披露潜在交易对手名称或者披露虚假交易对手名称。</w:t>
      </w:r>
    </w:p>
    <w:p w14:paraId="057B139C">
      <w:pPr>
        <w:pStyle w:val="20"/>
        <w:numPr>
          <w:ilvl w:val="1"/>
          <w:numId w:val="0"/>
        </w:numPr>
        <w:spacing w:line="560" w:lineRule="exact"/>
        <w:ind w:left="-10" w:leftChars="0" w:firstLine="640" w:firstLineChars="0"/>
        <w:rPr>
          <w:rFonts w:ascii="仿宋_GB2312" w:eastAsia="仿宋_GB2312"/>
          <w:sz w:val="32"/>
          <w:szCs w:val="32"/>
        </w:rPr>
      </w:pPr>
      <w:r>
        <w:rPr>
          <w:rFonts w:hint="eastAsia" w:ascii="仿宋_GB2312" w:hAnsi="Calibri" w:eastAsia="仿宋_GB2312" w:cs="Times New Roman"/>
          <w:b/>
          <w:i w:val="0"/>
          <w:color w:val="auto"/>
          <w:kern w:val="2"/>
          <w:sz w:val="32"/>
          <w:szCs w:val="32"/>
          <w:highlight w:val="none"/>
          <w:lang w:val="en-US" w:eastAsia="zh-CN" w:bidi="ar-SA"/>
        </w:rPr>
        <w:t xml:space="preserve">第二十三条 </w:t>
      </w:r>
      <w:r>
        <w:rPr>
          <w:rFonts w:hint="eastAsia" w:ascii="仿宋_GB2312" w:eastAsia="仿宋_GB2312"/>
          <w:sz w:val="32"/>
          <w:szCs w:val="32"/>
        </w:rPr>
        <w:t>债券交易中介服务机构及其从业人员不得利用信息优势，通过债券交易中介服务直接或者间接赚取交易双方价差收益，或者在提供债券交易中介服务过程中有意增加不必要的交易和结算环节。</w:t>
      </w:r>
    </w:p>
    <w:p w14:paraId="02A2AF69">
      <w:pPr>
        <w:pStyle w:val="20"/>
        <w:numPr>
          <w:ilvl w:val="1"/>
          <w:numId w:val="0"/>
        </w:numPr>
        <w:spacing w:line="560" w:lineRule="exact"/>
        <w:ind w:left="-10" w:leftChars="0" w:firstLine="640" w:firstLineChars="0"/>
        <w:rPr>
          <w:rFonts w:ascii="仿宋_GB2312" w:eastAsia="仿宋_GB2312"/>
          <w:sz w:val="32"/>
          <w:szCs w:val="32"/>
        </w:rPr>
      </w:pPr>
      <w:r>
        <w:rPr>
          <w:rFonts w:hint="eastAsia" w:ascii="仿宋_GB2312" w:hAnsi="Calibri" w:eastAsia="仿宋_GB2312" w:cs="Times New Roman"/>
          <w:b/>
          <w:i w:val="0"/>
          <w:color w:val="auto"/>
          <w:kern w:val="2"/>
          <w:sz w:val="32"/>
          <w:szCs w:val="32"/>
          <w:highlight w:val="none"/>
          <w:lang w:val="en-US" w:eastAsia="zh-CN" w:bidi="ar-SA"/>
        </w:rPr>
        <w:t xml:space="preserve">第二十四条 </w:t>
      </w:r>
      <w:r>
        <w:rPr>
          <w:rFonts w:hint="eastAsia" w:ascii="仿宋_GB2312" w:eastAsia="仿宋_GB2312"/>
          <w:sz w:val="32"/>
          <w:szCs w:val="32"/>
        </w:rPr>
        <w:t>债券交易中介服务机构及其从业人员应当规范使用公司统一配置的通讯设施，不得使用公司许可外的工具开展业务。债券交易中介服务机构应当严格遵守留痕要求，不得伪造、篡改、删除交流记录和业务信息。上述信息的保存期限不得少于五年。</w:t>
      </w:r>
    </w:p>
    <w:p w14:paraId="3BC3B7A0">
      <w:pPr>
        <w:pStyle w:val="20"/>
        <w:numPr>
          <w:ilvl w:val="1"/>
          <w:numId w:val="0"/>
        </w:numPr>
        <w:spacing w:line="560" w:lineRule="exact"/>
        <w:ind w:left="-10" w:leftChars="0" w:firstLine="640" w:firstLineChars="0"/>
        <w:rPr>
          <w:rFonts w:ascii="仿宋_GB2312" w:eastAsia="仿宋_GB2312"/>
          <w:sz w:val="32"/>
          <w:szCs w:val="32"/>
        </w:rPr>
      </w:pPr>
      <w:r>
        <w:rPr>
          <w:rFonts w:hint="eastAsia" w:ascii="仿宋_GB2312" w:hAnsi="Calibri" w:eastAsia="仿宋_GB2312" w:cs="Times New Roman"/>
          <w:b/>
          <w:i w:val="0"/>
          <w:color w:val="auto"/>
          <w:kern w:val="2"/>
          <w:sz w:val="32"/>
          <w:szCs w:val="32"/>
          <w:highlight w:val="none"/>
          <w:lang w:val="en-US" w:eastAsia="zh-CN" w:bidi="ar-SA"/>
        </w:rPr>
        <w:t xml:space="preserve">第二十五条 </w:t>
      </w:r>
      <w:r>
        <w:rPr>
          <w:rFonts w:hint="eastAsia" w:ascii="仿宋_GB2312" w:eastAsia="仿宋_GB2312"/>
          <w:sz w:val="32"/>
          <w:szCs w:val="32"/>
        </w:rPr>
        <w:t>债券交易中介服务机构及其从业人员不得从事或者变相从事代理买卖、债券交易及资金结算业务。</w:t>
      </w:r>
    </w:p>
    <w:p w14:paraId="3D365785">
      <w:pPr>
        <w:pStyle w:val="20"/>
        <w:spacing w:line="560" w:lineRule="exact"/>
        <w:ind w:firstLine="640"/>
        <w:rPr>
          <w:rFonts w:ascii="仿宋_GB2312" w:eastAsia="仿宋_GB2312"/>
          <w:sz w:val="32"/>
          <w:szCs w:val="32"/>
        </w:rPr>
      </w:pPr>
      <w:r>
        <w:rPr>
          <w:rFonts w:hint="eastAsia" w:ascii="仿宋_GB2312" w:eastAsia="仿宋_GB2312"/>
          <w:sz w:val="32"/>
          <w:szCs w:val="32"/>
        </w:rPr>
        <w:t>债券交易中介服务机构及其从业人员不得接受服务对象的全权委托而决定证券买卖、选择证券种类、决定买卖数量或者买卖价格等。</w:t>
      </w:r>
    </w:p>
    <w:p w14:paraId="47A0FBF6">
      <w:pPr>
        <w:pStyle w:val="20"/>
        <w:widowControl/>
        <w:numPr>
          <w:ilvl w:val="1"/>
          <w:numId w:val="0"/>
        </w:numPr>
        <w:spacing w:line="560" w:lineRule="exact"/>
        <w:ind w:left="-10" w:leftChars="0" w:firstLine="640" w:firstLineChars="0"/>
        <w:rPr>
          <w:rFonts w:ascii="仿宋_GB2312" w:eastAsia="仿宋_GB2312"/>
          <w:sz w:val="32"/>
          <w:szCs w:val="32"/>
          <w:highlight w:val="yellow"/>
        </w:rPr>
      </w:pPr>
      <w:r>
        <w:rPr>
          <w:rFonts w:hint="eastAsia" w:ascii="仿宋_GB2312" w:hAnsi="Calibri" w:eastAsia="仿宋_GB2312" w:cs="Times New Roman"/>
          <w:b/>
          <w:i w:val="0"/>
          <w:color w:val="auto"/>
          <w:kern w:val="2"/>
          <w:sz w:val="32"/>
          <w:szCs w:val="32"/>
          <w:highlight w:val="none"/>
          <w:lang w:val="en-US" w:eastAsia="zh-CN" w:bidi="ar-SA"/>
        </w:rPr>
        <w:t xml:space="preserve">第二十六条 </w:t>
      </w:r>
      <w:r>
        <w:rPr>
          <w:rFonts w:hint="eastAsia" w:ascii="仿宋_GB2312" w:eastAsia="仿宋_GB2312"/>
          <w:sz w:val="32"/>
          <w:szCs w:val="32"/>
        </w:rPr>
        <w:t>债券交易中介服务机构及其从业人员不得直接或间接参与内幕交易、利用非公开信息交易、操纵市场、利益输送以及其他各类违法违规行为，或者为上述违法违规行为提供便利。</w:t>
      </w:r>
    </w:p>
    <w:p w14:paraId="29CA3230">
      <w:pPr>
        <w:pStyle w:val="20"/>
        <w:numPr>
          <w:ilvl w:val="1"/>
          <w:numId w:val="0"/>
        </w:numPr>
        <w:spacing w:line="560" w:lineRule="exact"/>
        <w:ind w:left="-10" w:leftChars="0" w:firstLine="640" w:firstLineChars="0"/>
        <w:rPr>
          <w:rFonts w:ascii="仿宋_GB2312" w:eastAsia="仿宋_GB2312"/>
          <w:sz w:val="32"/>
          <w:szCs w:val="32"/>
        </w:rPr>
      </w:pPr>
      <w:r>
        <w:rPr>
          <w:rFonts w:hint="eastAsia" w:ascii="仿宋_GB2312" w:hAnsi="Calibri" w:eastAsia="仿宋_GB2312" w:cs="Times New Roman"/>
          <w:b/>
          <w:i w:val="0"/>
          <w:color w:val="auto"/>
          <w:kern w:val="2"/>
          <w:sz w:val="32"/>
          <w:szCs w:val="32"/>
          <w:highlight w:val="none"/>
          <w:lang w:val="en-US" w:eastAsia="zh-CN" w:bidi="ar-SA"/>
        </w:rPr>
        <w:t xml:space="preserve">第二十七条 </w:t>
      </w:r>
      <w:r>
        <w:rPr>
          <w:rFonts w:hint="eastAsia" w:ascii="仿宋_GB2312" w:eastAsia="仿宋_GB2312"/>
          <w:sz w:val="32"/>
          <w:szCs w:val="32"/>
        </w:rPr>
        <w:t>债券交易中介服务机构及相关人员违反本指引及本所其他相关业务规则的，本所可以依据相关规定采取监管措施或者纪律处分。</w:t>
      </w:r>
    </w:p>
    <w:p w14:paraId="3D9B4C76">
      <w:pPr>
        <w:pStyle w:val="20"/>
        <w:numPr>
          <w:ilvl w:val="1"/>
          <w:numId w:val="0"/>
        </w:numPr>
        <w:spacing w:line="560" w:lineRule="exact"/>
        <w:ind w:left="-10" w:leftChars="0" w:firstLine="640" w:firstLineChars="0"/>
        <w:rPr>
          <w:rFonts w:ascii="仿宋_GB2312" w:eastAsia="仿宋_GB2312"/>
          <w:sz w:val="32"/>
          <w:szCs w:val="32"/>
        </w:rPr>
      </w:pPr>
      <w:r>
        <w:rPr>
          <w:rFonts w:hint="eastAsia" w:ascii="仿宋_GB2312" w:hAnsi="Calibri" w:eastAsia="仿宋_GB2312" w:cs="Times New Roman"/>
          <w:b/>
          <w:i w:val="0"/>
          <w:color w:val="auto"/>
          <w:kern w:val="2"/>
          <w:sz w:val="32"/>
          <w:szCs w:val="32"/>
          <w:highlight w:val="none"/>
          <w:lang w:val="en-US" w:eastAsia="zh-CN" w:bidi="ar-SA"/>
        </w:rPr>
        <w:t xml:space="preserve">第二十八条 </w:t>
      </w:r>
      <w:r>
        <w:rPr>
          <w:rFonts w:hint="eastAsia" w:ascii="仿宋_GB2312" w:eastAsia="仿宋_GB2312"/>
          <w:sz w:val="32"/>
          <w:szCs w:val="32"/>
        </w:rPr>
        <w:t>债券交易中介服务机构涉嫌欺诈、内幕交易、利用非公开信息交易以及扰乱市场、操纵市场等违法违规行为的，本所可以按照有关规定报请相关主管部门查处。</w:t>
      </w:r>
    </w:p>
    <w:p w14:paraId="3346516C">
      <w:pPr>
        <w:pStyle w:val="20"/>
        <w:numPr>
          <w:ilvl w:val="1"/>
          <w:numId w:val="0"/>
        </w:numPr>
        <w:spacing w:line="560" w:lineRule="exact"/>
        <w:ind w:left="-10" w:leftChars="0" w:firstLine="640" w:firstLineChars="0"/>
        <w:rPr>
          <w:rFonts w:ascii="仿宋_GB2312" w:eastAsia="仿宋_GB2312"/>
          <w:sz w:val="32"/>
          <w:szCs w:val="32"/>
        </w:rPr>
      </w:pPr>
      <w:r>
        <w:rPr>
          <w:rFonts w:hint="eastAsia" w:ascii="仿宋_GB2312" w:hAnsi="Calibri" w:eastAsia="仿宋_GB2312" w:cs="Times New Roman"/>
          <w:b/>
          <w:i w:val="0"/>
          <w:color w:val="auto"/>
          <w:kern w:val="2"/>
          <w:sz w:val="32"/>
          <w:szCs w:val="32"/>
          <w:highlight w:val="none"/>
          <w:lang w:val="en-US" w:eastAsia="zh-CN" w:bidi="ar-SA"/>
        </w:rPr>
        <w:t xml:space="preserve">第二十九条 </w:t>
      </w:r>
      <w:r>
        <w:rPr>
          <w:rFonts w:hint="eastAsia" w:ascii="仿宋_GB2312" w:eastAsia="仿宋_GB2312"/>
          <w:sz w:val="32"/>
          <w:szCs w:val="32"/>
        </w:rPr>
        <w:t>债券交易中介服务机构提供债券交易中介服务、服务对象接受债券交易中介服务机构提供的债券交易中介服务发生争议时，各方应当协商解决。无法通过协商解决的，可以按照相关法律法规规定或者约定提请调解、仲裁或者诉讼。</w:t>
      </w:r>
    </w:p>
    <w:p w14:paraId="1C588D13">
      <w:pPr>
        <w:pStyle w:val="20"/>
        <w:spacing w:line="560" w:lineRule="exact"/>
        <w:ind w:left="630" w:firstLine="0" w:firstLineChars="0"/>
        <w:rPr>
          <w:rFonts w:ascii="仿宋_GB2312" w:eastAsia="仿宋_GB2312"/>
          <w:sz w:val="32"/>
          <w:szCs w:val="32"/>
        </w:rPr>
      </w:pPr>
    </w:p>
    <w:p w14:paraId="0E9C3077">
      <w:pPr>
        <w:pStyle w:val="20"/>
        <w:spacing w:line="560" w:lineRule="exact"/>
        <w:ind w:firstLine="0" w:firstLineChars="0"/>
        <w:jc w:val="center"/>
        <w:rPr>
          <w:rFonts w:ascii="黑体" w:hAnsi="黑体" w:eastAsia="黑体" w:cs="黑体"/>
          <w:b/>
          <w:bCs/>
          <w:sz w:val="32"/>
          <w:szCs w:val="32"/>
        </w:rPr>
      </w:pPr>
      <w:r>
        <w:rPr>
          <w:rFonts w:hint="eastAsia" w:ascii="黑体" w:hAnsi="黑体" w:eastAsia="黑体" w:cs="黑体"/>
          <w:b/>
          <w:bCs/>
          <w:sz w:val="32"/>
          <w:szCs w:val="32"/>
        </w:rPr>
        <w:t>第六章  附则</w:t>
      </w:r>
    </w:p>
    <w:p w14:paraId="72A21977">
      <w:pPr>
        <w:pStyle w:val="20"/>
        <w:widowControl/>
        <w:numPr>
          <w:ilvl w:val="1"/>
          <w:numId w:val="0"/>
        </w:numPr>
        <w:spacing w:line="560" w:lineRule="exact"/>
        <w:ind w:left="-10" w:leftChars="0" w:firstLine="640" w:firstLineChars="0"/>
        <w:rPr>
          <w:rFonts w:ascii="仿宋_GB2312" w:eastAsia="仿宋_GB2312"/>
          <w:sz w:val="32"/>
          <w:szCs w:val="32"/>
        </w:rPr>
      </w:pPr>
      <w:r>
        <w:rPr>
          <w:rFonts w:hint="eastAsia" w:ascii="仿宋_GB2312" w:hAnsi="Calibri" w:eastAsia="仿宋_GB2312" w:cs="Times New Roman"/>
          <w:b/>
          <w:i w:val="0"/>
          <w:color w:val="auto"/>
          <w:kern w:val="2"/>
          <w:sz w:val="32"/>
          <w:szCs w:val="32"/>
          <w:highlight w:val="none"/>
          <w:lang w:val="en-US" w:eastAsia="zh-CN" w:bidi="ar-SA"/>
        </w:rPr>
        <w:t xml:space="preserve">第三十条 </w:t>
      </w:r>
      <w:r>
        <w:rPr>
          <w:rFonts w:hint="eastAsia" w:ascii="仿宋_GB2312" w:eastAsia="仿宋_GB2312"/>
          <w:sz w:val="32"/>
          <w:szCs w:val="32"/>
        </w:rPr>
        <w:t>本指引相关术语的含义：</w:t>
      </w:r>
    </w:p>
    <w:p w14:paraId="40BEB345">
      <w:pPr>
        <w:pStyle w:val="20"/>
        <w:spacing w:line="560" w:lineRule="exact"/>
        <w:ind w:firstLine="640"/>
        <w:rPr>
          <w:rFonts w:ascii="仿宋_GB2312" w:eastAsia="仿宋_GB2312"/>
          <w:sz w:val="32"/>
          <w:szCs w:val="32"/>
        </w:rPr>
      </w:pPr>
      <w:r>
        <w:rPr>
          <w:rFonts w:hint="eastAsia" w:ascii="仿宋_GB2312" w:eastAsia="仿宋_GB2312"/>
          <w:sz w:val="32"/>
          <w:szCs w:val="32"/>
        </w:rPr>
        <w:t>（一）交易意向：指服务对象通过本所交易系统申报前，根据自身交易需求，委托给债券交易中介服务机构的报价信息。</w:t>
      </w:r>
    </w:p>
    <w:p w14:paraId="07A93873">
      <w:pPr>
        <w:pStyle w:val="20"/>
        <w:spacing w:line="560" w:lineRule="exact"/>
        <w:ind w:firstLine="640"/>
        <w:rPr>
          <w:rFonts w:ascii="仿宋_GB2312" w:eastAsia="仿宋_GB2312"/>
          <w:sz w:val="32"/>
          <w:szCs w:val="32"/>
        </w:rPr>
      </w:pPr>
      <w:r>
        <w:rPr>
          <w:rFonts w:hint="eastAsia" w:ascii="仿宋_GB2312" w:eastAsia="仿宋_GB2312"/>
          <w:sz w:val="32"/>
          <w:szCs w:val="32"/>
        </w:rPr>
        <w:t>（二）实盘交易意向：交易价格以及交易数量均可以直接执行的交易意向。</w:t>
      </w:r>
    </w:p>
    <w:p w14:paraId="791E14AD">
      <w:pPr>
        <w:pStyle w:val="20"/>
        <w:spacing w:line="560" w:lineRule="exact"/>
        <w:ind w:firstLine="640"/>
        <w:rPr>
          <w:rFonts w:ascii="仿宋_GB2312" w:eastAsia="仿宋_GB2312"/>
          <w:sz w:val="32"/>
          <w:szCs w:val="32"/>
        </w:rPr>
      </w:pPr>
      <w:r>
        <w:rPr>
          <w:rFonts w:hint="eastAsia" w:ascii="仿宋_GB2312" w:eastAsia="仿宋_GB2312"/>
          <w:sz w:val="32"/>
          <w:szCs w:val="32"/>
        </w:rPr>
        <w:t>（三）成交意向：交易双方在本所交易系统申报并达成交易以前，通过债券交易中介服务机构提供的债券交易中介服务，就关键交易要素确认并达成的一致意向。</w:t>
      </w:r>
    </w:p>
    <w:p w14:paraId="48D8C3FC">
      <w:pPr>
        <w:pStyle w:val="20"/>
        <w:spacing w:line="560" w:lineRule="exact"/>
        <w:ind w:firstLine="640"/>
        <w:rPr>
          <w:rFonts w:ascii="仿宋_GB2312" w:eastAsia="仿宋_GB2312"/>
          <w:sz w:val="32"/>
          <w:szCs w:val="32"/>
        </w:rPr>
      </w:pPr>
      <w:r>
        <w:rPr>
          <w:rFonts w:hint="eastAsia" w:ascii="仿宋_GB2312" w:eastAsia="仿宋_GB2312"/>
          <w:sz w:val="32"/>
          <w:szCs w:val="32"/>
        </w:rPr>
        <w:t>（四）规范交易用语：包括“成交/确认成交”“</w:t>
      </w:r>
      <w:r>
        <w:rPr>
          <w:rFonts w:eastAsia="仿宋_GB2312"/>
          <w:sz w:val="32"/>
          <w:szCs w:val="32"/>
        </w:rPr>
        <w:t>Done/Deal</w:t>
      </w:r>
      <w:r>
        <w:rPr>
          <w:rFonts w:hint="eastAsia" w:ascii="仿宋_GB2312" w:eastAsia="仿宋_GB2312"/>
          <w:sz w:val="32"/>
          <w:szCs w:val="32"/>
        </w:rPr>
        <w:t>”“</w:t>
      </w:r>
      <w:r>
        <w:rPr>
          <w:rFonts w:eastAsia="仿宋_GB2312"/>
          <w:sz w:val="32"/>
          <w:szCs w:val="32"/>
        </w:rPr>
        <w:t>Confirmed/Cfm</w:t>
      </w:r>
      <w:r>
        <w:rPr>
          <w:rFonts w:hint="eastAsia" w:ascii="仿宋_GB2312" w:eastAsia="仿宋_GB2312"/>
          <w:sz w:val="32"/>
          <w:szCs w:val="32"/>
        </w:rPr>
        <w:t>”“</w:t>
      </w:r>
      <w:r>
        <w:rPr>
          <w:rFonts w:eastAsia="仿宋_GB2312"/>
          <w:sz w:val="32"/>
          <w:szCs w:val="32"/>
        </w:rPr>
        <w:t>Taken/Tkn</w:t>
      </w:r>
      <w:r>
        <w:rPr>
          <w:rFonts w:hint="eastAsia" w:ascii="仿宋_GB2312" w:eastAsia="仿宋_GB2312"/>
          <w:sz w:val="32"/>
          <w:szCs w:val="32"/>
        </w:rPr>
        <w:t>”“</w:t>
      </w:r>
      <w:r>
        <w:rPr>
          <w:rFonts w:eastAsia="仿宋_GB2312"/>
          <w:sz w:val="32"/>
          <w:szCs w:val="32"/>
        </w:rPr>
        <w:t>Given/Gvn</w:t>
      </w:r>
      <w:r>
        <w:rPr>
          <w:rFonts w:hint="eastAsia" w:ascii="仿宋_GB2312" w:eastAsia="仿宋_GB2312"/>
          <w:sz w:val="32"/>
          <w:szCs w:val="32"/>
        </w:rPr>
        <w:t>”等。</w:t>
      </w:r>
    </w:p>
    <w:p w14:paraId="3EE8D194">
      <w:pPr>
        <w:pStyle w:val="20"/>
        <w:spacing w:line="560" w:lineRule="exact"/>
        <w:ind w:firstLine="640"/>
        <w:rPr>
          <w:rFonts w:ascii="仿宋_GB2312" w:eastAsia="仿宋_GB2312"/>
          <w:sz w:val="32"/>
          <w:szCs w:val="32"/>
        </w:rPr>
      </w:pPr>
      <w:r>
        <w:rPr>
          <w:rFonts w:hint="eastAsia" w:ascii="仿宋_GB2312" w:eastAsia="仿宋_GB2312"/>
          <w:sz w:val="32"/>
          <w:szCs w:val="32"/>
        </w:rPr>
        <w:t>（五）交易执行：指服务对象通过债券交易中介服务机构达成成交意向后，通过本所交易系统进行交易申报并达成成交。</w:t>
      </w:r>
    </w:p>
    <w:p w14:paraId="13886576">
      <w:pPr>
        <w:pStyle w:val="20"/>
        <w:spacing w:line="560" w:lineRule="exact"/>
        <w:ind w:firstLine="643"/>
        <w:rPr>
          <w:rFonts w:ascii="仿宋_GB2312" w:eastAsia="仿宋_GB2312"/>
          <w:sz w:val="32"/>
          <w:szCs w:val="32"/>
        </w:rPr>
      </w:pPr>
      <w:r>
        <w:rPr>
          <w:rFonts w:hint="eastAsia" w:ascii="仿宋_GB2312" w:eastAsia="仿宋_GB2312"/>
          <w:b/>
          <w:bCs/>
          <w:sz w:val="32"/>
          <w:szCs w:val="32"/>
          <w:lang w:eastAsia="zh-CN"/>
        </w:rPr>
        <w:t xml:space="preserve">第三十一条 </w:t>
      </w:r>
      <w:r>
        <w:rPr>
          <w:rFonts w:hint="eastAsia" w:ascii="仿宋_GB2312" w:eastAsia="仿宋_GB2312"/>
          <w:sz w:val="32"/>
          <w:szCs w:val="32"/>
        </w:rPr>
        <w:t>其他金融机构开展本指引规定的债券交易中介服务的，参照本指引执行。</w:t>
      </w:r>
    </w:p>
    <w:p w14:paraId="514204A6">
      <w:pPr>
        <w:pStyle w:val="20"/>
        <w:spacing w:line="560" w:lineRule="exact"/>
        <w:ind w:left="630" w:firstLine="0" w:firstLineChars="0"/>
        <w:rPr>
          <w:rFonts w:ascii="仿宋_GB2312" w:eastAsia="仿宋_GB2312"/>
          <w:sz w:val="32"/>
          <w:szCs w:val="32"/>
        </w:rPr>
      </w:pPr>
      <w:r>
        <w:rPr>
          <w:rFonts w:hint="eastAsia" w:ascii="仿宋_GB2312" w:eastAsia="仿宋_GB2312"/>
          <w:b/>
          <w:bCs/>
          <w:sz w:val="32"/>
          <w:szCs w:val="32"/>
          <w:lang w:eastAsia="zh-CN"/>
        </w:rPr>
        <w:t xml:space="preserve">第三十二条 </w:t>
      </w:r>
      <w:r>
        <w:rPr>
          <w:rFonts w:hint="eastAsia" w:ascii="仿宋_GB2312" w:eastAsia="仿宋_GB2312"/>
          <w:sz w:val="32"/>
          <w:szCs w:val="32"/>
        </w:rPr>
        <w:t>本指引由本所负责解释。</w:t>
      </w:r>
    </w:p>
    <w:p w14:paraId="7773A63B">
      <w:pPr>
        <w:pStyle w:val="20"/>
        <w:spacing w:line="560" w:lineRule="exact"/>
        <w:ind w:left="630" w:firstLine="0" w:firstLineChars="0"/>
        <w:rPr>
          <w:rFonts w:ascii="仿宋_GB2312" w:eastAsia="仿宋_GB2312"/>
          <w:sz w:val="32"/>
          <w:szCs w:val="32"/>
        </w:rPr>
      </w:pPr>
      <w:r>
        <w:rPr>
          <w:rFonts w:hint="eastAsia" w:ascii="仿宋_GB2312" w:eastAsia="仿宋_GB2312"/>
          <w:b/>
          <w:bCs/>
          <w:sz w:val="32"/>
          <w:szCs w:val="32"/>
          <w:lang w:eastAsia="zh-CN"/>
        </w:rPr>
        <w:t xml:space="preserve">第三十三条 </w:t>
      </w:r>
      <w:r>
        <w:rPr>
          <w:rFonts w:hint="eastAsia" w:ascii="仿宋_GB2312" w:eastAsia="仿宋_GB2312"/>
          <w:sz w:val="32"/>
          <w:szCs w:val="32"/>
        </w:rPr>
        <w:t>本指引自发布之日起施行。</w:t>
      </w:r>
      <w:bookmarkEnd w:id="1"/>
    </w:p>
    <w:sectPr>
      <w:headerReference r:id="rId3" w:type="default"/>
      <w:footerReference r:id="rId4" w:type="default"/>
      <w:footerReference r:id="rId5" w:type="even"/>
      <w:pgSz w:w="11906" w:h="16838"/>
      <w:pgMar w:top="2098" w:right="1474" w:bottom="1984" w:left="1588" w:header="851" w:footer="1417"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方正大标宋简体">
    <w:panose1 w:val="02000000000000000000"/>
    <w:charset w:val="86"/>
    <w:family w:val="auto"/>
    <w:pitch w:val="default"/>
    <w:sig w:usb0="A00002BF" w:usb1="184F6CFA" w:usb2="00000012" w:usb3="00000000" w:csb0="00040001" w:csb1="00000000"/>
  </w:font>
  <w:font w:name="仿宋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1F4E5F">
    <w:pPr>
      <w:pStyle w:val="5"/>
      <w:wordWrap w:val="0"/>
      <w:jc w:val="right"/>
    </w:pPr>
    <w:r>
      <w:rPr>
        <w:rFonts w:hint="eastAsia" w:asciiTheme="minorEastAsia" w:hAnsiTheme="minorEastAsia" w:eastAsiaTheme="minorEastAsia" w:cstheme="minorEastAsia"/>
        <w:sz w:val="28"/>
        <w:szCs w:val="28"/>
      </w:rPr>
      <w:t>-</w:t>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asciiTheme="minorEastAsia" w:hAnsiTheme="minorEastAsia" w:eastAsiaTheme="minorEastAsia" w:cstheme="minorEastAsia"/>
        <w:sz w:val="28"/>
        <w:szCs w:val="28"/>
        <w:lang w:val="zh-CN"/>
      </w:rPr>
      <w:t>7</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1924CE">
    <w:pPr>
      <w:pStyle w:val="5"/>
      <w:ind w:firstLine="280" w:firstLineChars="100"/>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w:t>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asciiTheme="minorEastAsia" w:hAnsiTheme="minorEastAsia" w:eastAsiaTheme="minorEastAsia" w:cstheme="minorEastAsia"/>
        <w:sz w:val="28"/>
        <w:szCs w:val="28"/>
        <w:lang w:val="zh-CN"/>
      </w:rPr>
      <w:t>8</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t>-</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88AA54">
    <w:pPr>
      <w:pStyle w:val="6"/>
      <w:pBdr>
        <w:bottom w:val="none" w:color="auto" w:sz="0" w:space="1"/>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bordersDoNotSurroundHeader w:val="1"/>
  <w:bordersDoNotSurroundFooter w:val="1"/>
  <w:documentProtection w:enforcement="0"/>
  <w:defaultTabStop w:val="419"/>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FD065C"/>
    <w:rsid w:val="00046004"/>
    <w:rsid w:val="00083D53"/>
    <w:rsid w:val="001D5916"/>
    <w:rsid w:val="0025124D"/>
    <w:rsid w:val="004B36FF"/>
    <w:rsid w:val="00600EEB"/>
    <w:rsid w:val="00805954"/>
    <w:rsid w:val="009A6FAD"/>
    <w:rsid w:val="00C0629D"/>
    <w:rsid w:val="00D60B6D"/>
    <w:rsid w:val="00D93903"/>
    <w:rsid w:val="00DB44A2"/>
    <w:rsid w:val="00DB53FC"/>
    <w:rsid w:val="00FD065C"/>
    <w:rsid w:val="06F750FD"/>
    <w:rsid w:val="0A2C26C1"/>
    <w:rsid w:val="0E960F7B"/>
    <w:rsid w:val="1DFDF71C"/>
    <w:rsid w:val="204808AF"/>
    <w:rsid w:val="23ED1E01"/>
    <w:rsid w:val="251740E8"/>
    <w:rsid w:val="2A8F29FA"/>
    <w:rsid w:val="2F3637BE"/>
    <w:rsid w:val="3BDE3A18"/>
    <w:rsid w:val="3FF376C1"/>
    <w:rsid w:val="46A629F1"/>
    <w:rsid w:val="4C7958ED"/>
    <w:rsid w:val="4D870224"/>
    <w:rsid w:val="4DF046D5"/>
    <w:rsid w:val="4EDFC403"/>
    <w:rsid w:val="537E330E"/>
    <w:rsid w:val="58970BBD"/>
    <w:rsid w:val="58EF4BD2"/>
    <w:rsid w:val="59592B20"/>
    <w:rsid w:val="5C302C5D"/>
    <w:rsid w:val="5D877ACA"/>
    <w:rsid w:val="60D54E46"/>
    <w:rsid w:val="636DC9AB"/>
    <w:rsid w:val="63A84D04"/>
    <w:rsid w:val="725B0C76"/>
    <w:rsid w:val="74793E2D"/>
    <w:rsid w:val="77EE2E49"/>
    <w:rsid w:val="77FB3DF4"/>
    <w:rsid w:val="7AF1665C"/>
    <w:rsid w:val="7C7989C3"/>
    <w:rsid w:val="7EEB3751"/>
    <w:rsid w:val="B07E3B7A"/>
    <w:rsid w:val="EBFE2DF1"/>
    <w:rsid w:val="EFBB529C"/>
    <w:rsid w:val="F76F4B0F"/>
    <w:rsid w:val="FC970840"/>
    <w:rsid w:val="FFC4D9F1"/>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9">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6"/>
    <w:semiHidden/>
    <w:unhideWhenUsed/>
    <w:qFormat/>
    <w:uiPriority w:val="99"/>
    <w:pPr>
      <w:jc w:val="left"/>
    </w:pPr>
    <w:rPr>
      <w:rFonts w:asciiTheme="minorHAnsi" w:hAnsiTheme="minorHAnsi" w:eastAsiaTheme="minorEastAsia" w:cstheme="minorBidi"/>
    </w:rPr>
  </w:style>
  <w:style w:type="paragraph" w:styleId="3">
    <w:name w:val="Date"/>
    <w:basedOn w:val="1"/>
    <w:next w:val="1"/>
    <w:link w:val="12"/>
    <w:semiHidden/>
    <w:unhideWhenUsed/>
    <w:qFormat/>
    <w:uiPriority w:val="99"/>
    <w:pPr>
      <w:ind w:left="100" w:leftChars="2500"/>
    </w:pPr>
  </w:style>
  <w:style w:type="paragraph" w:styleId="4">
    <w:name w:val="Balloon Text"/>
    <w:basedOn w:val="1"/>
    <w:link w:val="19"/>
    <w:semiHidden/>
    <w:unhideWhenUsed/>
    <w:qFormat/>
    <w:uiPriority w:val="99"/>
    <w:rPr>
      <w:rFonts w:asciiTheme="minorHAnsi" w:hAnsiTheme="minorHAnsi" w:eastAsiaTheme="minorEastAsia" w:cstheme="minorBidi"/>
      <w:sz w:val="18"/>
      <w:szCs w:val="18"/>
    </w:rPr>
  </w:style>
  <w:style w:type="paragraph" w:styleId="5">
    <w:name w:val="footer"/>
    <w:basedOn w:val="1"/>
    <w:link w:val="18"/>
    <w:unhideWhenUsed/>
    <w:qFormat/>
    <w:uiPriority w:val="99"/>
    <w:pPr>
      <w:tabs>
        <w:tab w:val="center" w:pos="4153"/>
        <w:tab w:val="right" w:pos="8306"/>
      </w:tabs>
      <w:snapToGrid w:val="0"/>
      <w:jc w:val="left"/>
    </w:pPr>
    <w:rPr>
      <w:sz w:val="18"/>
      <w:szCs w:val="18"/>
    </w:rPr>
  </w:style>
  <w:style w:type="paragraph" w:styleId="6">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footnote text"/>
    <w:basedOn w:val="1"/>
    <w:semiHidden/>
    <w:unhideWhenUsed/>
    <w:qFormat/>
    <w:uiPriority w:val="99"/>
    <w:pPr>
      <w:snapToGrid w:val="0"/>
      <w:jc w:val="left"/>
    </w:pPr>
    <w:rPr>
      <w:sz w:val="18"/>
      <w:szCs w:val="18"/>
    </w:rPr>
  </w:style>
  <w:style w:type="character" w:styleId="10">
    <w:name w:val="annotation reference"/>
    <w:basedOn w:val="9"/>
    <w:semiHidden/>
    <w:unhideWhenUsed/>
    <w:qFormat/>
    <w:uiPriority w:val="99"/>
    <w:rPr>
      <w:rFonts w:ascii="Times New Roman" w:hAnsi="Times New Roman" w:eastAsia="宋体" w:cs="Times New Roman"/>
      <w:sz w:val="21"/>
      <w:szCs w:val="21"/>
    </w:rPr>
  </w:style>
  <w:style w:type="character" w:styleId="11">
    <w:name w:val="footnote reference"/>
    <w:basedOn w:val="9"/>
    <w:semiHidden/>
    <w:unhideWhenUsed/>
    <w:qFormat/>
    <w:uiPriority w:val="99"/>
    <w:rPr>
      <w:vertAlign w:val="superscript"/>
    </w:rPr>
  </w:style>
  <w:style w:type="character" w:customStyle="1" w:styleId="12">
    <w:name w:val="日期 Char"/>
    <w:basedOn w:val="9"/>
    <w:link w:val="3"/>
    <w:qFormat/>
    <w:uiPriority w:val="0"/>
    <w:rPr>
      <w:rFonts w:ascii="Calibri" w:hAnsi="Calibri" w:eastAsia="宋体" w:cs="Times New Roman"/>
    </w:rPr>
  </w:style>
  <w:style w:type="character" w:customStyle="1" w:styleId="13">
    <w:name w:val="页眉 Char"/>
    <w:basedOn w:val="9"/>
    <w:link w:val="6"/>
    <w:semiHidden/>
    <w:qFormat/>
    <w:uiPriority w:val="99"/>
    <w:rPr>
      <w:rFonts w:ascii="Calibri" w:hAnsi="Calibri" w:eastAsia="宋体" w:cs="Times New Roman"/>
      <w:sz w:val="18"/>
      <w:szCs w:val="18"/>
    </w:rPr>
  </w:style>
  <w:style w:type="character" w:customStyle="1" w:styleId="14">
    <w:name w:val="页脚 Char"/>
    <w:basedOn w:val="9"/>
    <w:link w:val="5"/>
    <w:qFormat/>
    <w:uiPriority w:val="99"/>
    <w:rPr>
      <w:rFonts w:ascii="Calibri" w:hAnsi="Calibri" w:eastAsia="宋体" w:cs="Times New Roman"/>
      <w:sz w:val="18"/>
      <w:szCs w:val="18"/>
    </w:rPr>
  </w:style>
  <w:style w:type="paragraph" w:customStyle="1" w:styleId="15">
    <w:name w:val="列出段落2"/>
    <w:basedOn w:val="1"/>
    <w:qFormat/>
    <w:uiPriority w:val="0"/>
    <w:pPr>
      <w:ind w:firstLine="420" w:firstLineChars="200"/>
    </w:pPr>
  </w:style>
  <w:style w:type="character" w:customStyle="1" w:styleId="16">
    <w:name w:val="批注文字 Char"/>
    <w:basedOn w:val="9"/>
    <w:link w:val="2"/>
    <w:semiHidden/>
    <w:qFormat/>
    <w:uiPriority w:val="99"/>
    <w:rPr>
      <w:rFonts w:ascii="Times New Roman" w:hAnsi="Times New Roman" w:eastAsia="宋体" w:cs="Times New Roman"/>
    </w:rPr>
  </w:style>
  <w:style w:type="character" w:customStyle="1" w:styleId="17">
    <w:name w:val="页眉 Char1"/>
    <w:basedOn w:val="9"/>
    <w:link w:val="6"/>
    <w:qFormat/>
    <w:uiPriority w:val="99"/>
    <w:rPr>
      <w:rFonts w:ascii="Times New Roman" w:hAnsi="Times New Roman" w:eastAsia="宋体" w:cs="Times New Roman"/>
      <w:sz w:val="18"/>
      <w:szCs w:val="18"/>
    </w:rPr>
  </w:style>
  <w:style w:type="character" w:customStyle="1" w:styleId="18">
    <w:name w:val="页脚 Char1"/>
    <w:basedOn w:val="9"/>
    <w:link w:val="5"/>
    <w:qFormat/>
    <w:uiPriority w:val="99"/>
    <w:rPr>
      <w:rFonts w:ascii="Times New Roman" w:hAnsi="Times New Roman" w:eastAsia="宋体" w:cs="Times New Roman"/>
      <w:sz w:val="18"/>
      <w:szCs w:val="18"/>
    </w:rPr>
  </w:style>
  <w:style w:type="character" w:customStyle="1" w:styleId="19">
    <w:name w:val="批注框文本 Char"/>
    <w:basedOn w:val="9"/>
    <w:link w:val="4"/>
    <w:semiHidden/>
    <w:qFormat/>
    <w:uiPriority w:val="99"/>
    <w:rPr>
      <w:rFonts w:ascii="Times New Roman" w:hAnsi="Times New Roman" w:eastAsia="宋体" w:cs="Times New Roman"/>
      <w:sz w:val="18"/>
      <w:szCs w:val="18"/>
    </w:rPr>
  </w:style>
  <w:style w:type="paragraph" w:styleId="20">
    <w:name w:val="List Paragraph"/>
    <w:basedOn w:val="1"/>
    <w:qFormat/>
    <w:uiPriority w:val="34"/>
    <w:pPr>
      <w:ind w:firstLine="420" w:firstLineChars="200"/>
    </w:pPr>
    <w:rPr>
      <w:rFonts w:ascii="Times New Roman" w:hAnsi="Times New Roman"/>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Hewlett-Packard Company</Company>
  <Pages>8</Pages>
  <Words>3622</Words>
  <Characters>3660</Characters>
  <Lines>26</Lines>
  <Paragraphs>7</Paragraphs>
  <TotalTime>8</TotalTime>
  <ScaleCrop>false</ScaleCrop>
  <LinksUpToDate>false</LinksUpToDate>
  <CharactersWithSpaces>3674</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2025-04-03T08:27:00Z</dcterms:created>
  <dc:creator>sse</dc:creator>
  <cp:lastModifiedBy>whxu</cp:lastModifiedBy>
  <cp:lastPrinted>2023-07-17T17:46:00Z</cp:lastPrinted>
  <dcterms:modified xsi:type="dcterms:W3CDTF">2025-09-11T05:43:45Z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DB0C19B4071649925F1EEE673407352F_43</vt:lpwstr>
  </property>
  <property fmtid="{D5CDD505-2E9C-101B-9397-08002B2CF9AE}" pid="4" name="KSOTemplateDocerSaveRecord">
    <vt:lpwstr>eyJoZGlkIjoiODU1MjFmZWFjYWYyZmFkY2IwY2Q4ZjQwNWM1NjJkYzIiLCJ1c2VySWQiOiI0MTAwNTg2ODQifQ==</vt:lpwstr>
  </property>
</Properties>
</file>