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AE1202"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黑体" w:eastAsia="黑体" w:hAnsi="黑体" w:cs="宋体"/>
          <w:color w:val="404040"/>
          <w:sz w:val="36"/>
          <w:szCs w:val="36"/>
          <w:bdr w:val="none" w:sz="0" w:space="0" w:color="auto" w:frame="1"/>
          <w:lang w:eastAsia="zh-CN"/>
        </w:rPr>
        <w:t>第一章</w:t>
      </w:r>
      <w:r w:rsidRPr="00D8272E">
        <w:rPr>
          <w:rFonts w:ascii="Calibri" w:eastAsia="黑体" w:hAnsi="Calibri" w:cs="Calibri"/>
          <w:color w:val="404040"/>
          <w:sz w:val="36"/>
          <w:szCs w:val="36"/>
          <w:bdr w:val="none" w:sz="0" w:space="0" w:color="auto" w:frame="1"/>
          <w:lang w:eastAsia="zh-CN"/>
        </w:rPr>
        <w:t> </w:t>
      </w:r>
      <w:r w:rsidRPr="00D8272E">
        <w:rPr>
          <w:rFonts w:ascii="黑体" w:eastAsia="黑体" w:hAnsi="黑体" w:cs="宋体"/>
          <w:color w:val="404040"/>
          <w:sz w:val="36"/>
          <w:szCs w:val="36"/>
          <w:bdr w:val="none" w:sz="0" w:space="0" w:color="auto" w:frame="1"/>
          <w:lang w:eastAsia="zh-CN"/>
        </w:rPr>
        <w:t>总则</w:t>
      </w:r>
    </w:p>
    <w:p w14:paraId="7EF592D1"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第一条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为有效控制商业银行杠杆化程度，维护商业银行安全、稳健运行，根据《中华人民共和国银行业监督管理法》和《中华人民共和国商业银行法》</w:t>
      </w:r>
      <w:r w:rsidRPr="00D8272E">
        <w:rPr>
          <w:rFonts w:ascii="Times New Roman" w:eastAsia="微软雅黑" w:hAnsi="Times New Roman" w:cs="Times New Roman"/>
          <w:color w:val="404040"/>
          <w:sz w:val="36"/>
          <w:szCs w:val="36"/>
          <w:bdr w:val="none" w:sz="0" w:space="0" w:color="auto" w:frame="1"/>
          <w:lang w:eastAsia="zh-CN"/>
        </w:rPr>
        <w:t>,</w:t>
      </w:r>
      <w:r w:rsidRPr="00D8272E">
        <w:rPr>
          <w:rFonts w:ascii="仿宋_GB2312" w:eastAsia="仿宋_GB2312" w:hAnsi="Times New Roman" w:cs="Times New Roman"/>
          <w:color w:val="404040"/>
          <w:sz w:val="36"/>
          <w:szCs w:val="36"/>
          <w:bdr w:val="none" w:sz="0" w:space="0" w:color="auto" w:frame="1"/>
          <w:lang w:eastAsia="zh-CN"/>
        </w:rPr>
        <w:t>制定本办法。</w:t>
      </w:r>
    </w:p>
    <w:p w14:paraId="2E0E4FB1"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第二条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本办法适用于在中华人民共和国境内</w:t>
      </w:r>
      <w:r w:rsidRPr="00D8272E">
        <w:rPr>
          <w:rFonts w:ascii="仿宋_GB2312" w:eastAsia="仿宋_GB2312" w:hAnsi="微软雅黑" w:cs="宋体"/>
          <w:color w:val="404040"/>
          <w:sz w:val="36"/>
          <w:szCs w:val="36"/>
          <w:bdr w:val="none" w:sz="0" w:space="0" w:color="auto" w:frame="1"/>
          <w:lang w:eastAsia="zh-CN"/>
        </w:rPr>
        <w:t>依法</w:t>
      </w:r>
      <w:r w:rsidRPr="00D8272E">
        <w:rPr>
          <w:rFonts w:ascii="Times New Roman" w:eastAsia="微软雅黑" w:hAnsi="Times New Roman" w:cs="Times New Roman"/>
          <w:color w:val="404040"/>
          <w:sz w:val="36"/>
          <w:szCs w:val="36"/>
          <w:bdr w:val="none" w:sz="0" w:space="0" w:color="auto" w:frame="1"/>
          <w:lang w:eastAsia="zh-CN"/>
        </w:rPr>
        <w:t>设立的商业银行</w:t>
      </w:r>
      <w:r w:rsidRPr="00D8272E">
        <w:rPr>
          <w:rFonts w:ascii="Times New Roman" w:eastAsia="微软雅黑" w:hAnsi="Times New Roman" w:cs="Times New Roman"/>
          <w:color w:val="404040"/>
          <w:sz w:val="36"/>
          <w:szCs w:val="36"/>
          <w:bdr w:val="none" w:sz="0" w:space="0" w:color="auto" w:frame="1"/>
          <w:lang w:eastAsia="zh-CN"/>
        </w:rPr>
        <w:t>,</w:t>
      </w:r>
      <w:r w:rsidRPr="00D8272E">
        <w:rPr>
          <w:rFonts w:ascii="仿宋_GB2312" w:eastAsia="仿宋_GB2312" w:hAnsi="Times New Roman" w:cs="Times New Roman"/>
          <w:color w:val="404040"/>
          <w:sz w:val="36"/>
          <w:szCs w:val="36"/>
          <w:bdr w:val="none" w:sz="0" w:space="0" w:color="auto" w:frame="1"/>
          <w:lang w:eastAsia="zh-CN"/>
        </w:rPr>
        <w:t>包括中资银行、外商独资银行和中外合资银行。</w:t>
      </w:r>
    </w:p>
    <w:p w14:paraId="76140533"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第三条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本办法所称杠杆率，是指商业银行持有的、符合有关规定的一级资本</w:t>
      </w:r>
      <w:r w:rsidRPr="00D8272E">
        <w:rPr>
          <w:rFonts w:ascii="仿宋_GB2312" w:eastAsia="仿宋_GB2312" w:hAnsi="微软雅黑" w:cs="宋体"/>
          <w:color w:val="404040"/>
          <w:sz w:val="36"/>
          <w:szCs w:val="36"/>
          <w:bdr w:val="none" w:sz="0" w:space="0" w:color="auto" w:frame="1"/>
          <w:lang w:eastAsia="zh-CN"/>
        </w:rPr>
        <w:t>净额</w:t>
      </w:r>
      <w:r w:rsidRPr="00D8272E">
        <w:rPr>
          <w:rFonts w:ascii="Times New Roman" w:eastAsia="微软雅黑" w:hAnsi="Times New Roman" w:cs="Times New Roman"/>
          <w:color w:val="404040"/>
          <w:sz w:val="36"/>
          <w:szCs w:val="36"/>
          <w:bdr w:val="none" w:sz="0" w:space="0" w:color="auto" w:frame="1"/>
          <w:lang w:eastAsia="zh-CN"/>
        </w:rPr>
        <w:t>与商业银行调整后的表内外资产余额的比率。</w:t>
      </w:r>
    </w:p>
    <w:p w14:paraId="791875CD"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第四条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商业银行并表和未并表的杠杆率均不得低于</w:t>
      </w:r>
      <w:r w:rsidRPr="00D8272E">
        <w:rPr>
          <w:rFonts w:ascii="Times New Roman" w:eastAsia="微软雅黑" w:hAnsi="Times New Roman" w:cs="Times New Roman"/>
          <w:color w:val="404040"/>
          <w:sz w:val="36"/>
          <w:szCs w:val="36"/>
          <w:bdr w:val="none" w:sz="0" w:space="0" w:color="auto" w:frame="1"/>
          <w:lang w:eastAsia="zh-CN"/>
        </w:rPr>
        <w:t>4%</w:t>
      </w:r>
      <w:r w:rsidRPr="00D8272E">
        <w:rPr>
          <w:rFonts w:ascii="仿宋_GB2312" w:eastAsia="仿宋_GB2312" w:hAnsi="Times New Roman" w:cs="Times New Roman"/>
          <w:color w:val="404040"/>
          <w:sz w:val="36"/>
          <w:szCs w:val="36"/>
          <w:bdr w:val="none" w:sz="0" w:space="0" w:color="auto" w:frame="1"/>
          <w:lang w:eastAsia="zh-CN"/>
        </w:rPr>
        <w:t>。</w:t>
      </w:r>
    </w:p>
    <w:p w14:paraId="3A6C387A"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第五条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仿宋_GB2312" w:eastAsia="仿宋_GB2312" w:hAnsi="微软雅黑" w:cs="宋体"/>
          <w:color w:val="404040"/>
          <w:sz w:val="36"/>
          <w:szCs w:val="36"/>
          <w:bdr w:val="none" w:sz="0" w:space="0" w:color="auto" w:frame="1"/>
          <w:lang w:eastAsia="zh-CN"/>
        </w:rPr>
        <w:t>中国银监会及其派出机构</w:t>
      </w:r>
      <w:r w:rsidRPr="00D8272E">
        <w:rPr>
          <w:rFonts w:ascii="Times New Roman" w:eastAsia="微软雅黑" w:hAnsi="Times New Roman" w:cs="Times New Roman"/>
          <w:color w:val="404040"/>
          <w:sz w:val="36"/>
          <w:szCs w:val="36"/>
          <w:bdr w:val="none" w:sz="0" w:space="0" w:color="auto" w:frame="1"/>
          <w:lang w:eastAsia="zh-CN"/>
        </w:rPr>
        <w:t>按照本办法规定对商业银行的杠杆率及其管理状况实施监督检查。</w:t>
      </w:r>
    </w:p>
    <w:p w14:paraId="64BF75A9"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第六条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仿宋_GB2312" w:eastAsia="仿宋_GB2312" w:hAnsi="微软雅黑" w:cs="宋体"/>
          <w:color w:val="404040"/>
          <w:sz w:val="36"/>
          <w:szCs w:val="36"/>
          <w:bdr w:val="none" w:sz="0" w:space="0" w:color="auto" w:frame="1"/>
          <w:lang w:eastAsia="zh-CN"/>
        </w:rPr>
        <w:t>中国</w:t>
      </w:r>
      <w:r w:rsidRPr="00D8272E">
        <w:rPr>
          <w:rFonts w:ascii="Times New Roman" w:eastAsia="微软雅黑" w:hAnsi="Times New Roman" w:cs="Times New Roman"/>
          <w:color w:val="404040"/>
          <w:sz w:val="36"/>
          <w:szCs w:val="36"/>
          <w:bdr w:val="none" w:sz="0" w:space="0" w:color="auto" w:frame="1"/>
          <w:lang w:eastAsia="zh-CN"/>
        </w:rPr>
        <w:t>银监会对银行业的整体杠杆率情况进行持续监测，加强对银行业系统性风险的分析与防范。</w:t>
      </w:r>
    </w:p>
    <w:p w14:paraId="2011D054"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黑体" w:eastAsia="黑体" w:hAnsi="黑体" w:cs="宋体"/>
          <w:color w:val="404040"/>
          <w:sz w:val="36"/>
          <w:szCs w:val="36"/>
          <w:bdr w:val="none" w:sz="0" w:space="0" w:color="auto" w:frame="1"/>
          <w:lang w:eastAsia="zh-CN"/>
        </w:rPr>
        <w:t>第二章</w:t>
      </w:r>
      <w:r w:rsidRPr="00D8272E">
        <w:rPr>
          <w:rFonts w:ascii="Calibri" w:eastAsia="黑体" w:hAnsi="Calibri" w:cs="Calibri"/>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杠杆率的计算</w:t>
      </w:r>
    </w:p>
    <w:p w14:paraId="6671EAA0"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第七条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商业银行杠杆率的计算公式为：</w:t>
      </w:r>
    </w:p>
    <w:p w14:paraId="3B42DA3C" w14:textId="62FC04BA"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   </w:t>
      </w:r>
      <w:r w:rsidRPr="00D8272E">
        <w:rPr>
          <w:rFonts w:ascii="微软雅黑" w:eastAsia="微软雅黑" w:hAnsi="微软雅黑" w:cs="宋体"/>
          <w:color w:val="404040"/>
          <w:sz w:val="27"/>
          <w:szCs w:val="27"/>
          <w:bdr w:val="none" w:sz="0" w:space="0" w:color="auto" w:frame="1"/>
          <w:lang w:eastAsia="zh-CN"/>
        </w:rPr>
        <w:fldChar w:fldCharType="begin"/>
      </w:r>
      <w:r w:rsidRPr="00D8272E">
        <w:rPr>
          <w:rFonts w:ascii="微软雅黑" w:eastAsia="微软雅黑" w:hAnsi="微软雅黑" w:cs="宋体"/>
          <w:color w:val="404040"/>
          <w:sz w:val="27"/>
          <w:szCs w:val="27"/>
          <w:bdr w:val="none" w:sz="0" w:space="0" w:color="auto" w:frame="1"/>
          <w:lang w:eastAsia="zh-CN"/>
        </w:rPr>
        <w:instrText xml:space="preserve"> INCLUDEPICTURE "https://www.moj.gov.cn/pub/sfbgw/flfggz/flfggzbmgz/201509/W020210122341408343926.png" \* MERGEFORMATINET </w:instrText>
      </w:r>
      <w:r w:rsidRPr="00D8272E">
        <w:rPr>
          <w:rFonts w:ascii="微软雅黑" w:eastAsia="微软雅黑" w:hAnsi="微软雅黑" w:cs="宋体"/>
          <w:color w:val="404040"/>
          <w:sz w:val="27"/>
          <w:szCs w:val="27"/>
          <w:bdr w:val="none" w:sz="0" w:space="0" w:color="auto" w:frame="1"/>
          <w:lang w:eastAsia="zh-CN"/>
        </w:rPr>
        <w:fldChar w:fldCharType="separate"/>
      </w:r>
      <w:r w:rsidRPr="00D8272E">
        <w:rPr>
          <w:rFonts w:ascii="微软雅黑" w:eastAsia="微软雅黑" w:hAnsi="微软雅黑" w:cs="宋体"/>
          <w:noProof/>
          <w:color w:val="404040"/>
          <w:sz w:val="27"/>
          <w:szCs w:val="27"/>
          <w:bdr w:val="none" w:sz="0" w:space="0" w:color="auto" w:frame="1"/>
          <w:lang w:eastAsia="zh-CN"/>
        </w:rPr>
        <mc:AlternateContent>
          <mc:Choice Requires="wps">
            <w:drawing>
              <wp:inline distT="0" distB="0" distL="0" distR="0" wp14:anchorId="7FB99A5D" wp14:editId="72773A14">
                <wp:extent cx="3952875" cy="571500"/>
                <wp:effectExtent l="0" t="0" r="0" b="0"/>
                <wp:docPr id="1203687469"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5287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D1A45" id="矩形 2" o:spid="_x0000_s1026" style="width:311.2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" filled="f" stroked="f">
                <o:lock v:ext="edit" aspectratio="t"/>
                <w10:anchorlock/>
              </v:rect>
            </w:pict>
          </mc:Fallback>
        </mc:AlternateContent>
      </w:r>
      <w:r w:rsidRPr="00D8272E">
        <w:rPr>
          <w:rFonts w:ascii="微软雅黑" w:eastAsia="微软雅黑" w:hAnsi="微软雅黑" w:cs="宋体"/>
          <w:color w:val="404040"/>
          <w:sz w:val="27"/>
          <w:szCs w:val="27"/>
          <w:bdr w:val="none" w:sz="0" w:space="0" w:color="auto" w:frame="1"/>
          <w:lang w:eastAsia="zh-CN"/>
        </w:rPr>
        <w:fldChar w:fldCharType="end"/>
      </w:r>
    </w:p>
    <w:p w14:paraId="0EBB0F09"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第八条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一级资本和一级资本扣减项为《商业银行资本管理办法（试行）》所定义的一级资本和一级资本扣减项。</w:t>
      </w:r>
    </w:p>
    <w:p w14:paraId="393C7A93"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第九条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调整后的表内外资产余额的计算公式</w:t>
      </w:r>
      <w:r w:rsidRPr="00D8272E">
        <w:rPr>
          <w:rFonts w:ascii="仿宋_GB2312" w:eastAsia="仿宋_GB2312" w:hAnsi="微软雅黑" w:cs="宋体"/>
          <w:color w:val="404040"/>
          <w:sz w:val="36"/>
          <w:szCs w:val="36"/>
          <w:bdr w:val="none" w:sz="0" w:space="0" w:color="auto" w:frame="1"/>
          <w:lang w:eastAsia="zh-CN"/>
        </w:rPr>
        <w:t>如下所示</w:t>
      </w:r>
      <w:r w:rsidRPr="00D8272E">
        <w:rPr>
          <w:rFonts w:ascii="Times New Roman" w:eastAsia="微软雅黑" w:hAnsi="Times New Roman" w:cs="Times New Roman"/>
          <w:color w:val="404040"/>
          <w:sz w:val="36"/>
          <w:szCs w:val="36"/>
          <w:bdr w:val="none" w:sz="0" w:space="0" w:color="auto" w:frame="1"/>
          <w:lang w:eastAsia="zh-CN"/>
        </w:rPr>
        <w:t>：</w:t>
      </w:r>
    </w:p>
    <w:p w14:paraId="60373CFB" w14:textId="44D6A8A3"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微软雅黑" w:eastAsia="微软雅黑" w:hAnsi="微软雅黑" w:cs="宋体"/>
          <w:color w:val="404040"/>
          <w:sz w:val="27"/>
          <w:szCs w:val="27"/>
          <w:bdr w:val="none" w:sz="0" w:space="0" w:color="auto" w:frame="1"/>
          <w:lang w:eastAsia="zh-CN"/>
        </w:rPr>
        <w:lastRenderedPageBreak/>
        <w:fldChar w:fldCharType="begin"/>
      </w:r>
      <w:r w:rsidRPr="00D8272E">
        <w:rPr>
          <w:rFonts w:ascii="微软雅黑" w:eastAsia="微软雅黑" w:hAnsi="微软雅黑" w:cs="宋体"/>
          <w:color w:val="404040"/>
          <w:sz w:val="27"/>
          <w:szCs w:val="27"/>
          <w:bdr w:val="none" w:sz="0" w:space="0" w:color="auto" w:frame="1"/>
          <w:lang w:eastAsia="zh-CN"/>
        </w:rPr>
        <w:instrText xml:space="preserve"> INCLUDEPICTURE "https://www.moj.gov.cn/pub/sfbgw/flfggz/flfggzbmgz/201509/W020210122341408354214.png" \* MERGEFORMATINET </w:instrText>
      </w:r>
      <w:r w:rsidRPr="00D8272E">
        <w:rPr>
          <w:rFonts w:ascii="微软雅黑" w:eastAsia="微软雅黑" w:hAnsi="微软雅黑" w:cs="宋体"/>
          <w:color w:val="404040"/>
          <w:sz w:val="27"/>
          <w:szCs w:val="27"/>
          <w:bdr w:val="none" w:sz="0" w:space="0" w:color="auto" w:frame="1"/>
          <w:lang w:eastAsia="zh-CN"/>
        </w:rPr>
        <w:fldChar w:fldCharType="separate"/>
      </w:r>
      <w:r w:rsidRPr="00D8272E">
        <w:rPr>
          <w:rFonts w:ascii="微软雅黑" w:eastAsia="微软雅黑" w:hAnsi="微软雅黑" w:cs="宋体"/>
          <w:noProof/>
          <w:color w:val="404040"/>
          <w:sz w:val="27"/>
          <w:szCs w:val="27"/>
          <w:bdr w:val="none" w:sz="0" w:space="0" w:color="auto" w:frame="1"/>
          <w:lang w:eastAsia="zh-CN"/>
        </w:rPr>
        <mc:AlternateContent>
          <mc:Choice Requires="wps">
            <w:drawing>
              <wp:inline distT="0" distB="0" distL="0" distR="0" wp14:anchorId="0E63D34E" wp14:editId="6F63057E">
                <wp:extent cx="7229475" cy="904875"/>
                <wp:effectExtent l="0" t="0" r="0" b="0"/>
                <wp:docPr id="190326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29475"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571E3" id="矩形 1" o:spid="_x0000_s1026" style="width:569.25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" filled="f" stroked="f">
                <o:lock v:ext="edit" aspectratio="t"/>
                <w10:anchorlock/>
              </v:rect>
            </w:pict>
          </mc:Fallback>
        </mc:AlternateContent>
      </w:r>
      <w:r w:rsidRPr="00D8272E">
        <w:rPr>
          <w:rFonts w:ascii="微软雅黑" w:eastAsia="微软雅黑" w:hAnsi="微软雅黑" w:cs="宋体"/>
          <w:color w:val="404040"/>
          <w:sz w:val="27"/>
          <w:szCs w:val="27"/>
          <w:bdr w:val="none" w:sz="0" w:space="0" w:color="auto" w:frame="1"/>
          <w:lang w:eastAsia="zh-CN"/>
        </w:rPr>
        <w:fldChar w:fldCharType="end"/>
      </w:r>
      <w:r w:rsidRPr="00D8272E">
        <w:rPr>
          <w:rFonts w:ascii="仿宋_GB2312" w:eastAsia="仿宋_GB2312" w:hAnsi="微软雅黑" w:cs="宋体"/>
          <w:color w:val="404040"/>
          <w:sz w:val="36"/>
          <w:szCs w:val="36"/>
          <w:bdr w:val="none" w:sz="0" w:space="0" w:color="auto" w:frame="1"/>
          <w:lang w:eastAsia="zh-CN"/>
        </w:rPr>
        <w:t>    </w:t>
      </w:r>
      <w:r w:rsidRPr="00D8272E">
        <w:rPr>
          <w:rFonts w:ascii="仿宋_GB2312" w:eastAsia="仿宋_GB2312" w:hAnsi="微软雅黑" w:cs="宋体"/>
          <w:color w:val="404040"/>
          <w:sz w:val="36"/>
          <w:szCs w:val="36"/>
          <w:bdr w:val="none" w:sz="0" w:space="0" w:color="auto" w:frame="1"/>
          <w:lang w:eastAsia="zh-CN"/>
        </w:rPr>
        <w:t>从</w:t>
      </w:r>
      <w:r w:rsidRPr="00D8272E">
        <w:rPr>
          <w:rFonts w:ascii="Times New Roman" w:eastAsia="微软雅黑" w:hAnsi="Times New Roman" w:cs="Times New Roman"/>
          <w:color w:val="404040"/>
          <w:sz w:val="36"/>
          <w:szCs w:val="36"/>
          <w:bdr w:val="none" w:sz="0" w:space="0" w:color="auto" w:frame="1"/>
          <w:lang w:eastAsia="zh-CN"/>
        </w:rPr>
        <w:t>调整后的表内外资产余额</w:t>
      </w:r>
      <w:r w:rsidRPr="00D8272E">
        <w:rPr>
          <w:rFonts w:ascii="仿宋_GB2312" w:eastAsia="仿宋_GB2312" w:hAnsi="微软雅黑" w:cs="宋体"/>
          <w:color w:val="404040"/>
          <w:sz w:val="36"/>
          <w:szCs w:val="36"/>
          <w:bdr w:val="none" w:sz="0" w:space="0" w:color="auto" w:frame="1"/>
          <w:lang w:eastAsia="zh-CN"/>
        </w:rPr>
        <w:t>中</w:t>
      </w:r>
      <w:r w:rsidRPr="00D8272E">
        <w:rPr>
          <w:rFonts w:ascii="Times New Roman" w:eastAsia="微软雅黑" w:hAnsi="Times New Roman" w:cs="Times New Roman"/>
          <w:color w:val="404040"/>
          <w:sz w:val="36"/>
          <w:szCs w:val="36"/>
          <w:bdr w:val="none" w:sz="0" w:space="0" w:color="auto" w:frame="1"/>
          <w:lang w:eastAsia="zh-CN"/>
        </w:rPr>
        <w:t>扣除</w:t>
      </w:r>
      <w:r w:rsidRPr="00D8272E">
        <w:rPr>
          <w:rFonts w:ascii="仿宋_GB2312" w:eastAsia="仿宋_GB2312" w:hAnsi="微软雅黑" w:cs="宋体"/>
          <w:color w:val="404040"/>
          <w:sz w:val="36"/>
          <w:szCs w:val="36"/>
          <w:bdr w:val="none" w:sz="0" w:space="0" w:color="auto" w:frame="1"/>
          <w:lang w:eastAsia="zh-CN"/>
        </w:rPr>
        <w:t>的</w:t>
      </w:r>
      <w:r w:rsidRPr="00D8272E">
        <w:rPr>
          <w:rFonts w:ascii="Times New Roman" w:eastAsia="微软雅黑" w:hAnsi="Times New Roman" w:cs="Times New Roman"/>
          <w:color w:val="404040"/>
          <w:sz w:val="36"/>
          <w:szCs w:val="36"/>
          <w:bdr w:val="none" w:sz="0" w:space="0" w:color="auto" w:frame="1"/>
          <w:lang w:eastAsia="zh-CN"/>
        </w:rPr>
        <w:t>一级资本扣减项不包括商业银行因自身信用风险变化导致其负债公允价值变化带来的未实现损益。</w:t>
      </w:r>
    </w:p>
    <w:p w14:paraId="422B5262"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商业银行在计算</w:t>
      </w:r>
      <w:r w:rsidRPr="00D8272E">
        <w:rPr>
          <w:rFonts w:ascii="仿宋_GB2312" w:eastAsia="仿宋_GB2312" w:hAnsi="微软雅黑" w:cs="宋体"/>
          <w:color w:val="404040"/>
          <w:sz w:val="36"/>
          <w:szCs w:val="36"/>
          <w:bdr w:val="none" w:sz="0" w:space="0" w:color="auto" w:frame="1"/>
          <w:lang w:eastAsia="zh-CN"/>
        </w:rPr>
        <w:t>调整后的表内外</w:t>
      </w:r>
      <w:r w:rsidRPr="00D8272E">
        <w:rPr>
          <w:rFonts w:ascii="Times New Roman" w:eastAsia="微软雅黑" w:hAnsi="Times New Roman" w:cs="Times New Roman"/>
          <w:color w:val="404040"/>
          <w:sz w:val="36"/>
          <w:szCs w:val="36"/>
          <w:bdr w:val="none" w:sz="0" w:space="0" w:color="auto" w:frame="1"/>
          <w:lang w:eastAsia="zh-CN"/>
        </w:rPr>
        <w:t>资产余额时</w:t>
      </w:r>
      <w:r w:rsidRPr="00D8272E">
        <w:rPr>
          <w:rFonts w:ascii="仿宋_GB2312" w:eastAsia="仿宋_GB2312" w:hAnsi="微软雅黑" w:cs="宋体"/>
          <w:color w:val="404040"/>
          <w:sz w:val="36"/>
          <w:szCs w:val="36"/>
          <w:bdr w:val="none" w:sz="0" w:space="0" w:color="auto" w:frame="1"/>
          <w:lang w:eastAsia="zh-CN"/>
        </w:rPr>
        <w:t>，</w:t>
      </w:r>
      <w:r w:rsidRPr="00D8272E">
        <w:rPr>
          <w:rFonts w:ascii="Times New Roman" w:eastAsia="微软雅黑" w:hAnsi="Times New Roman" w:cs="Times New Roman"/>
          <w:color w:val="404040"/>
          <w:sz w:val="36"/>
          <w:szCs w:val="36"/>
          <w:bdr w:val="none" w:sz="0" w:space="0" w:color="auto" w:frame="1"/>
          <w:lang w:eastAsia="zh-CN"/>
        </w:rPr>
        <w:t>除本办法另有规定外，不考虑抵质押品、保证和信用衍生产品等信用风险缓释因素。</w:t>
      </w:r>
    </w:p>
    <w:p w14:paraId="13045458"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第十一条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调整后的表内资产余额</w:t>
      </w:r>
      <w:r w:rsidRPr="00D8272E">
        <w:rPr>
          <w:rFonts w:ascii="仿宋_GB2312" w:eastAsia="仿宋_GB2312" w:hAnsi="微软雅黑" w:cs="宋体"/>
          <w:color w:val="404040"/>
          <w:sz w:val="36"/>
          <w:szCs w:val="36"/>
          <w:bdr w:val="none" w:sz="0" w:space="0" w:color="auto" w:frame="1"/>
          <w:lang w:eastAsia="zh-CN"/>
        </w:rPr>
        <w:t>为扣减针对相关资产计提的准备或会计估值调整后的表内资产余额。</w:t>
      </w:r>
    </w:p>
    <w:p w14:paraId="2824662C"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第十二条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衍生产品资产余额按照本办法附件</w:t>
      </w:r>
      <w:r w:rsidRPr="00D8272E">
        <w:rPr>
          <w:rFonts w:ascii="Times New Roman" w:eastAsia="微软雅黑" w:hAnsi="Times New Roman" w:cs="Times New Roman"/>
          <w:color w:val="404040"/>
          <w:sz w:val="36"/>
          <w:szCs w:val="36"/>
          <w:bdr w:val="none" w:sz="0" w:space="0" w:color="auto" w:frame="1"/>
          <w:lang w:eastAsia="zh-CN"/>
        </w:rPr>
        <w:t>1</w:t>
      </w:r>
      <w:r w:rsidRPr="00D8272E">
        <w:rPr>
          <w:rFonts w:ascii="仿宋_GB2312" w:eastAsia="仿宋_GB2312" w:hAnsi="Times New Roman" w:cs="Times New Roman"/>
          <w:color w:val="404040"/>
          <w:sz w:val="36"/>
          <w:szCs w:val="36"/>
          <w:bdr w:val="none" w:sz="0" w:space="0" w:color="auto" w:frame="1"/>
          <w:lang w:eastAsia="zh-CN"/>
        </w:rPr>
        <w:t>列示的方法计算。</w:t>
      </w:r>
    </w:p>
    <w:p w14:paraId="1770744A"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第十三条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证券融资交易资产余额按照本办法附件</w:t>
      </w:r>
      <w:r w:rsidRPr="00D8272E">
        <w:rPr>
          <w:rFonts w:ascii="Times New Roman" w:eastAsia="微软雅黑" w:hAnsi="Times New Roman" w:cs="Times New Roman"/>
          <w:color w:val="404040"/>
          <w:sz w:val="36"/>
          <w:szCs w:val="36"/>
          <w:bdr w:val="none" w:sz="0" w:space="0" w:color="auto" w:frame="1"/>
          <w:lang w:eastAsia="zh-CN"/>
        </w:rPr>
        <w:t>2</w:t>
      </w:r>
      <w:r w:rsidRPr="00D8272E">
        <w:rPr>
          <w:rFonts w:ascii="仿宋_GB2312" w:eastAsia="仿宋_GB2312" w:hAnsi="Times New Roman" w:cs="Times New Roman"/>
          <w:color w:val="404040"/>
          <w:sz w:val="36"/>
          <w:szCs w:val="36"/>
          <w:bdr w:val="none" w:sz="0" w:space="0" w:color="auto" w:frame="1"/>
          <w:lang w:eastAsia="zh-CN"/>
        </w:rPr>
        <w:t>列示的方法计算。</w:t>
      </w:r>
    </w:p>
    <w:p w14:paraId="5029E73D"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第十四条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调整后的表外项目余额按照如下方式计算：</w:t>
      </w:r>
    </w:p>
    <w:p w14:paraId="7298FD60"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（一）表外项目中可随时无条件撤销的贷款承诺按照</w:t>
      </w:r>
      <w:r w:rsidRPr="00D8272E">
        <w:rPr>
          <w:rFonts w:ascii="Times New Roman" w:eastAsia="微软雅黑" w:hAnsi="Times New Roman" w:cs="Times New Roman"/>
          <w:color w:val="404040"/>
          <w:sz w:val="36"/>
          <w:szCs w:val="36"/>
          <w:bdr w:val="none" w:sz="0" w:space="0" w:color="auto" w:frame="1"/>
          <w:lang w:eastAsia="zh-CN"/>
        </w:rPr>
        <w:t>10%</w:t>
      </w:r>
      <w:r w:rsidRPr="00D8272E">
        <w:rPr>
          <w:rFonts w:ascii="仿宋_GB2312" w:eastAsia="仿宋_GB2312" w:hAnsi="Times New Roman" w:cs="Times New Roman"/>
          <w:color w:val="404040"/>
          <w:sz w:val="36"/>
          <w:szCs w:val="36"/>
          <w:bdr w:val="none" w:sz="0" w:space="0" w:color="auto" w:frame="1"/>
          <w:lang w:eastAsia="zh-CN"/>
        </w:rPr>
        <w:t>的信用转换系数计算。</w:t>
      </w:r>
    </w:p>
    <w:p w14:paraId="723D537E"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（二）其他表外项目按照《商业银行资本管理办法（试行）》规定的信用风险权重法表外项目信用转换系数计算。</w:t>
      </w:r>
    </w:p>
    <w:p w14:paraId="35B90023"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lastRenderedPageBreak/>
        <w:t>可随时无条件撤销的贷款承诺是指商业银行在协议中书面列明，无需事先通知、有权随时撤销，或由于借款人的信用状况恶化，可以有效自动撤销，而且撤销不会引起纠纷、诉讼或给银行带来成本的承诺。</w:t>
      </w:r>
    </w:p>
    <w:p w14:paraId="1546FFD5"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第十五条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商业银行计算并表杠杆率时，并表范围和计算方式依据《商业银行资本管理办法（试行）》中关于计算并表资本充足率的相关规定</w:t>
      </w:r>
      <w:r w:rsidRPr="00D8272E">
        <w:rPr>
          <w:rFonts w:ascii="仿宋_GB2312" w:eastAsia="仿宋_GB2312" w:hAnsi="微软雅黑" w:cs="宋体"/>
          <w:color w:val="404040"/>
          <w:sz w:val="36"/>
          <w:szCs w:val="36"/>
          <w:bdr w:val="none" w:sz="0" w:space="0" w:color="auto" w:frame="1"/>
          <w:lang w:eastAsia="zh-CN"/>
        </w:rPr>
        <w:t>执行</w:t>
      </w:r>
      <w:r w:rsidRPr="00D8272E">
        <w:rPr>
          <w:rFonts w:ascii="Times New Roman" w:eastAsia="微软雅黑" w:hAnsi="Times New Roman" w:cs="Times New Roman"/>
          <w:color w:val="404040"/>
          <w:sz w:val="36"/>
          <w:szCs w:val="36"/>
          <w:bdr w:val="none" w:sz="0" w:space="0" w:color="auto" w:frame="1"/>
          <w:lang w:eastAsia="zh-CN"/>
        </w:rPr>
        <w:t>。</w:t>
      </w:r>
    </w:p>
    <w:p w14:paraId="5FD13BEF"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黑体" w:eastAsia="黑体" w:hAnsi="黑体" w:cs="宋体"/>
          <w:color w:val="404040"/>
          <w:sz w:val="36"/>
          <w:szCs w:val="36"/>
          <w:bdr w:val="none" w:sz="0" w:space="0" w:color="auto" w:frame="1"/>
          <w:lang w:eastAsia="zh-CN"/>
        </w:rPr>
        <w:t>第三章</w:t>
      </w:r>
      <w:r w:rsidRPr="00D8272E">
        <w:rPr>
          <w:rFonts w:ascii="Calibri" w:eastAsia="黑体" w:hAnsi="Calibri" w:cs="Calibri"/>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披露要求</w:t>
      </w:r>
    </w:p>
    <w:p w14:paraId="78F52A72"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第十六条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境内外已经上市的商业银行，以及未上市但上一年年末并表总资产超过</w:t>
      </w:r>
      <w:r w:rsidRPr="00D8272E">
        <w:rPr>
          <w:rFonts w:ascii="Times New Roman" w:eastAsia="微软雅黑" w:hAnsi="Times New Roman" w:cs="Times New Roman"/>
          <w:color w:val="404040"/>
          <w:sz w:val="36"/>
          <w:szCs w:val="36"/>
          <w:bdr w:val="none" w:sz="0" w:space="0" w:color="auto" w:frame="1"/>
          <w:lang w:eastAsia="zh-CN"/>
        </w:rPr>
        <w:t>1</w:t>
      </w:r>
      <w:r w:rsidRPr="00D8272E">
        <w:rPr>
          <w:rFonts w:ascii="仿宋_GB2312" w:eastAsia="仿宋_GB2312" w:hAnsi="Times New Roman" w:cs="Times New Roman"/>
          <w:color w:val="404040"/>
          <w:sz w:val="36"/>
          <w:szCs w:val="36"/>
          <w:bdr w:val="none" w:sz="0" w:space="0" w:color="auto" w:frame="1"/>
          <w:lang w:eastAsia="zh-CN"/>
        </w:rPr>
        <w:t>万亿元人民币的其他商业银行应当按照下列要求和本办法附件</w:t>
      </w:r>
      <w:r w:rsidRPr="00D8272E">
        <w:rPr>
          <w:rFonts w:ascii="Times New Roman" w:eastAsia="微软雅黑" w:hAnsi="Times New Roman" w:cs="Times New Roman"/>
          <w:color w:val="404040"/>
          <w:sz w:val="36"/>
          <w:szCs w:val="36"/>
          <w:bdr w:val="none" w:sz="0" w:space="0" w:color="auto" w:frame="1"/>
          <w:lang w:eastAsia="zh-CN"/>
        </w:rPr>
        <w:t>3</w:t>
      </w:r>
      <w:r w:rsidRPr="00D8272E">
        <w:rPr>
          <w:rFonts w:ascii="仿宋_GB2312" w:eastAsia="仿宋_GB2312" w:hAnsi="Times New Roman" w:cs="Times New Roman"/>
          <w:color w:val="404040"/>
          <w:sz w:val="36"/>
          <w:szCs w:val="36"/>
          <w:bdr w:val="none" w:sz="0" w:space="0" w:color="auto" w:frame="1"/>
          <w:lang w:eastAsia="zh-CN"/>
        </w:rPr>
        <w:t>的规定，披露杠杆率相关信息：</w:t>
      </w:r>
    </w:p>
    <w:p w14:paraId="706A4375"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（一）在半年度和年度财务报告中按照本办法附件</w:t>
      </w:r>
      <w:r w:rsidRPr="00D8272E">
        <w:rPr>
          <w:rFonts w:ascii="Times New Roman" w:eastAsia="微软雅黑" w:hAnsi="Times New Roman" w:cs="Times New Roman"/>
          <w:color w:val="404040"/>
          <w:sz w:val="36"/>
          <w:szCs w:val="36"/>
          <w:bdr w:val="none" w:sz="0" w:space="0" w:color="auto" w:frame="1"/>
          <w:lang w:eastAsia="zh-CN"/>
        </w:rPr>
        <w:t>3</w:t>
      </w:r>
      <w:r w:rsidRPr="00D8272E">
        <w:rPr>
          <w:rFonts w:ascii="仿宋_GB2312" w:eastAsia="仿宋_GB2312" w:hAnsi="Times New Roman" w:cs="Times New Roman"/>
          <w:color w:val="404040"/>
          <w:sz w:val="36"/>
          <w:szCs w:val="36"/>
          <w:bdr w:val="none" w:sz="0" w:space="0" w:color="auto" w:frame="1"/>
          <w:lang w:eastAsia="zh-CN"/>
        </w:rPr>
        <w:t>的模板一和模板二披露杠杆率相关信息，或在半年度和年度财务报告中提供查阅上述信息的网址链接。</w:t>
      </w:r>
    </w:p>
    <w:p w14:paraId="37AADCDC"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（二）在季度财务报告中至少披露杠杆率水平、一级资本净额和调整后的表内外资产余额等</w:t>
      </w:r>
      <w:r w:rsidRPr="00D8272E">
        <w:rPr>
          <w:rFonts w:ascii="仿宋_GB2312" w:eastAsia="仿宋_GB2312" w:hAnsi="微软雅黑" w:cs="宋体"/>
          <w:color w:val="404040"/>
          <w:sz w:val="36"/>
          <w:szCs w:val="36"/>
          <w:bdr w:val="none" w:sz="0" w:space="0" w:color="auto" w:frame="1"/>
          <w:lang w:eastAsia="zh-CN"/>
        </w:rPr>
        <w:t>信息</w:t>
      </w:r>
      <w:r w:rsidRPr="00D8272E">
        <w:rPr>
          <w:rFonts w:ascii="Times New Roman" w:eastAsia="微软雅黑" w:hAnsi="Times New Roman" w:cs="Times New Roman"/>
          <w:color w:val="404040"/>
          <w:sz w:val="36"/>
          <w:szCs w:val="36"/>
          <w:bdr w:val="none" w:sz="0" w:space="0" w:color="auto" w:frame="1"/>
          <w:lang w:eastAsia="zh-CN"/>
        </w:rPr>
        <w:t>。除披露当期数据外，商业银行应当同时披露前</w:t>
      </w:r>
      <w:r w:rsidRPr="00D8272E">
        <w:rPr>
          <w:rFonts w:ascii="Times New Roman" w:eastAsia="微软雅黑" w:hAnsi="Times New Roman" w:cs="Times New Roman"/>
          <w:color w:val="404040"/>
          <w:sz w:val="36"/>
          <w:szCs w:val="36"/>
          <w:bdr w:val="none" w:sz="0" w:space="0" w:color="auto" w:frame="1"/>
          <w:lang w:eastAsia="zh-CN"/>
        </w:rPr>
        <w:t>3</w:t>
      </w:r>
      <w:r w:rsidRPr="00D8272E">
        <w:rPr>
          <w:rFonts w:ascii="仿宋_GB2312" w:eastAsia="仿宋_GB2312" w:hAnsi="Times New Roman" w:cs="Times New Roman"/>
          <w:color w:val="404040"/>
          <w:sz w:val="36"/>
          <w:szCs w:val="36"/>
          <w:bdr w:val="none" w:sz="0" w:space="0" w:color="auto" w:frame="1"/>
          <w:lang w:eastAsia="zh-CN"/>
        </w:rPr>
        <w:t>个季度的数据。</w:t>
      </w:r>
    </w:p>
    <w:p w14:paraId="30E7B96B"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lastRenderedPageBreak/>
        <w:t>（三）对杠杆率的各期变化、影响杠杆率变化的主要因素、相关资产负债表项目与本办法规定的杠杆率</w:t>
      </w:r>
      <w:r w:rsidRPr="00D8272E">
        <w:rPr>
          <w:rFonts w:ascii="仿宋_GB2312" w:eastAsia="仿宋_GB2312" w:hAnsi="微软雅黑" w:cs="宋体"/>
          <w:color w:val="404040"/>
          <w:sz w:val="36"/>
          <w:szCs w:val="36"/>
          <w:bdr w:val="none" w:sz="0" w:space="0" w:color="auto" w:frame="1"/>
          <w:lang w:eastAsia="zh-CN"/>
        </w:rPr>
        <w:t>相关</w:t>
      </w:r>
      <w:r w:rsidRPr="00D8272E">
        <w:rPr>
          <w:rFonts w:ascii="Times New Roman" w:eastAsia="微软雅黑" w:hAnsi="Times New Roman" w:cs="Times New Roman"/>
          <w:color w:val="404040"/>
          <w:sz w:val="36"/>
          <w:szCs w:val="36"/>
          <w:bdr w:val="none" w:sz="0" w:space="0" w:color="auto" w:frame="1"/>
          <w:lang w:eastAsia="zh-CN"/>
        </w:rPr>
        <w:t>项目之间的差异等做出说明。</w:t>
      </w:r>
    </w:p>
    <w:p w14:paraId="44C0FB03"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第十七条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除第十</w:t>
      </w:r>
      <w:r w:rsidRPr="00D8272E">
        <w:rPr>
          <w:rFonts w:ascii="仿宋_GB2312" w:eastAsia="仿宋_GB2312" w:hAnsi="微软雅黑" w:cs="宋体"/>
          <w:color w:val="404040"/>
          <w:sz w:val="36"/>
          <w:szCs w:val="36"/>
          <w:bdr w:val="none" w:sz="0" w:space="0" w:color="auto" w:frame="1"/>
          <w:lang w:eastAsia="zh-CN"/>
        </w:rPr>
        <w:t>六</w:t>
      </w:r>
      <w:r w:rsidRPr="00D8272E">
        <w:rPr>
          <w:rFonts w:ascii="Times New Roman" w:eastAsia="微软雅黑" w:hAnsi="Times New Roman" w:cs="Times New Roman"/>
          <w:color w:val="404040"/>
          <w:sz w:val="36"/>
          <w:szCs w:val="36"/>
          <w:bdr w:val="none" w:sz="0" w:space="0" w:color="auto" w:frame="1"/>
          <w:lang w:eastAsia="zh-CN"/>
        </w:rPr>
        <w:t>条规定的商业银行外，其他商业银行应当</w:t>
      </w:r>
      <w:r w:rsidRPr="00D8272E">
        <w:rPr>
          <w:rFonts w:ascii="仿宋_GB2312" w:eastAsia="仿宋_GB2312" w:hAnsi="微软雅黑" w:cs="宋体"/>
          <w:color w:val="404040"/>
          <w:sz w:val="36"/>
          <w:szCs w:val="36"/>
          <w:bdr w:val="none" w:sz="0" w:space="0" w:color="auto" w:frame="1"/>
          <w:lang w:eastAsia="zh-CN"/>
        </w:rPr>
        <w:t>至少按照发布财务报告的频率，在财务报告中或银行网站</w:t>
      </w:r>
      <w:r w:rsidRPr="00D8272E">
        <w:rPr>
          <w:rFonts w:ascii="Times New Roman" w:eastAsia="微软雅黑" w:hAnsi="Times New Roman" w:cs="Times New Roman"/>
          <w:color w:val="404040"/>
          <w:sz w:val="36"/>
          <w:szCs w:val="36"/>
          <w:bdr w:val="none" w:sz="0" w:space="0" w:color="auto" w:frame="1"/>
          <w:lang w:eastAsia="zh-CN"/>
        </w:rPr>
        <w:t>披露杠杆率信息</w:t>
      </w:r>
      <w:r w:rsidRPr="00D8272E">
        <w:rPr>
          <w:rFonts w:ascii="仿宋_GB2312" w:eastAsia="仿宋_GB2312" w:hAnsi="微软雅黑" w:cs="宋体"/>
          <w:color w:val="404040"/>
          <w:sz w:val="36"/>
          <w:szCs w:val="36"/>
          <w:bdr w:val="none" w:sz="0" w:space="0" w:color="auto" w:frame="1"/>
          <w:lang w:eastAsia="zh-CN"/>
        </w:rPr>
        <w:t>。</w:t>
      </w:r>
    </w:p>
    <w:p w14:paraId="3A6A8452"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color w:val="404040"/>
          <w:sz w:val="36"/>
          <w:szCs w:val="36"/>
          <w:bdr w:val="none" w:sz="0" w:space="0" w:color="auto" w:frame="1"/>
          <w:lang w:eastAsia="zh-CN"/>
        </w:rPr>
        <w:t>其他</w:t>
      </w:r>
      <w:r w:rsidRPr="00D8272E">
        <w:rPr>
          <w:rFonts w:ascii="Times New Roman" w:eastAsia="微软雅黑" w:hAnsi="Times New Roman" w:cs="Times New Roman"/>
          <w:color w:val="404040"/>
          <w:sz w:val="36"/>
          <w:szCs w:val="36"/>
          <w:bdr w:val="none" w:sz="0" w:space="0" w:color="auto" w:frame="1"/>
          <w:lang w:eastAsia="zh-CN"/>
        </w:rPr>
        <w:t>商业银行应当至少披露杠杆率水平、一级资本净额和调整后的表内外资产余额等信息。</w:t>
      </w:r>
    </w:p>
    <w:p w14:paraId="23631CA6"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商业银行因特殊原因不能按时披露的，应当至少提前十五个工作日向</w:t>
      </w:r>
      <w:r w:rsidRPr="00D8272E">
        <w:rPr>
          <w:rFonts w:ascii="仿宋_GB2312" w:eastAsia="仿宋_GB2312" w:hAnsi="微软雅黑" w:cs="宋体"/>
          <w:color w:val="404040"/>
          <w:sz w:val="36"/>
          <w:szCs w:val="36"/>
          <w:bdr w:val="none" w:sz="0" w:space="0" w:color="auto" w:frame="1"/>
          <w:lang w:eastAsia="zh-CN"/>
        </w:rPr>
        <w:t>银监会或其派出机构</w:t>
      </w:r>
      <w:r w:rsidRPr="00D8272E">
        <w:rPr>
          <w:rFonts w:ascii="Times New Roman" w:eastAsia="微软雅黑" w:hAnsi="Times New Roman" w:cs="Times New Roman"/>
          <w:color w:val="404040"/>
          <w:sz w:val="36"/>
          <w:szCs w:val="36"/>
          <w:bdr w:val="none" w:sz="0" w:space="0" w:color="auto" w:frame="1"/>
          <w:lang w:eastAsia="zh-CN"/>
        </w:rPr>
        <w:t>申请延迟。</w:t>
      </w:r>
    </w:p>
    <w:p w14:paraId="2C4EE47F"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黑体" w:eastAsia="黑体" w:hAnsi="黑体" w:cs="宋体"/>
          <w:color w:val="404040"/>
          <w:sz w:val="36"/>
          <w:szCs w:val="36"/>
          <w:bdr w:val="none" w:sz="0" w:space="0" w:color="auto" w:frame="1"/>
          <w:lang w:eastAsia="zh-CN"/>
        </w:rPr>
        <w:t>第四章</w:t>
      </w:r>
      <w:r w:rsidRPr="00D8272E">
        <w:rPr>
          <w:rFonts w:ascii="Calibri" w:eastAsia="黑体" w:hAnsi="Calibri" w:cs="Calibri"/>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杠杆率的监督管理</w:t>
      </w:r>
    </w:p>
    <w:p w14:paraId="69A0ADF5"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第十八条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商业银行董事会承担杠杆率管理的最终责任，商业银行高级管理层负责杠杆率管理的实施工作。</w:t>
      </w:r>
    </w:p>
    <w:p w14:paraId="543E7754"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第十九条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商业银行应当设定不低于最低监管要求的目标杠杆率，有效控制杠杆化程度。</w:t>
      </w:r>
    </w:p>
    <w:p w14:paraId="7B74BDDC"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第二十条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商业银行应当按照</w:t>
      </w:r>
      <w:r w:rsidRPr="00D8272E">
        <w:rPr>
          <w:rFonts w:ascii="仿宋_GB2312" w:eastAsia="仿宋_GB2312" w:hAnsi="微软雅黑" w:cs="宋体"/>
          <w:color w:val="404040"/>
          <w:sz w:val="36"/>
          <w:szCs w:val="36"/>
          <w:bdr w:val="none" w:sz="0" w:space="0" w:color="auto" w:frame="1"/>
          <w:lang w:eastAsia="zh-CN"/>
        </w:rPr>
        <w:t>中国银监会及其派出机构</w:t>
      </w:r>
      <w:r w:rsidRPr="00D8272E">
        <w:rPr>
          <w:rFonts w:ascii="Times New Roman" w:eastAsia="微软雅黑" w:hAnsi="Times New Roman" w:cs="Times New Roman"/>
          <w:color w:val="404040"/>
          <w:sz w:val="36"/>
          <w:szCs w:val="36"/>
          <w:bdr w:val="none" w:sz="0" w:space="0" w:color="auto" w:frame="1"/>
          <w:lang w:eastAsia="zh-CN"/>
        </w:rPr>
        <w:t>的要求定期报送杠杆率报表。</w:t>
      </w:r>
    </w:p>
    <w:p w14:paraId="48A493C9"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并表杠杆率报表每半年报送一次，未并表杠杆率报表每季度报送一次。</w:t>
      </w:r>
    </w:p>
    <w:p w14:paraId="6CC67164"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lastRenderedPageBreak/>
        <w:t>第二十一条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对于杠杆率低于最低监管要求的商业银行，</w:t>
      </w:r>
      <w:r w:rsidRPr="00D8272E">
        <w:rPr>
          <w:rFonts w:ascii="仿宋_GB2312" w:eastAsia="仿宋_GB2312" w:hAnsi="微软雅黑" w:cs="宋体"/>
          <w:color w:val="404040"/>
          <w:sz w:val="36"/>
          <w:szCs w:val="36"/>
          <w:bdr w:val="none" w:sz="0" w:space="0" w:color="auto" w:frame="1"/>
          <w:lang w:eastAsia="zh-CN"/>
        </w:rPr>
        <w:t>中国银监会及其派出机构</w:t>
      </w:r>
      <w:r w:rsidRPr="00D8272E">
        <w:rPr>
          <w:rFonts w:ascii="Times New Roman" w:eastAsia="微软雅黑" w:hAnsi="Times New Roman" w:cs="Times New Roman"/>
          <w:color w:val="404040"/>
          <w:sz w:val="36"/>
          <w:szCs w:val="36"/>
          <w:bdr w:val="none" w:sz="0" w:space="0" w:color="auto" w:frame="1"/>
          <w:lang w:eastAsia="zh-CN"/>
        </w:rPr>
        <w:t>可以采取以下纠正措施：</w:t>
      </w:r>
    </w:p>
    <w:p w14:paraId="13F8EE56"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（一）要求商业银行限期补充一级资本；</w:t>
      </w:r>
    </w:p>
    <w:p w14:paraId="4FDC0706"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（二）要求商业银行控制表内外资产增长速度；</w:t>
      </w:r>
    </w:p>
    <w:p w14:paraId="47064A58"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（三）要求商业银行降低表内外资产规模。</w:t>
      </w:r>
    </w:p>
    <w:p w14:paraId="575EF1A7"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对于逾期未改正，或者</w:t>
      </w:r>
      <w:r w:rsidRPr="00D8272E">
        <w:rPr>
          <w:rFonts w:ascii="仿宋_GB2312" w:eastAsia="仿宋_GB2312" w:hAnsi="微软雅黑" w:cs="宋体"/>
          <w:color w:val="404040"/>
          <w:sz w:val="36"/>
          <w:szCs w:val="36"/>
          <w:bdr w:val="none" w:sz="0" w:space="0" w:color="auto" w:frame="1"/>
          <w:lang w:eastAsia="zh-CN"/>
        </w:rPr>
        <w:t>其</w:t>
      </w:r>
      <w:r w:rsidRPr="00D8272E">
        <w:rPr>
          <w:rFonts w:ascii="Times New Roman" w:eastAsia="微软雅黑" w:hAnsi="Times New Roman" w:cs="Times New Roman"/>
          <w:color w:val="404040"/>
          <w:sz w:val="36"/>
          <w:szCs w:val="36"/>
          <w:bdr w:val="none" w:sz="0" w:space="0" w:color="auto" w:frame="1"/>
          <w:lang w:eastAsia="zh-CN"/>
        </w:rPr>
        <w:t>行为严重危及商业银行稳健运行、损害存款人和其他客户</w:t>
      </w:r>
      <w:r w:rsidRPr="00D8272E">
        <w:rPr>
          <w:rFonts w:ascii="仿宋_GB2312" w:eastAsia="仿宋_GB2312" w:hAnsi="微软雅黑" w:cs="宋体"/>
          <w:color w:val="404040"/>
          <w:sz w:val="36"/>
          <w:szCs w:val="36"/>
          <w:bdr w:val="none" w:sz="0" w:space="0" w:color="auto" w:frame="1"/>
          <w:lang w:eastAsia="zh-CN"/>
        </w:rPr>
        <w:t>的</w:t>
      </w:r>
      <w:r w:rsidRPr="00D8272E">
        <w:rPr>
          <w:rFonts w:ascii="Times New Roman" w:eastAsia="微软雅黑" w:hAnsi="Times New Roman" w:cs="Times New Roman"/>
          <w:color w:val="404040"/>
          <w:sz w:val="36"/>
          <w:szCs w:val="36"/>
          <w:bdr w:val="none" w:sz="0" w:space="0" w:color="auto" w:frame="1"/>
          <w:lang w:eastAsia="zh-CN"/>
        </w:rPr>
        <w:t>合法权益的，</w:t>
      </w:r>
      <w:r w:rsidRPr="00D8272E">
        <w:rPr>
          <w:rFonts w:ascii="仿宋_GB2312" w:eastAsia="仿宋_GB2312" w:hAnsi="微软雅黑" w:cs="宋体"/>
          <w:color w:val="404040"/>
          <w:sz w:val="36"/>
          <w:szCs w:val="36"/>
          <w:bdr w:val="none" w:sz="0" w:space="0" w:color="auto" w:frame="1"/>
          <w:lang w:eastAsia="zh-CN"/>
        </w:rPr>
        <w:t>中国银监会及其派出机构</w:t>
      </w:r>
      <w:r w:rsidRPr="00D8272E">
        <w:rPr>
          <w:rFonts w:ascii="Times New Roman" w:eastAsia="微软雅黑" w:hAnsi="Times New Roman" w:cs="Times New Roman"/>
          <w:color w:val="404040"/>
          <w:sz w:val="36"/>
          <w:szCs w:val="36"/>
          <w:bdr w:val="none" w:sz="0" w:space="0" w:color="auto" w:frame="1"/>
          <w:lang w:eastAsia="zh-CN"/>
        </w:rPr>
        <w:t>可以根据《中华人民共和国银行业监督管理法》的规定，区别情形，采取下列措施：</w:t>
      </w:r>
    </w:p>
    <w:p w14:paraId="70696BC8"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（一）责令暂停部分业务、停止批准开办新业务；</w:t>
      </w:r>
    </w:p>
    <w:p w14:paraId="1758C8E0"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（二）限制分配红利和其他收入；</w:t>
      </w:r>
    </w:p>
    <w:p w14:paraId="441EFE89"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（三）停止批准增设分支机构；</w:t>
      </w:r>
    </w:p>
    <w:p w14:paraId="74179A58"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（四）责令控股股东转让股权或者限制有关股东的权利；</w:t>
      </w:r>
    </w:p>
    <w:p w14:paraId="4889143C"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（五）责令调整董事、高级管理人员或者限制其权利；</w:t>
      </w:r>
    </w:p>
    <w:p w14:paraId="4DDA1BC9"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（六）法律规定的其他措施。</w:t>
      </w:r>
    </w:p>
    <w:p w14:paraId="4368CDA1"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除上述措施外，还可以依法对商业银行给予行政处罚。</w:t>
      </w:r>
    </w:p>
    <w:p w14:paraId="26A56AA3"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黑体" w:eastAsia="黑体" w:hAnsi="黑体" w:cs="宋体"/>
          <w:color w:val="404040"/>
          <w:sz w:val="36"/>
          <w:szCs w:val="36"/>
          <w:bdr w:val="none" w:sz="0" w:space="0" w:color="auto" w:frame="1"/>
          <w:lang w:eastAsia="zh-CN"/>
        </w:rPr>
        <w:t>第五章</w:t>
      </w:r>
      <w:r w:rsidRPr="00D8272E">
        <w:rPr>
          <w:rFonts w:ascii="Calibri" w:eastAsia="黑体" w:hAnsi="Calibri" w:cs="Calibri"/>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附则</w:t>
      </w:r>
    </w:p>
    <w:p w14:paraId="32F8BE31"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第二十二条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政策性银行、金融资产管理公司、农村合作银行、农村信用社、村镇银行、企业集团财务公司、金融租赁公司、汽车金融公司和消费金融公司参照本办法执行。</w:t>
      </w:r>
    </w:p>
    <w:p w14:paraId="0BA52283"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lastRenderedPageBreak/>
        <w:t>第二十三条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系统重要性银行应当</w:t>
      </w:r>
      <w:r w:rsidRPr="00D8272E">
        <w:rPr>
          <w:rFonts w:ascii="仿宋_GB2312" w:eastAsia="仿宋_GB2312" w:hAnsi="微软雅黑" w:cs="宋体"/>
          <w:color w:val="404040"/>
          <w:sz w:val="36"/>
          <w:szCs w:val="36"/>
          <w:bdr w:val="none" w:sz="0" w:space="0" w:color="auto" w:frame="1"/>
          <w:lang w:eastAsia="zh-CN"/>
        </w:rPr>
        <w:t>自本办法实施之</w:t>
      </w:r>
      <w:r w:rsidRPr="00D8272E">
        <w:rPr>
          <w:rFonts w:ascii="Times New Roman" w:eastAsia="微软雅黑" w:hAnsi="Times New Roman" w:cs="Times New Roman"/>
          <w:color w:val="404040"/>
          <w:sz w:val="36"/>
          <w:szCs w:val="36"/>
          <w:bdr w:val="none" w:sz="0" w:space="0" w:color="auto" w:frame="1"/>
          <w:lang w:eastAsia="zh-CN"/>
        </w:rPr>
        <w:t>日起达到本办法规定的最低监管要求，其他</w:t>
      </w:r>
      <w:r w:rsidRPr="00D8272E">
        <w:rPr>
          <w:rFonts w:ascii="仿宋_GB2312" w:eastAsia="仿宋_GB2312" w:hAnsi="微软雅黑" w:cs="宋体"/>
          <w:color w:val="404040"/>
          <w:sz w:val="36"/>
          <w:szCs w:val="36"/>
          <w:bdr w:val="none" w:sz="0" w:space="0" w:color="auto" w:frame="1"/>
          <w:lang w:eastAsia="zh-CN"/>
        </w:rPr>
        <w:t>商业</w:t>
      </w:r>
      <w:r w:rsidRPr="00D8272E">
        <w:rPr>
          <w:rFonts w:ascii="Times New Roman" w:eastAsia="微软雅黑" w:hAnsi="Times New Roman" w:cs="Times New Roman"/>
          <w:color w:val="404040"/>
          <w:sz w:val="36"/>
          <w:szCs w:val="36"/>
          <w:bdr w:val="none" w:sz="0" w:space="0" w:color="auto" w:frame="1"/>
          <w:lang w:eastAsia="zh-CN"/>
        </w:rPr>
        <w:t>银行应当于</w:t>
      </w:r>
      <w:r w:rsidRPr="00D8272E">
        <w:rPr>
          <w:rFonts w:ascii="Times New Roman" w:eastAsia="微软雅黑" w:hAnsi="Times New Roman" w:cs="Times New Roman"/>
          <w:color w:val="404040"/>
          <w:sz w:val="36"/>
          <w:szCs w:val="36"/>
          <w:bdr w:val="none" w:sz="0" w:space="0" w:color="auto" w:frame="1"/>
          <w:lang w:eastAsia="zh-CN"/>
        </w:rPr>
        <w:t>2016</w:t>
      </w:r>
      <w:r w:rsidRPr="00D8272E">
        <w:rPr>
          <w:rFonts w:ascii="仿宋_GB2312" w:eastAsia="仿宋_GB2312" w:hAnsi="Times New Roman" w:cs="Times New Roman"/>
          <w:color w:val="404040"/>
          <w:sz w:val="36"/>
          <w:szCs w:val="36"/>
          <w:bdr w:val="none" w:sz="0" w:space="0" w:color="auto" w:frame="1"/>
          <w:lang w:eastAsia="zh-CN"/>
        </w:rPr>
        <w:t>年底前达到本办法规定的最低监管要求。在过渡期内，未达到最低监管要求的银行应当制定达标规划，并向</w:t>
      </w:r>
      <w:r w:rsidRPr="00D8272E">
        <w:rPr>
          <w:rFonts w:ascii="仿宋_GB2312" w:eastAsia="仿宋_GB2312" w:hAnsi="微软雅黑" w:cs="宋体"/>
          <w:color w:val="404040"/>
          <w:sz w:val="36"/>
          <w:szCs w:val="36"/>
          <w:bdr w:val="none" w:sz="0" w:space="0" w:color="auto" w:frame="1"/>
          <w:lang w:eastAsia="zh-CN"/>
        </w:rPr>
        <w:t>中国银监会或其派出机构</w:t>
      </w:r>
      <w:r w:rsidRPr="00D8272E">
        <w:rPr>
          <w:rFonts w:ascii="Times New Roman" w:eastAsia="微软雅黑" w:hAnsi="Times New Roman" w:cs="Times New Roman"/>
          <w:color w:val="404040"/>
          <w:sz w:val="36"/>
          <w:szCs w:val="36"/>
          <w:bdr w:val="none" w:sz="0" w:space="0" w:color="auto" w:frame="1"/>
          <w:lang w:eastAsia="zh-CN"/>
        </w:rPr>
        <w:t>报告。</w:t>
      </w:r>
    </w:p>
    <w:p w14:paraId="5929C4B8"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第二十四条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本办法由</w:t>
      </w:r>
      <w:r w:rsidRPr="00D8272E">
        <w:rPr>
          <w:rFonts w:ascii="仿宋_GB2312" w:eastAsia="仿宋_GB2312" w:hAnsi="微软雅黑" w:cs="宋体"/>
          <w:color w:val="404040"/>
          <w:sz w:val="36"/>
          <w:szCs w:val="36"/>
          <w:bdr w:val="none" w:sz="0" w:space="0" w:color="auto" w:frame="1"/>
          <w:lang w:eastAsia="zh-CN"/>
        </w:rPr>
        <w:t>中国</w:t>
      </w:r>
      <w:r w:rsidRPr="00D8272E">
        <w:rPr>
          <w:rFonts w:ascii="Times New Roman" w:eastAsia="微软雅黑" w:hAnsi="Times New Roman" w:cs="Times New Roman"/>
          <w:color w:val="404040"/>
          <w:sz w:val="36"/>
          <w:szCs w:val="36"/>
          <w:bdr w:val="none" w:sz="0" w:space="0" w:color="auto" w:frame="1"/>
          <w:lang w:eastAsia="zh-CN"/>
        </w:rPr>
        <w:t>银监会负责解释。</w:t>
      </w:r>
    </w:p>
    <w:p w14:paraId="326CAB79" w14:textId="77777777" w:rsidR="00D8272E" w:rsidRPr="00D8272E" w:rsidRDefault="00D8272E" w:rsidP="00D8272E">
      <w:pPr>
        <w:spacing w:after="0" w:line="240" w:lineRule="auto"/>
        <w:ind w:firstLine="342"/>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6"/>
          <w:szCs w:val="36"/>
          <w:bdr w:val="none" w:sz="0" w:space="0" w:color="auto" w:frame="1"/>
          <w:lang w:eastAsia="zh-CN"/>
        </w:rPr>
        <w:t>第二十五条</w:t>
      </w:r>
      <w:r w:rsidRPr="00D8272E">
        <w:rPr>
          <w:rFonts w:ascii="仿宋_GB2312" w:eastAsia="仿宋_GB2312" w:hAnsi="微软雅黑" w:cs="宋体"/>
          <w:b/>
          <w:bCs/>
          <w:color w:val="404040"/>
          <w:sz w:val="36"/>
          <w:szCs w:val="36"/>
          <w:bdr w:val="none" w:sz="0" w:space="0" w:color="auto" w:frame="1"/>
          <w:lang w:eastAsia="zh-CN"/>
        </w:rPr>
        <w:t> </w:t>
      </w:r>
      <w:r w:rsidRPr="00D8272E">
        <w:rPr>
          <w:rFonts w:ascii="Times New Roman" w:eastAsia="微软雅黑" w:hAnsi="Times New Roman" w:cs="Times New Roman"/>
          <w:color w:val="404040"/>
          <w:sz w:val="36"/>
          <w:szCs w:val="36"/>
          <w:bdr w:val="none" w:sz="0" w:space="0" w:color="auto" w:frame="1"/>
          <w:lang w:eastAsia="zh-CN"/>
        </w:rPr>
        <w:t>本办法自</w:t>
      </w:r>
      <w:r w:rsidRPr="00D8272E">
        <w:rPr>
          <w:rFonts w:ascii="Times New Roman" w:eastAsia="微软雅黑" w:hAnsi="Times New Roman" w:cs="Times New Roman"/>
          <w:color w:val="404040"/>
          <w:sz w:val="36"/>
          <w:szCs w:val="36"/>
          <w:bdr w:val="none" w:sz="0" w:space="0" w:color="auto" w:frame="1"/>
          <w:lang w:eastAsia="zh-CN"/>
        </w:rPr>
        <w:t>2015</w:t>
      </w:r>
      <w:r w:rsidRPr="00D8272E">
        <w:rPr>
          <w:rFonts w:ascii="仿宋_GB2312" w:eastAsia="仿宋_GB2312" w:hAnsi="Times New Roman" w:cs="Times New Roman"/>
          <w:color w:val="404040"/>
          <w:sz w:val="36"/>
          <w:szCs w:val="36"/>
          <w:bdr w:val="none" w:sz="0" w:space="0" w:color="auto" w:frame="1"/>
          <w:lang w:eastAsia="zh-CN"/>
        </w:rPr>
        <w:t>年</w:t>
      </w:r>
      <w:r w:rsidRPr="00D8272E">
        <w:rPr>
          <w:rFonts w:ascii="仿宋_GB2312" w:eastAsia="仿宋_GB2312" w:hAnsi="微软雅黑" w:cs="宋体"/>
          <w:color w:val="404040"/>
          <w:sz w:val="36"/>
          <w:szCs w:val="36"/>
          <w:bdr w:val="none" w:sz="0" w:space="0" w:color="auto" w:frame="1"/>
          <w:lang w:eastAsia="zh-CN"/>
        </w:rPr>
        <w:t>4</w:t>
      </w:r>
      <w:r w:rsidRPr="00D8272E">
        <w:rPr>
          <w:rFonts w:ascii="Times New Roman" w:eastAsia="微软雅黑" w:hAnsi="Times New Roman" w:cs="Times New Roman"/>
          <w:color w:val="404040"/>
          <w:sz w:val="36"/>
          <w:szCs w:val="36"/>
          <w:bdr w:val="none" w:sz="0" w:space="0" w:color="auto" w:frame="1"/>
          <w:lang w:eastAsia="zh-CN"/>
        </w:rPr>
        <w:t>月</w:t>
      </w:r>
      <w:r w:rsidRPr="00D8272E">
        <w:rPr>
          <w:rFonts w:ascii="仿宋_GB2312" w:eastAsia="仿宋_GB2312" w:hAnsi="微软雅黑" w:cs="宋体"/>
          <w:color w:val="404040"/>
          <w:sz w:val="36"/>
          <w:szCs w:val="36"/>
          <w:bdr w:val="none" w:sz="0" w:space="0" w:color="auto" w:frame="1"/>
          <w:lang w:eastAsia="zh-CN"/>
        </w:rPr>
        <w:t>1</w:t>
      </w:r>
      <w:r w:rsidRPr="00D8272E">
        <w:rPr>
          <w:rFonts w:ascii="Times New Roman" w:eastAsia="微软雅黑" w:hAnsi="Times New Roman" w:cs="Times New Roman"/>
          <w:color w:val="404040"/>
          <w:sz w:val="36"/>
          <w:szCs w:val="36"/>
          <w:bdr w:val="none" w:sz="0" w:space="0" w:color="auto" w:frame="1"/>
          <w:lang w:eastAsia="zh-CN"/>
        </w:rPr>
        <w:t>日起施行</w:t>
      </w:r>
      <w:r w:rsidRPr="00D8272E">
        <w:rPr>
          <w:rFonts w:ascii="仿宋_GB2312" w:eastAsia="仿宋_GB2312" w:hAnsi="微软雅黑" w:cs="宋体"/>
          <w:color w:val="404040"/>
          <w:sz w:val="36"/>
          <w:szCs w:val="36"/>
          <w:bdr w:val="none" w:sz="0" w:space="0" w:color="auto" w:frame="1"/>
          <w:lang w:eastAsia="zh-CN"/>
        </w:rPr>
        <w:t>，</w:t>
      </w:r>
      <w:r w:rsidRPr="00D8272E">
        <w:rPr>
          <w:rFonts w:ascii="Times New Roman" w:eastAsia="微软雅黑" w:hAnsi="Times New Roman" w:cs="Times New Roman"/>
          <w:color w:val="404040"/>
          <w:sz w:val="36"/>
          <w:szCs w:val="36"/>
          <w:bdr w:val="none" w:sz="0" w:space="0" w:color="auto" w:frame="1"/>
          <w:lang w:eastAsia="zh-CN"/>
        </w:rPr>
        <w:t>《商业银行杠杆率管理办法》（中国银行业</w:t>
      </w:r>
      <w:r w:rsidRPr="00D8272E">
        <w:rPr>
          <w:rFonts w:ascii="仿宋_GB2312" w:eastAsia="仿宋_GB2312" w:hAnsi="微软雅黑" w:cs="宋体"/>
          <w:color w:val="404040"/>
          <w:sz w:val="36"/>
          <w:szCs w:val="36"/>
          <w:bdr w:val="none" w:sz="0" w:space="0" w:color="auto" w:frame="1"/>
          <w:lang w:eastAsia="zh-CN"/>
        </w:rPr>
        <w:t>监督</w:t>
      </w:r>
      <w:r w:rsidRPr="00D8272E">
        <w:rPr>
          <w:rFonts w:ascii="Times New Roman" w:eastAsia="微软雅黑" w:hAnsi="Times New Roman" w:cs="Times New Roman"/>
          <w:color w:val="404040"/>
          <w:sz w:val="36"/>
          <w:szCs w:val="36"/>
          <w:bdr w:val="none" w:sz="0" w:space="0" w:color="auto" w:frame="1"/>
          <w:lang w:eastAsia="zh-CN"/>
        </w:rPr>
        <w:t>管理委员会</w:t>
      </w:r>
      <w:r w:rsidRPr="00D8272E">
        <w:rPr>
          <w:rFonts w:ascii="Times New Roman" w:eastAsia="微软雅黑" w:hAnsi="Times New Roman" w:cs="Times New Roman"/>
          <w:color w:val="404040"/>
          <w:sz w:val="36"/>
          <w:szCs w:val="36"/>
          <w:bdr w:val="none" w:sz="0" w:space="0" w:color="auto" w:frame="1"/>
          <w:lang w:eastAsia="zh-CN"/>
        </w:rPr>
        <w:t>2011</w:t>
      </w:r>
      <w:r w:rsidRPr="00D8272E">
        <w:rPr>
          <w:rFonts w:ascii="仿宋_GB2312" w:eastAsia="仿宋_GB2312" w:hAnsi="Times New Roman" w:cs="Times New Roman"/>
          <w:color w:val="404040"/>
          <w:sz w:val="36"/>
          <w:szCs w:val="36"/>
          <w:bdr w:val="none" w:sz="0" w:space="0" w:color="auto" w:frame="1"/>
          <w:lang w:eastAsia="zh-CN"/>
        </w:rPr>
        <w:t>年第</w:t>
      </w:r>
      <w:r w:rsidRPr="00D8272E">
        <w:rPr>
          <w:rFonts w:ascii="Times New Roman" w:eastAsia="微软雅黑" w:hAnsi="Times New Roman" w:cs="Times New Roman"/>
          <w:color w:val="404040"/>
          <w:sz w:val="36"/>
          <w:szCs w:val="36"/>
          <w:bdr w:val="none" w:sz="0" w:space="0" w:color="auto" w:frame="1"/>
          <w:lang w:eastAsia="zh-CN"/>
        </w:rPr>
        <w:t>3</w:t>
      </w:r>
      <w:r w:rsidRPr="00D8272E">
        <w:rPr>
          <w:rFonts w:ascii="仿宋_GB2312" w:eastAsia="仿宋_GB2312" w:hAnsi="Times New Roman" w:cs="Times New Roman"/>
          <w:color w:val="404040"/>
          <w:sz w:val="36"/>
          <w:szCs w:val="36"/>
          <w:bdr w:val="none" w:sz="0" w:space="0" w:color="auto" w:frame="1"/>
          <w:lang w:eastAsia="zh-CN"/>
        </w:rPr>
        <w:t>号令）同时废止。</w:t>
      </w:r>
    </w:p>
    <w:p w14:paraId="0DFB18A0"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0"/>
          <w:szCs w:val="30"/>
          <w:bdr w:val="none" w:sz="0" w:space="0" w:color="auto" w:frame="1"/>
          <w:lang w:eastAsia="zh-CN"/>
        </w:rPr>
        <w:t>附件1</w:t>
      </w:r>
      <w:r w:rsidRPr="00D8272E">
        <w:rPr>
          <w:rFonts w:ascii="仿宋_GB2312" w:eastAsia="仿宋_GB2312" w:hAnsi="微软雅黑" w:cs="宋体"/>
          <w:b/>
          <w:bCs/>
          <w:color w:val="404040"/>
          <w:sz w:val="30"/>
          <w:szCs w:val="30"/>
          <w:bdr w:val="none" w:sz="0" w:space="0" w:color="auto" w:frame="1"/>
          <w:lang w:eastAsia="zh-CN"/>
        </w:rPr>
        <w:t> </w:t>
      </w:r>
    </w:p>
    <w:p w14:paraId="74EC7987"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衍生产品资产余额计算方法</w:t>
      </w:r>
    </w:p>
    <w:p w14:paraId="2EFF3438"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衍生产品资产余额按照本附件列示的现期风险暴露法计算。衍生产品抵质押品不应从衍生产品</w:t>
      </w:r>
      <w:r w:rsidRPr="00D8272E">
        <w:rPr>
          <w:rFonts w:ascii="仿宋_GB2312" w:eastAsia="仿宋_GB2312" w:hAnsi="微软雅黑" w:cs="宋体"/>
          <w:color w:val="404040"/>
          <w:sz w:val="30"/>
          <w:szCs w:val="30"/>
          <w:bdr w:val="none" w:sz="0" w:space="0" w:color="auto" w:frame="1"/>
          <w:lang w:eastAsia="zh-CN"/>
        </w:rPr>
        <w:t>资产</w:t>
      </w:r>
      <w:r w:rsidRPr="00D8272E">
        <w:rPr>
          <w:rFonts w:ascii="Times New Roman" w:eastAsia="微软雅黑" w:hAnsi="Times New Roman" w:cs="Times New Roman"/>
          <w:color w:val="404040"/>
          <w:sz w:val="30"/>
          <w:szCs w:val="30"/>
          <w:bdr w:val="none" w:sz="0" w:space="0" w:color="auto" w:frame="1"/>
          <w:lang w:eastAsia="zh-CN"/>
        </w:rPr>
        <w:t>余额中扣除，但符合本附件规定的保证金除外。</w:t>
      </w:r>
    </w:p>
    <w:p w14:paraId="0F830BB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一、现期风险暴露法</w:t>
      </w:r>
    </w:p>
    <w:p w14:paraId="3164DD8C"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（一）衍生产品资产余额按下列公式计算：</w:t>
      </w:r>
    </w:p>
    <w:p w14:paraId="0593FF95" w14:textId="77777777" w:rsidR="00D8272E" w:rsidRPr="00D8272E" w:rsidRDefault="00D8272E" w:rsidP="00D8272E">
      <w:pPr>
        <w:spacing w:after="0" w:line="240" w:lineRule="auto"/>
        <w:ind w:firstLine="285"/>
        <w:jc w:val="center"/>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衍生产品资产余额</w:t>
      </w:r>
      <w:r w:rsidRPr="00D8272E">
        <w:rPr>
          <w:rFonts w:ascii="Times New Roman" w:eastAsia="微软雅黑" w:hAnsi="Times New Roman" w:cs="Times New Roman"/>
          <w:color w:val="404040"/>
          <w:sz w:val="30"/>
          <w:szCs w:val="30"/>
          <w:bdr w:val="none" w:sz="0" w:space="0" w:color="auto" w:frame="1"/>
          <w:lang w:eastAsia="zh-CN"/>
        </w:rPr>
        <w:t>= RC + Add-on</w:t>
      </w:r>
    </w:p>
    <w:p w14:paraId="19C0A1B1"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其中：</w:t>
      </w:r>
    </w:p>
    <w:p w14:paraId="0E07BD60"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w:t>
      </w:r>
      <w:r w:rsidRPr="00D8272E">
        <w:rPr>
          <w:rFonts w:ascii="Times New Roman" w:eastAsia="微软雅黑" w:hAnsi="Times New Roman" w:cs="Times New Roman"/>
          <w:color w:val="404040"/>
          <w:sz w:val="30"/>
          <w:szCs w:val="30"/>
          <w:bdr w:val="none" w:sz="0" w:space="0" w:color="auto" w:frame="1"/>
          <w:lang w:eastAsia="zh-CN"/>
        </w:rPr>
        <w:t>RC</w:t>
      </w:r>
      <w:r w:rsidRPr="00D8272E">
        <w:rPr>
          <w:rFonts w:ascii="仿宋_GB2312" w:eastAsia="仿宋_GB2312" w:hAnsi="Times New Roman" w:cs="Times New Roman"/>
          <w:color w:val="404040"/>
          <w:sz w:val="30"/>
          <w:szCs w:val="30"/>
          <w:bdr w:val="none" w:sz="0" w:space="0" w:color="auto" w:frame="1"/>
          <w:lang w:eastAsia="zh-CN"/>
        </w:rPr>
        <w:t>为按盯市价值计算的重置成本与</w:t>
      </w:r>
      <w:r w:rsidRPr="00D8272E">
        <w:rPr>
          <w:rFonts w:ascii="Times New Roman" w:eastAsia="微软雅黑" w:hAnsi="Times New Roman" w:cs="Times New Roman"/>
          <w:color w:val="404040"/>
          <w:sz w:val="30"/>
          <w:szCs w:val="30"/>
          <w:bdr w:val="none" w:sz="0" w:space="0" w:color="auto" w:frame="1"/>
          <w:lang w:eastAsia="zh-CN"/>
        </w:rPr>
        <w:t>0</w:t>
      </w:r>
      <w:r w:rsidRPr="00D8272E">
        <w:rPr>
          <w:rFonts w:ascii="仿宋_GB2312" w:eastAsia="仿宋_GB2312" w:hAnsi="Times New Roman" w:cs="Times New Roman"/>
          <w:color w:val="404040"/>
          <w:sz w:val="30"/>
          <w:szCs w:val="30"/>
          <w:bdr w:val="none" w:sz="0" w:space="0" w:color="auto" w:frame="1"/>
          <w:lang w:eastAsia="zh-CN"/>
        </w:rPr>
        <w:t>之间的较大者；</w:t>
      </w:r>
    </w:p>
    <w:p w14:paraId="59F8B69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w:t>
      </w:r>
      <w:r w:rsidRPr="00D8272E">
        <w:rPr>
          <w:rFonts w:ascii="Times New Roman" w:eastAsia="微软雅黑" w:hAnsi="Times New Roman" w:cs="Times New Roman"/>
          <w:color w:val="404040"/>
          <w:sz w:val="30"/>
          <w:szCs w:val="30"/>
          <w:bdr w:val="none" w:sz="0" w:space="0" w:color="auto" w:frame="1"/>
          <w:lang w:eastAsia="zh-CN"/>
        </w:rPr>
        <w:t>Add-on</w:t>
      </w:r>
      <w:r w:rsidRPr="00D8272E">
        <w:rPr>
          <w:rFonts w:ascii="仿宋_GB2312" w:eastAsia="仿宋_GB2312" w:hAnsi="Times New Roman" w:cs="Times New Roman"/>
          <w:color w:val="404040"/>
          <w:sz w:val="30"/>
          <w:szCs w:val="30"/>
          <w:bdr w:val="none" w:sz="0" w:space="0" w:color="auto" w:frame="1"/>
          <w:lang w:eastAsia="zh-CN"/>
        </w:rPr>
        <w:t>为剩余期限内的潜在风险暴露。</w:t>
      </w:r>
    </w:p>
    <w:p w14:paraId="35816080"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3</w:t>
      </w:r>
      <w:r w:rsidRPr="00D8272E">
        <w:rPr>
          <w:rFonts w:ascii="仿宋_GB2312" w:eastAsia="仿宋_GB2312" w:hAnsi="Times New Roman" w:cs="Times New Roman"/>
          <w:color w:val="404040"/>
          <w:sz w:val="30"/>
          <w:szCs w:val="30"/>
          <w:bdr w:val="none" w:sz="0" w:space="0" w:color="auto" w:frame="1"/>
          <w:lang w:eastAsia="zh-CN"/>
        </w:rPr>
        <w:t>．潜在风险暴露等于衍生产品的有效名义本金乘以相应的附加系数，信用衍生产品以外的其他衍生产品的附加系数见表</w:t>
      </w: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w:t>
      </w:r>
    </w:p>
    <w:p w14:paraId="3F5FD75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b/>
          <w:bCs/>
          <w:color w:val="404040"/>
          <w:sz w:val="30"/>
          <w:szCs w:val="30"/>
          <w:bdr w:val="none" w:sz="0" w:space="0" w:color="auto" w:frame="1"/>
          <w:lang w:eastAsia="zh-CN"/>
        </w:rPr>
        <w:lastRenderedPageBreak/>
        <w:t>表</w:t>
      </w:r>
      <w:r w:rsidRPr="00D8272E">
        <w:rPr>
          <w:rFonts w:ascii="Times New Roman" w:eastAsia="微软雅黑" w:hAnsi="Times New Roman" w:cs="Times New Roman"/>
          <w:b/>
          <w:bCs/>
          <w:color w:val="404040"/>
          <w:sz w:val="30"/>
          <w:szCs w:val="30"/>
          <w:bdr w:val="none" w:sz="0" w:space="0" w:color="auto" w:frame="1"/>
          <w:lang w:eastAsia="zh-CN"/>
        </w:rPr>
        <w:t>1   </w:t>
      </w:r>
      <w:r w:rsidRPr="00D8272E">
        <w:rPr>
          <w:rFonts w:ascii="黑体" w:eastAsia="黑体" w:hAnsi="黑体" w:cs="Times New Roman"/>
          <w:b/>
          <w:bCs/>
          <w:color w:val="404040"/>
          <w:sz w:val="30"/>
          <w:szCs w:val="30"/>
          <w:bdr w:val="none" w:sz="0" w:space="0" w:color="auto" w:frame="1"/>
          <w:lang w:eastAsia="zh-CN"/>
        </w:rPr>
        <w:t>衍生产品的附加系数（信用衍生产品除外）（％）</w:t>
      </w:r>
    </w:p>
    <w:tbl>
      <w:tblPr>
        <w:tblW w:w="0" w:type="auto"/>
        <w:jc w:val="center"/>
        <w:tblCellMar>
          <w:left w:w="0" w:type="dxa"/>
          <w:right w:w="0" w:type="dxa"/>
        </w:tblCellMar>
        <w:tblLook w:val="04A0" w:firstRow="1" w:lastRow="0" w:firstColumn="1" w:lastColumn="0" w:noHBand="0" w:noVBand="1"/>
      </w:tblPr>
      <w:tblGrid>
        <w:gridCol w:w="1806"/>
        <w:gridCol w:w="720"/>
        <w:gridCol w:w="1453"/>
        <w:gridCol w:w="878"/>
        <w:gridCol w:w="1482"/>
        <w:gridCol w:w="1259"/>
      </w:tblGrid>
      <w:tr w:rsidR="00D8272E" w:rsidRPr="00D8272E" w14:paraId="311D9FDF" w14:textId="77777777">
        <w:trPr>
          <w:jc w:val="center"/>
        </w:trPr>
        <w:tc>
          <w:tcPr>
            <w:tcW w:w="1806" w:type="dxa"/>
            <w:tcBorders>
              <w:top w:val="single" w:sz="4" w:space="0" w:color="000000"/>
              <w:left w:val="single" w:sz="4" w:space="0" w:color="000000"/>
              <w:bottom w:val="single" w:sz="4" w:space="0" w:color="000000"/>
              <w:right w:val="single" w:sz="4" w:space="0" w:color="000000"/>
            </w:tcBorders>
            <w:hideMark/>
          </w:tcPr>
          <w:p w14:paraId="5AD4A0A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剩余期限</w:t>
            </w:r>
          </w:p>
        </w:tc>
        <w:tc>
          <w:tcPr>
            <w:tcW w:w="720" w:type="dxa"/>
            <w:tcBorders>
              <w:top w:val="single" w:sz="4" w:space="0" w:color="auto"/>
              <w:left w:val="nil"/>
              <w:bottom w:val="single" w:sz="4" w:space="0" w:color="auto"/>
              <w:right w:val="single" w:sz="4" w:space="0" w:color="auto"/>
            </w:tcBorders>
            <w:hideMark/>
          </w:tcPr>
          <w:p w14:paraId="2A234F01"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利率</w:t>
            </w:r>
          </w:p>
        </w:tc>
        <w:tc>
          <w:tcPr>
            <w:tcW w:w="1453" w:type="dxa"/>
            <w:tcBorders>
              <w:top w:val="single" w:sz="4" w:space="0" w:color="auto"/>
              <w:left w:val="nil"/>
              <w:bottom w:val="single" w:sz="4" w:space="0" w:color="auto"/>
              <w:right w:val="single" w:sz="4" w:space="0" w:color="auto"/>
            </w:tcBorders>
            <w:hideMark/>
          </w:tcPr>
          <w:p w14:paraId="279A9F4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汇率和黄金</w:t>
            </w:r>
          </w:p>
        </w:tc>
        <w:tc>
          <w:tcPr>
            <w:tcW w:w="878" w:type="dxa"/>
            <w:tcBorders>
              <w:top w:val="single" w:sz="4" w:space="0" w:color="auto"/>
              <w:left w:val="nil"/>
              <w:bottom w:val="single" w:sz="4" w:space="0" w:color="auto"/>
              <w:right w:val="single" w:sz="4" w:space="0" w:color="auto"/>
            </w:tcBorders>
            <w:hideMark/>
          </w:tcPr>
          <w:p w14:paraId="71DD05F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股权</w:t>
            </w:r>
          </w:p>
        </w:tc>
        <w:tc>
          <w:tcPr>
            <w:tcW w:w="1482" w:type="dxa"/>
            <w:tcBorders>
              <w:top w:val="single" w:sz="4" w:space="0" w:color="auto"/>
              <w:left w:val="nil"/>
              <w:bottom w:val="single" w:sz="4" w:space="0" w:color="auto"/>
              <w:right w:val="single" w:sz="4" w:space="0" w:color="auto"/>
            </w:tcBorders>
            <w:hideMark/>
          </w:tcPr>
          <w:p w14:paraId="473A9DC9"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黄金以外的贵金属</w:t>
            </w:r>
          </w:p>
        </w:tc>
        <w:tc>
          <w:tcPr>
            <w:tcW w:w="1259" w:type="dxa"/>
            <w:tcBorders>
              <w:top w:val="single" w:sz="4" w:space="0" w:color="auto"/>
              <w:left w:val="nil"/>
              <w:bottom w:val="single" w:sz="4" w:space="0" w:color="auto"/>
              <w:right w:val="single" w:sz="4" w:space="0" w:color="auto"/>
            </w:tcBorders>
            <w:hideMark/>
          </w:tcPr>
          <w:p w14:paraId="2EC405C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其它商品</w:t>
            </w:r>
          </w:p>
        </w:tc>
      </w:tr>
      <w:tr w:rsidR="00D8272E" w:rsidRPr="00D8272E" w14:paraId="753F1D23" w14:textId="77777777">
        <w:trPr>
          <w:trHeight w:val="64"/>
          <w:jc w:val="center"/>
        </w:trPr>
        <w:tc>
          <w:tcPr>
            <w:tcW w:w="1806" w:type="dxa"/>
            <w:tcBorders>
              <w:top w:val="nil"/>
              <w:left w:val="single" w:sz="4" w:space="0" w:color="auto"/>
              <w:bottom w:val="single" w:sz="4" w:space="0" w:color="auto"/>
              <w:right w:val="single" w:sz="4" w:space="0" w:color="auto"/>
            </w:tcBorders>
            <w:hideMark/>
          </w:tcPr>
          <w:p w14:paraId="588AF0EC"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不超过</w:t>
            </w:r>
            <w:r w:rsidRPr="00D8272E">
              <w:rPr>
                <w:rFonts w:ascii="Times New Roman" w:eastAsia="宋体" w:hAnsi="Times New Roman" w:cs="Times New Roman"/>
                <w:b/>
                <w:bCs/>
                <w:sz w:val="24"/>
                <w:szCs w:val="24"/>
                <w:bdr w:val="none" w:sz="0" w:space="0" w:color="auto" w:frame="1"/>
                <w:lang w:eastAsia="zh-CN"/>
              </w:rPr>
              <w:t>1</w:t>
            </w:r>
            <w:r w:rsidRPr="00D8272E">
              <w:rPr>
                <w:rFonts w:ascii="仿宋_GB2312" w:eastAsia="仿宋_GB2312" w:hAnsi="Times New Roman" w:cs="Times New Roman"/>
                <w:b/>
                <w:bCs/>
                <w:sz w:val="24"/>
                <w:szCs w:val="24"/>
                <w:bdr w:val="none" w:sz="0" w:space="0" w:color="auto" w:frame="1"/>
                <w:lang w:eastAsia="zh-CN"/>
              </w:rPr>
              <w:t>年</w:t>
            </w:r>
          </w:p>
        </w:tc>
        <w:tc>
          <w:tcPr>
            <w:tcW w:w="720" w:type="dxa"/>
            <w:tcBorders>
              <w:top w:val="nil"/>
              <w:left w:val="nil"/>
              <w:bottom w:val="single" w:sz="4" w:space="0" w:color="auto"/>
              <w:right w:val="single" w:sz="4" w:space="0" w:color="auto"/>
            </w:tcBorders>
            <w:hideMark/>
          </w:tcPr>
          <w:p w14:paraId="65496F70"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0.0</w:t>
            </w:r>
          </w:p>
        </w:tc>
        <w:tc>
          <w:tcPr>
            <w:tcW w:w="1453" w:type="dxa"/>
            <w:tcBorders>
              <w:top w:val="nil"/>
              <w:left w:val="nil"/>
              <w:bottom w:val="single" w:sz="4" w:space="0" w:color="auto"/>
              <w:right w:val="single" w:sz="4" w:space="0" w:color="auto"/>
            </w:tcBorders>
            <w:hideMark/>
          </w:tcPr>
          <w:p w14:paraId="4D45167F"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1.0</w:t>
            </w:r>
          </w:p>
        </w:tc>
        <w:tc>
          <w:tcPr>
            <w:tcW w:w="878" w:type="dxa"/>
            <w:tcBorders>
              <w:top w:val="nil"/>
              <w:left w:val="nil"/>
              <w:bottom w:val="single" w:sz="4" w:space="0" w:color="auto"/>
              <w:right w:val="single" w:sz="4" w:space="0" w:color="auto"/>
            </w:tcBorders>
            <w:hideMark/>
          </w:tcPr>
          <w:p w14:paraId="6E7CD4CF"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6.0</w:t>
            </w:r>
          </w:p>
        </w:tc>
        <w:tc>
          <w:tcPr>
            <w:tcW w:w="1482" w:type="dxa"/>
            <w:tcBorders>
              <w:top w:val="nil"/>
              <w:left w:val="nil"/>
              <w:bottom w:val="single" w:sz="4" w:space="0" w:color="auto"/>
              <w:right w:val="single" w:sz="4" w:space="0" w:color="auto"/>
            </w:tcBorders>
            <w:hideMark/>
          </w:tcPr>
          <w:p w14:paraId="45FCFEC3"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7.0</w:t>
            </w:r>
          </w:p>
        </w:tc>
        <w:tc>
          <w:tcPr>
            <w:tcW w:w="1259" w:type="dxa"/>
            <w:tcBorders>
              <w:top w:val="nil"/>
              <w:left w:val="nil"/>
              <w:bottom w:val="single" w:sz="4" w:space="0" w:color="auto"/>
              <w:right w:val="single" w:sz="4" w:space="0" w:color="auto"/>
            </w:tcBorders>
            <w:hideMark/>
          </w:tcPr>
          <w:p w14:paraId="15C65888"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10.0</w:t>
            </w:r>
          </w:p>
        </w:tc>
      </w:tr>
      <w:tr w:rsidR="00D8272E" w:rsidRPr="00D8272E" w14:paraId="78C5DCA0" w14:textId="77777777">
        <w:trPr>
          <w:jc w:val="center"/>
        </w:trPr>
        <w:tc>
          <w:tcPr>
            <w:tcW w:w="1806" w:type="dxa"/>
            <w:tcBorders>
              <w:top w:val="nil"/>
              <w:left w:val="single" w:sz="4" w:space="0" w:color="auto"/>
              <w:bottom w:val="single" w:sz="4" w:space="0" w:color="auto"/>
              <w:right w:val="single" w:sz="4" w:space="0" w:color="auto"/>
            </w:tcBorders>
            <w:hideMark/>
          </w:tcPr>
          <w:p w14:paraId="114DCFB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1</w:t>
            </w:r>
            <w:r w:rsidRPr="00D8272E">
              <w:rPr>
                <w:rFonts w:ascii="仿宋_GB2312" w:eastAsia="仿宋_GB2312" w:hAnsi="Times New Roman" w:cs="Times New Roman"/>
                <w:b/>
                <w:bCs/>
                <w:sz w:val="24"/>
                <w:szCs w:val="24"/>
                <w:bdr w:val="none" w:sz="0" w:space="0" w:color="auto" w:frame="1"/>
                <w:lang w:eastAsia="zh-CN"/>
              </w:rPr>
              <w:t>年以上，</w:t>
            </w:r>
            <w:r w:rsidRPr="00D8272E">
              <w:rPr>
                <w:rFonts w:ascii="Times New Roman" w:eastAsia="宋体" w:hAnsi="Times New Roman" w:cs="Times New Roman"/>
                <w:b/>
                <w:bCs/>
                <w:sz w:val="24"/>
                <w:szCs w:val="24"/>
                <w:bdr w:val="none" w:sz="0" w:space="0" w:color="auto" w:frame="1"/>
                <w:lang w:eastAsia="zh-CN"/>
              </w:rPr>
              <w:br/>
            </w:r>
            <w:r w:rsidRPr="00D8272E">
              <w:rPr>
                <w:rFonts w:ascii="Times New Roman" w:eastAsia="宋体" w:hAnsi="Times New Roman" w:cs="Times New Roman"/>
                <w:b/>
                <w:bCs/>
                <w:sz w:val="24"/>
                <w:szCs w:val="24"/>
                <w:bdr w:val="none" w:sz="0" w:space="0" w:color="auto" w:frame="1"/>
                <w:lang w:eastAsia="zh-CN"/>
              </w:rPr>
              <w:t>不超过</w:t>
            </w:r>
            <w:r w:rsidRPr="00D8272E">
              <w:rPr>
                <w:rFonts w:ascii="Times New Roman" w:eastAsia="宋体" w:hAnsi="Times New Roman" w:cs="Times New Roman"/>
                <w:b/>
                <w:bCs/>
                <w:sz w:val="24"/>
                <w:szCs w:val="24"/>
                <w:bdr w:val="none" w:sz="0" w:space="0" w:color="auto" w:frame="1"/>
                <w:lang w:eastAsia="zh-CN"/>
              </w:rPr>
              <w:t>5</w:t>
            </w:r>
            <w:r w:rsidRPr="00D8272E">
              <w:rPr>
                <w:rFonts w:ascii="仿宋_GB2312" w:eastAsia="仿宋_GB2312" w:hAnsi="Times New Roman" w:cs="Times New Roman"/>
                <w:b/>
                <w:bCs/>
                <w:sz w:val="24"/>
                <w:szCs w:val="24"/>
                <w:bdr w:val="none" w:sz="0" w:space="0" w:color="auto" w:frame="1"/>
                <w:lang w:eastAsia="zh-CN"/>
              </w:rPr>
              <w:t>年</w:t>
            </w:r>
          </w:p>
        </w:tc>
        <w:tc>
          <w:tcPr>
            <w:tcW w:w="720" w:type="dxa"/>
            <w:tcBorders>
              <w:top w:val="nil"/>
              <w:left w:val="nil"/>
              <w:bottom w:val="single" w:sz="4" w:space="0" w:color="auto"/>
              <w:right w:val="single" w:sz="4" w:space="0" w:color="auto"/>
            </w:tcBorders>
            <w:hideMark/>
          </w:tcPr>
          <w:p w14:paraId="712646AA"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0.5</w:t>
            </w:r>
          </w:p>
        </w:tc>
        <w:tc>
          <w:tcPr>
            <w:tcW w:w="1453" w:type="dxa"/>
            <w:tcBorders>
              <w:top w:val="nil"/>
              <w:left w:val="nil"/>
              <w:bottom w:val="single" w:sz="4" w:space="0" w:color="auto"/>
              <w:right w:val="single" w:sz="4" w:space="0" w:color="auto"/>
            </w:tcBorders>
            <w:hideMark/>
          </w:tcPr>
          <w:p w14:paraId="6471E7E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5.0</w:t>
            </w:r>
          </w:p>
        </w:tc>
        <w:tc>
          <w:tcPr>
            <w:tcW w:w="878" w:type="dxa"/>
            <w:tcBorders>
              <w:top w:val="nil"/>
              <w:left w:val="nil"/>
              <w:bottom w:val="single" w:sz="4" w:space="0" w:color="auto"/>
              <w:right w:val="single" w:sz="4" w:space="0" w:color="auto"/>
            </w:tcBorders>
            <w:hideMark/>
          </w:tcPr>
          <w:p w14:paraId="00D9BA2C"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8.0</w:t>
            </w:r>
          </w:p>
        </w:tc>
        <w:tc>
          <w:tcPr>
            <w:tcW w:w="1482" w:type="dxa"/>
            <w:tcBorders>
              <w:top w:val="nil"/>
              <w:left w:val="nil"/>
              <w:bottom w:val="single" w:sz="4" w:space="0" w:color="auto"/>
              <w:right w:val="single" w:sz="4" w:space="0" w:color="auto"/>
            </w:tcBorders>
            <w:hideMark/>
          </w:tcPr>
          <w:p w14:paraId="3BC7E12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7.0</w:t>
            </w:r>
          </w:p>
        </w:tc>
        <w:tc>
          <w:tcPr>
            <w:tcW w:w="1259" w:type="dxa"/>
            <w:tcBorders>
              <w:top w:val="nil"/>
              <w:left w:val="nil"/>
              <w:bottom w:val="single" w:sz="4" w:space="0" w:color="auto"/>
              <w:right w:val="single" w:sz="4" w:space="0" w:color="auto"/>
            </w:tcBorders>
            <w:hideMark/>
          </w:tcPr>
          <w:p w14:paraId="7E14A333"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12.0</w:t>
            </w:r>
          </w:p>
        </w:tc>
      </w:tr>
      <w:tr w:rsidR="00D8272E" w:rsidRPr="00D8272E" w14:paraId="69B106E2" w14:textId="77777777">
        <w:trPr>
          <w:trHeight w:val="64"/>
          <w:jc w:val="center"/>
        </w:trPr>
        <w:tc>
          <w:tcPr>
            <w:tcW w:w="1806" w:type="dxa"/>
            <w:tcBorders>
              <w:top w:val="nil"/>
              <w:left w:val="single" w:sz="4" w:space="0" w:color="auto"/>
              <w:bottom w:val="single" w:sz="4" w:space="0" w:color="auto"/>
              <w:right w:val="single" w:sz="4" w:space="0" w:color="auto"/>
            </w:tcBorders>
            <w:hideMark/>
          </w:tcPr>
          <w:p w14:paraId="59ADE521"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5</w:t>
            </w:r>
            <w:r w:rsidRPr="00D8272E">
              <w:rPr>
                <w:rFonts w:ascii="仿宋_GB2312" w:eastAsia="仿宋_GB2312" w:hAnsi="Times New Roman" w:cs="Times New Roman"/>
                <w:b/>
                <w:bCs/>
                <w:sz w:val="24"/>
                <w:szCs w:val="24"/>
                <w:bdr w:val="none" w:sz="0" w:space="0" w:color="auto" w:frame="1"/>
                <w:lang w:eastAsia="zh-CN"/>
              </w:rPr>
              <w:t>年以上</w:t>
            </w:r>
          </w:p>
        </w:tc>
        <w:tc>
          <w:tcPr>
            <w:tcW w:w="720" w:type="dxa"/>
            <w:tcBorders>
              <w:top w:val="nil"/>
              <w:left w:val="nil"/>
              <w:bottom w:val="single" w:sz="4" w:space="0" w:color="auto"/>
              <w:right w:val="single" w:sz="4" w:space="0" w:color="auto"/>
            </w:tcBorders>
            <w:hideMark/>
          </w:tcPr>
          <w:p w14:paraId="7F3BF854"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1.5</w:t>
            </w:r>
          </w:p>
        </w:tc>
        <w:tc>
          <w:tcPr>
            <w:tcW w:w="1453" w:type="dxa"/>
            <w:tcBorders>
              <w:top w:val="nil"/>
              <w:left w:val="nil"/>
              <w:bottom w:val="single" w:sz="4" w:space="0" w:color="auto"/>
              <w:right w:val="single" w:sz="4" w:space="0" w:color="auto"/>
            </w:tcBorders>
            <w:hideMark/>
          </w:tcPr>
          <w:p w14:paraId="3AB2AA73"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7.5</w:t>
            </w:r>
          </w:p>
        </w:tc>
        <w:tc>
          <w:tcPr>
            <w:tcW w:w="878" w:type="dxa"/>
            <w:tcBorders>
              <w:top w:val="nil"/>
              <w:left w:val="nil"/>
              <w:bottom w:val="single" w:sz="4" w:space="0" w:color="auto"/>
              <w:right w:val="single" w:sz="4" w:space="0" w:color="auto"/>
            </w:tcBorders>
            <w:hideMark/>
          </w:tcPr>
          <w:p w14:paraId="7341C1E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10.0</w:t>
            </w:r>
          </w:p>
        </w:tc>
        <w:tc>
          <w:tcPr>
            <w:tcW w:w="1482" w:type="dxa"/>
            <w:tcBorders>
              <w:top w:val="nil"/>
              <w:left w:val="nil"/>
              <w:bottom w:val="single" w:sz="4" w:space="0" w:color="auto"/>
              <w:right w:val="single" w:sz="4" w:space="0" w:color="auto"/>
            </w:tcBorders>
            <w:hideMark/>
          </w:tcPr>
          <w:p w14:paraId="3CB7FF93"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8.0</w:t>
            </w:r>
          </w:p>
        </w:tc>
        <w:tc>
          <w:tcPr>
            <w:tcW w:w="1259" w:type="dxa"/>
            <w:tcBorders>
              <w:top w:val="nil"/>
              <w:left w:val="nil"/>
              <w:bottom w:val="single" w:sz="4" w:space="0" w:color="auto"/>
              <w:right w:val="single" w:sz="4" w:space="0" w:color="auto"/>
            </w:tcBorders>
            <w:hideMark/>
          </w:tcPr>
          <w:p w14:paraId="79D489A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15.0</w:t>
            </w:r>
          </w:p>
        </w:tc>
      </w:tr>
    </w:tbl>
    <w:p w14:paraId="4761EFAE"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）对于多次进行本金交割的合约，名义本金为合约的剩余支付金额。</w:t>
      </w:r>
    </w:p>
    <w:p w14:paraId="1334CF6A"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）对于按照确定的支付日期清算且在清算日合约价值为</w:t>
      </w:r>
      <w:r w:rsidRPr="00D8272E">
        <w:rPr>
          <w:rFonts w:ascii="Times New Roman" w:eastAsia="微软雅黑" w:hAnsi="Times New Roman" w:cs="Times New Roman"/>
          <w:color w:val="404040"/>
          <w:sz w:val="30"/>
          <w:szCs w:val="30"/>
          <w:bdr w:val="none" w:sz="0" w:space="0" w:color="auto" w:frame="1"/>
          <w:lang w:eastAsia="zh-CN"/>
        </w:rPr>
        <w:t>0</w:t>
      </w:r>
      <w:r w:rsidRPr="00D8272E">
        <w:rPr>
          <w:rFonts w:ascii="仿宋_GB2312" w:eastAsia="仿宋_GB2312" w:hAnsi="Times New Roman" w:cs="Times New Roman"/>
          <w:color w:val="404040"/>
          <w:sz w:val="30"/>
          <w:szCs w:val="30"/>
          <w:bdr w:val="none" w:sz="0" w:space="0" w:color="auto" w:frame="1"/>
          <w:lang w:eastAsia="zh-CN"/>
        </w:rPr>
        <w:t>的衍生产品合约，剩余期限应当等于从报告日到下一个清算日的时间。对于满足上述条件且剩余期限超过</w:t>
      </w: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年的利率</w:t>
      </w:r>
      <w:r w:rsidRPr="00D8272E">
        <w:rPr>
          <w:rFonts w:ascii="仿宋_GB2312" w:eastAsia="仿宋_GB2312" w:hAnsi="微软雅黑" w:cs="宋体"/>
          <w:color w:val="404040"/>
          <w:sz w:val="30"/>
          <w:szCs w:val="30"/>
          <w:bdr w:val="none" w:sz="0" w:space="0" w:color="auto" w:frame="1"/>
          <w:lang w:eastAsia="zh-CN"/>
        </w:rPr>
        <w:t>衍生产品</w:t>
      </w:r>
      <w:r w:rsidRPr="00D8272E">
        <w:rPr>
          <w:rFonts w:ascii="Times New Roman" w:eastAsia="微软雅黑" w:hAnsi="Times New Roman" w:cs="Times New Roman"/>
          <w:color w:val="404040"/>
          <w:sz w:val="30"/>
          <w:szCs w:val="30"/>
          <w:bdr w:val="none" w:sz="0" w:space="0" w:color="auto" w:frame="1"/>
          <w:lang w:eastAsia="zh-CN"/>
        </w:rPr>
        <w:t>合约，附加系数应当不低于</w:t>
      </w:r>
      <w:r w:rsidRPr="00D8272E">
        <w:rPr>
          <w:rFonts w:ascii="Times New Roman" w:eastAsia="微软雅黑" w:hAnsi="Times New Roman" w:cs="Times New Roman"/>
          <w:color w:val="404040"/>
          <w:sz w:val="30"/>
          <w:szCs w:val="30"/>
          <w:bdr w:val="none" w:sz="0" w:space="0" w:color="auto" w:frame="1"/>
          <w:lang w:eastAsia="zh-CN"/>
        </w:rPr>
        <w:t>0.5%</w:t>
      </w:r>
      <w:r w:rsidRPr="00D8272E">
        <w:rPr>
          <w:rFonts w:ascii="仿宋_GB2312" w:eastAsia="仿宋_GB2312" w:hAnsi="Times New Roman" w:cs="Times New Roman"/>
          <w:color w:val="404040"/>
          <w:sz w:val="30"/>
          <w:szCs w:val="30"/>
          <w:bdr w:val="none" w:sz="0" w:space="0" w:color="auto" w:frame="1"/>
          <w:lang w:eastAsia="zh-CN"/>
        </w:rPr>
        <w:t>。</w:t>
      </w:r>
    </w:p>
    <w:p w14:paraId="6C05C9E1"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Times New Roman" w:eastAsia="微软雅黑" w:hAnsi="Times New Roman" w:cs="Times New Roman"/>
          <w:color w:val="404040"/>
          <w:sz w:val="30"/>
          <w:szCs w:val="30"/>
          <w:bdr w:val="none" w:sz="0" w:space="0" w:color="auto" w:frame="1"/>
          <w:lang w:eastAsia="zh-CN"/>
        </w:rPr>
        <w:t>3</w:t>
      </w:r>
      <w:r w:rsidRPr="00D8272E">
        <w:rPr>
          <w:rFonts w:ascii="仿宋_GB2312" w:eastAsia="仿宋_GB2312" w:hAnsi="Times New Roman" w:cs="Times New Roman"/>
          <w:color w:val="404040"/>
          <w:sz w:val="30"/>
          <w:szCs w:val="30"/>
          <w:bdr w:val="none" w:sz="0" w:space="0" w:color="auto" w:frame="1"/>
          <w:lang w:eastAsia="zh-CN"/>
        </w:rPr>
        <w:t>）表格中列出的利率、汇率和黄金、股权以及贵金属衍生产品以外的其他衍生产品应视为</w:t>
      </w: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仿宋_GB2312" w:eastAsia="仿宋_GB2312" w:hAnsi="Times New Roman" w:cs="Times New Roman"/>
          <w:color w:val="404040"/>
          <w:sz w:val="30"/>
          <w:szCs w:val="30"/>
          <w:bdr w:val="none" w:sz="0" w:space="0" w:color="auto" w:frame="1"/>
          <w:lang w:eastAsia="zh-CN"/>
        </w:rPr>
        <w:t>其他商品</w:t>
      </w: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仿宋_GB2312" w:eastAsia="仿宋_GB2312" w:hAnsi="Times New Roman" w:cs="Times New Roman"/>
          <w:color w:val="404040"/>
          <w:sz w:val="30"/>
          <w:szCs w:val="30"/>
          <w:bdr w:val="none" w:sz="0" w:space="0" w:color="auto" w:frame="1"/>
          <w:lang w:eastAsia="zh-CN"/>
        </w:rPr>
        <w:t>。</w:t>
      </w:r>
    </w:p>
    <w:p w14:paraId="351EBBAB"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Times New Roman" w:eastAsia="微软雅黑" w:hAnsi="Times New Roman" w:cs="Times New Roman"/>
          <w:color w:val="404040"/>
          <w:sz w:val="30"/>
          <w:szCs w:val="30"/>
          <w:bdr w:val="none" w:sz="0" w:space="0" w:color="auto" w:frame="1"/>
          <w:lang w:eastAsia="zh-CN"/>
        </w:rPr>
        <w:t>4</w:t>
      </w:r>
      <w:r w:rsidRPr="00D8272E">
        <w:rPr>
          <w:rFonts w:ascii="仿宋_GB2312" w:eastAsia="仿宋_GB2312" w:hAnsi="Times New Roman" w:cs="Times New Roman"/>
          <w:color w:val="404040"/>
          <w:sz w:val="30"/>
          <w:szCs w:val="30"/>
          <w:bdr w:val="none" w:sz="0" w:space="0" w:color="auto" w:frame="1"/>
          <w:lang w:eastAsia="zh-CN"/>
        </w:rPr>
        <w:t>）单一货币浮动</w:t>
      </w: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仿宋_GB2312" w:eastAsia="仿宋_GB2312" w:hAnsi="Times New Roman" w:cs="Times New Roman"/>
          <w:color w:val="404040"/>
          <w:sz w:val="30"/>
          <w:szCs w:val="30"/>
          <w:bdr w:val="none" w:sz="0" w:space="0" w:color="auto" w:frame="1"/>
          <w:lang w:eastAsia="zh-CN"/>
        </w:rPr>
        <w:t>浮动利率互换不计算潜在风险暴露，其衍生产品资产余额为盯市价值。</w:t>
      </w:r>
    </w:p>
    <w:p w14:paraId="77125D6B"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4</w:t>
      </w:r>
      <w:r w:rsidRPr="00D8272E">
        <w:rPr>
          <w:rFonts w:ascii="仿宋_GB2312" w:eastAsia="仿宋_GB2312" w:hAnsi="Times New Roman" w:cs="Times New Roman"/>
          <w:color w:val="404040"/>
          <w:sz w:val="30"/>
          <w:szCs w:val="30"/>
          <w:bdr w:val="none" w:sz="0" w:space="0" w:color="auto" w:frame="1"/>
          <w:lang w:eastAsia="zh-CN"/>
        </w:rPr>
        <w:t>．信用衍生产品的</w:t>
      </w:r>
      <w:r w:rsidRPr="00D8272E">
        <w:rPr>
          <w:rFonts w:ascii="仿宋_GB2312" w:eastAsia="仿宋_GB2312" w:hAnsi="微软雅黑" w:cs="宋体"/>
          <w:color w:val="404040"/>
          <w:sz w:val="30"/>
          <w:szCs w:val="30"/>
          <w:bdr w:val="none" w:sz="0" w:space="0" w:color="auto" w:frame="1"/>
          <w:lang w:eastAsia="zh-CN"/>
        </w:rPr>
        <w:t>附加</w:t>
      </w:r>
      <w:r w:rsidRPr="00D8272E">
        <w:rPr>
          <w:rFonts w:ascii="Times New Roman" w:eastAsia="微软雅黑" w:hAnsi="Times New Roman" w:cs="Times New Roman"/>
          <w:color w:val="404040"/>
          <w:sz w:val="30"/>
          <w:szCs w:val="30"/>
          <w:bdr w:val="none" w:sz="0" w:space="0" w:color="auto" w:frame="1"/>
          <w:lang w:eastAsia="zh-CN"/>
        </w:rPr>
        <w:t>系数见表</w:t>
      </w: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微软雅黑" w:cs="宋体"/>
          <w:color w:val="404040"/>
          <w:sz w:val="30"/>
          <w:szCs w:val="30"/>
          <w:bdr w:val="none" w:sz="0" w:space="0" w:color="auto" w:frame="1"/>
          <w:lang w:eastAsia="zh-CN"/>
        </w:rPr>
        <w:t>。</w:t>
      </w:r>
    </w:p>
    <w:p w14:paraId="1696CAF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b/>
          <w:bCs/>
          <w:color w:val="404040"/>
          <w:sz w:val="30"/>
          <w:szCs w:val="30"/>
          <w:bdr w:val="none" w:sz="0" w:space="0" w:color="auto" w:frame="1"/>
          <w:lang w:eastAsia="zh-CN"/>
        </w:rPr>
        <w:t>表</w:t>
      </w:r>
      <w:r w:rsidRPr="00D8272E">
        <w:rPr>
          <w:rFonts w:ascii="Times New Roman" w:eastAsia="微软雅黑" w:hAnsi="Times New Roman" w:cs="Times New Roman"/>
          <w:b/>
          <w:bCs/>
          <w:color w:val="404040"/>
          <w:sz w:val="30"/>
          <w:szCs w:val="30"/>
          <w:bdr w:val="none" w:sz="0" w:space="0" w:color="auto" w:frame="1"/>
          <w:lang w:eastAsia="zh-CN"/>
        </w:rPr>
        <w:t>2      </w:t>
      </w:r>
      <w:r w:rsidRPr="00D8272E">
        <w:rPr>
          <w:rFonts w:ascii="黑体" w:eastAsia="黑体" w:hAnsi="黑体" w:cs="Times New Roman"/>
          <w:b/>
          <w:bCs/>
          <w:color w:val="404040"/>
          <w:sz w:val="30"/>
          <w:szCs w:val="30"/>
          <w:bdr w:val="none" w:sz="0" w:space="0" w:color="auto" w:frame="1"/>
          <w:lang w:eastAsia="zh-CN"/>
        </w:rPr>
        <w:t>信用衍生产品的附加系数（％）</w:t>
      </w:r>
    </w:p>
    <w:tbl>
      <w:tblPr>
        <w:tblW w:w="0" w:type="auto"/>
        <w:jc w:val="center"/>
        <w:tblCellMar>
          <w:left w:w="0" w:type="dxa"/>
          <w:right w:w="0" w:type="dxa"/>
        </w:tblCellMar>
        <w:tblLook w:val="04A0" w:firstRow="1" w:lastRow="0" w:firstColumn="1" w:lastColumn="0" w:noHBand="0" w:noVBand="1"/>
      </w:tblPr>
      <w:tblGrid>
        <w:gridCol w:w="1656"/>
        <w:gridCol w:w="1958"/>
        <w:gridCol w:w="1766"/>
        <w:gridCol w:w="1766"/>
      </w:tblGrid>
      <w:tr w:rsidR="00D8272E" w:rsidRPr="00D8272E" w14:paraId="4739907C" w14:textId="77777777">
        <w:trPr>
          <w:trHeight w:val="405"/>
          <w:jc w:val="center"/>
        </w:trPr>
        <w:tc>
          <w:tcPr>
            <w:tcW w:w="1656" w:type="dxa"/>
            <w:tcBorders>
              <w:top w:val="single" w:sz="4" w:space="0" w:color="000000"/>
              <w:left w:val="single" w:sz="4" w:space="0" w:color="000000"/>
              <w:bottom w:val="single" w:sz="4" w:space="0" w:color="000000"/>
              <w:right w:val="single" w:sz="4" w:space="0" w:color="000000"/>
            </w:tcBorders>
            <w:vAlign w:val="center"/>
            <w:hideMark/>
          </w:tcPr>
          <w:p w14:paraId="31F4E0DC"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类型</w:t>
            </w:r>
          </w:p>
        </w:tc>
        <w:tc>
          <w:tcPr>
            <w:tcW w:w="1958" w:type="dxa"/>
            <w:tcBorders>
              <w:top w:val="single" w:sz="4" w:space="0" w:color="auto"/>
              <w:left w:val="nil"/>
              <w:bottom w:val="single" w:sz="4" w:space="0" w:color="auto"/>
              <w:right w:val="single" w:sz="4" w:space="0" w:color="auto"/>
            </w:tcBorders>
            <w:vAlign w:val="center"/>
            <w:hideMark/>
          </w:tcPr>
          <w:p w14:paraId="1A63392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参照资产</w:t>
            </w:r>
          </w:p>
        </w:tc>
        <w:tc>
          <w:tcPr>
            <w:tcW w:w="1766" w:type="dxa"/>
            <w:tcBorders>
              <w:top w:val="single" w:sz="4" w:space="0" w:color="auto"/>
              <w:left w:val="nil"/>
              <w:bottom w:val="single" w:sz="4" w:space="0" w:color="auto"/>
              <w:right w:val="single" w:sz="4" w:space="0" w:color="auto"/>
            </w:tcBorders>
            <w:vAlign w:val="center"/>
            <w:hideMark/>
          </w:tcPr>
          <w:p w14:paraId="6B956AB5"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信用保护买方</w:t>
            </w:r>
          </w:p>
        </w:tc>
        <w:tc>
          <w:tcPr>
            <w:tcW w:w="1766" w:type="dxa"/>
            <w:tcBorders>
              <w:top w:val="single" w:sz="4" w:space="0" w:color="auto"/>
              <w:left w:val="nil"/>
              <w:bottom w:val="single" w:sz="4" w:space="0" w:color="auto"/>
              <w:right w:val="single" w:sz="4" w:space="0" w:color="auto"/>
            </w:tcBorders>
            <w:vAlign w:val="center"/>
            <w:hideMark/>
          </w:tcPr>
          <w:p w14:paraId="5E2B892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信用保护卖方</w:t>
            </w:r>
          </w:p>
        </w:tc>
      </w:tr>
      <w:tr w:rsidR="00D8272E" w:rsidRPr="00D8272E" w14:paraId="0E21760D" w14:textId="77777777">
        <w:trPr>
          <w:trHeight w:val="185"/>
          <w:jc w:val="center"/>
        </w:trPr>
        <w:tc>
          <w:tcPr>
            <w:tcW w:w="1656" w:type="dxa"/>
            <w:vMerge w:val="restart"/>
            <w:tcBorders>
              <w:top w:val="nil"/>
              <w:left w:val="single" w:sz="4" w:space="0" w:color="auto"/>
              <w:bottom w:val="single" w:sz="4" w:space="0" w:color="auto"/>
              <w:right w:val="single" w:sz="4" w:space="0" w:color="auto"/>
            </w:tcBorders>
            <w:vAlign w:val="center"/>
            <w:hideMark/>
          </w:tcPr>
          <w:p w14:paraId="0668AD6E"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总收益互换</w:t>
            </w:r>
          </w:p>
        </w:tc>
        <w:tc>
          <w:tcPr>
            <w:tcW w:w="1958" w:type="dxa"/>
            <w:tcBorders>
              <w:top w:val="nil"/>
              <w:left w:val="nil"/>
              <w:bottom w:val="single" w:sz="4" w:space="0" w:color="auto"/>
              <w:right w:val="single" w:sz="4" w:space="0" w:color="auto"/>
            </w:tcBorders>
            <w:vAlign w:val="center"/>
            <w:hideMark/>
          </w:tcPr>
          <w:p w14:paraId="78D21A44"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合格参照资产</w:t>
            </w:r>
          </w:p>
        </w:tc>
        <w:tc>
          <w:tcPr>
            <w:tcW w:w="1766" w:type="dxa"/>
            <w:tcBorders>
              <w:top w:val="nil"/>
              <w:left w:val="nil"/>
              <w:bottom w:val="single" w:sz="4" w:space="0" w:color="auto"/>
              <w:right w:val="single" w:sz="4" w:space="0" w:color="auto"/>
            </w:tcBorders>
            <w:vAlign w:val="center"/>
            <w:hideMark/>
          </w:tcPr>
          <w:p w14:paraId="2F46A395"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5</w:t>
            </w:r>
          </w:p>
        </w:tc>
        <w:tc>
          <w:tcPr>
            <w:tcW w:w="1766" w:type="dxa"/>
            <w:tcBorders>
              <w:top w:val="nil"/>
              <w:left w:val="nil"/>
              <w:bottom w:val="single" w:sz="4" w:space="0" w:color="auto"/>
              <w:right w:val="single" w:sz="4" w:space="0" w:color="auto"/>
            </w:tcBorders>
            <w:vAlign w:val="center"/>
            <w:hideMark/>
          </w:tcPr>
          <w:p w14:paraId="43FE4ECA"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5</w:t>
            </w:r>
          </w:p>
        </w:tc>
      </w:tr>
      <w:tr w:rsidR="00D8272E" w:rsidRPr="00D8272E" w14:paraId="4691169E" w14:textId="77777777">
        <w:trPr>
          <w:trHeight w:val="70"/>
          <w:jc w:val="center"/>
        </w:trPr>
        <w:tc>
          <w:tcPr>
            <w:tcW w:w="0" w:type="auto"/>
            <w:vMerge/>
            <w:tcBorders>
              <w:top w:val="nil"/>
              <w:left w:val="single" w:sz="4" w:space="0" w:color="auto"/>
              <w:bottom w:val="single" w:sz="4" w:space="0" w:color="auto"/>
              <w:right w:val="single" w:sz="4" w:space="0" w:color="auto"/>
            </w:tcBorders>
            <w:vAlign w:val="center"/>
            <w:hideMark/>
          </w:tcPr>
          <w:p w14:paraId="34BA7BF5" w14:textId="77777777" w:rsidR="00D8272E" w:rsidRPr="00D8272E" w:rsidRDefault="00D8272E" w:rsidP="00D8272E">
            <w:pPr>
              <w:spacing w:after="0" w:line="240" w:lineRule="auto"/>
              <w:rPr>
                <w:rFonts w:ascii="宋体" w:eastAsia="宋体" w:hAnsi="宋体" w:cs="宋体"/>
                <w:sz w:val="24"/>
                <w:szCs w:val="24"/>
                <w:lang w:eastAsia="zh-CN"/>
              </w:rPr>
            </w:pPr>
          </w:p>
        </w:tc>
        <w:tc>
          <w:tcPr>
            <w:tcW w:w="1958" w:type="dxa"/>
            <w:tcBorders>
              <w:top w:val="nil"/>
              <w:left w:val="nil"/>
              <w:bottom w:val="single" w:sz="4" w:space="0" w:color="auto"/>
              <w:right w:val="single" w:sz="4" w:space="0" w:color="auto"/>
            </w:tcBorders>
            <w:vAlign w:val="center"/>
            <w:hideMark/>
          </w:tcPr>
          <w:p w14:paraId="7132386C"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不合格参照资产</w:t>
            </w:r>
          </w:p>
        </w:tc>
        <w:tc>
          <w:tcPr>
            <w:tcW w:w="1766" w:type="dxa"/>
            <w:tcBorders>
              <w:top w:val="nil"/>
              <w:left w:val="nil"/>
              <w:bottom w:val="single" w:sz="4" w:space="0" w:color="auto"/>
              <w:right w:val="single" w:sz="4" w:space="0" w:color="auto"/>
            </w:tcBorders>
            <w:vAlign w:val="center"/>
            <w:hideMark/>
          </w:tcPr>
          <w:p w14:paraId="2EAB7FF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10</w:t>
            </w:r>
          </w:p>
        </w:tc>
        <w:tc>
          <w:tcPr>
            <w:tcW w:w="1766" w:type="dxa"/>
            <w:tcBorders>
              <w:top w:val="nil"/>
              <w:left w:val="nil"/>
              <w:bottom w:val="single" w:sz="4" w:space="0" w:color="auto"/>
              <w:right w:val="single" w:sz="4" w:space="0" w:color="auto"/>
            </w:tcBorders>
            <w:vAlign w:val="center"/>
            <w:hideMark/>
          </w:tcPr>
          <w:p w14:paraId="0458325F"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10</w:t>
            </w:r>
          </w:p>
        </w:tc>
      </w:tr>
      <w:tr w:rsidR="00D8272E" w:rsidRPr="00D8272E" w14:paraId="6DC30D6F" w14:textId="77777777">
        <w:trPr>
          <w:trHeight w:val="95"/>
          <w:jc w:val="center"/>
        </w:trPr>
        <w:tc>
          <w:tcPr>
            <w:tcW w:w="1656" w:type="dxa"/>
            <w:vMerge w:val="restart"/>
            <w:tcBorders>
              <w:top w:val="nil"/>
              <w:left w:val="single" w:sz="4" w:space="0" w:color="auto"/>
              <w:bottom w:val="single" w:sz="4" w:space="0" w:color="auto"/>
              <w:right w:val="single" w:sz="4" w:space="0" w:color="auto"/>
            </w:tcBorders>
            <w:vAlign w:val="center"/>
            <w:hideMark/>
          </w:tcPr>
          <w:p w14:paraId="471D7667"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信用违约互换</w:t>
            </w:r>
          </w:p>
        </w:tc>
        <w:tc>
          <w:tcPr>
            <w:tcW w:w="1958" w:type="dxa"/>
            <w:tcBorders>
              <w:top w:val="nil"/>
              <w:left w:val="nil"/>
              <w:bottom w:val="single" w:sz="4" w:space="0" w:color="auto"/>
              <w:right w:val="single" w:sz="4" w:space="0" w:color="auto"/>
            </w:tcBorders>
            <w:vAlign w:val="center"/>
            <w:hideMark/>
          </w:tcPr>
          <w:p w14:paraId="50542070"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合格参照资产</w:t>
            </w:r>
          </w:p>
        </w:tc>
        <w:tc>
          <w:tcPr>
            <w:tcW w:w="1766" w:type="dxa"/>
            <w:tcBorders>
              <w:top w:val="nil"/>
              <w:left w:val="nil"/>
              <w:bottom w:val="single" w:sz="4" w:space="0" w:color="auto"/>
              <w:right w:val="single" w:sz="4" w:space="0" w:color="auto"/>
            </w:tcBorders>
            <w:vAlign w:val="center"/>
            <w:hideMark/>
          </w:tcPr>
          <w:p w14:paraId="466D4C6B"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5</w:t>
            </w:r>
          </w:p>
        </w:tc>
        <w:tc>
          <w:tcPr>
            <w:tcW w:w="1766" w:type="dxa"/>
            <w:tcBorders>
              <w:top w:val="nil"/>
              <w:left w:val="nil"/>
              <w:bottom w:val="single" w:sz="4" w:space="0" w:color="auto"/>
              <w:right w:val="single" w:sz="4" w:space="0" w:color="auto"/>
            </w:tcBorders>
            <w:vAlign w:val="center"/>
            <w:hideMark/>
          </w:tcPr>
          <w:p w14:paraId="6A1975A4"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5</w:t>
            </w:r>
          </w:p>
        </w:tc>
      </w:tr>
      <w:tr w:rsidR="00D8272E" w:rsidRPr="00D8272E" w14:paraId="5D49DF38" w14:textId="77777777">
        <w:trPr>
          <w:trHeight w:val="70"/>
          <w:jc w:val="center"/>
        </w:trPr>
        <w:tc>
          <w:tcPr>
            <w:tcW w:w="0" w:type="auto"/>
            <w:vMerge/>
            <w:tcBorders>
              <w:top w:val="nil"/>
              <w:left w:val="single" w:sz="4" w:space="0" w:color="auto"/>
              <w:bottom w:val="single" w:sz="4" w:space="0" w:color="auto"/>
              <w:right w:val="single" w:sz="4" w:space="0" w:color="auto"/>
            </w:tcBorders>
            <w:vAlign w:val="center"/>
            <w:hideMark/>
          </w:tcPr>
          <w:p w14:paraId="6EE75B00" w14:textId="77777777" w:rsidR="00D8272E" w:rsidRPr="00D8272E" w:rsidRDefault="00D8272E" w:rsidP="00D8272E">
            <w:pPr>
              <w:spacing w:after="0" w:line="240" w:lineRule="auto"/>
              <w:rPr>
                <w:rFonts w:ascii="宋体" w:eastAsia="宋体" w:hAnsi="宋体" w:cs="宋体"/>
                <w:sz w:val="24"/>
                <w:szCs w:val="24"/>
                <w:lang w:eastAsia="zh-CN"/>
              </w:rPr>
            </w:pPr>
          </w:p>
        </w:tc>
        <w:tc>
          <w:tcPr>
            <w:tcW w:w="1958" w:type="dxa"/>
            <w:tcBorders>
              <w:top w:val="nil"/>
              <w:left w:val="nil"/>
              <w:bottom w:val="single" w:sz="4" w:space="0" w:color="auto"/>
              <w:right w:val="single" w:sz="4" w:space="0" w:color="auto"/>
            </w:tcBorders>
            <w:vAlign w:val="center"/>
            <w:hideMark/>
          </w:tcPr>
          <w:p w14:paraId="3C9AFC9F"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不合格参照资产</w:t>
            </w:r>
          </w:p>
        </w:tc>
        <w:tc>
          <w:tcPr>
            <w:tcW w:w="1766" w:type="dxa"/>
            <w:tcBorders>
              <w:top w:val="nil"/>
              <w:left w:val="nil"/>
              <w:bottom w:val="single" w:sz="4" w:space="0" w:color="auto"/>
              <w:right w:val="single" w:sz="4" w:space="0" w:color="auto"/>
            </w:tcBorders>
            <w:vAlign w:val="center"/>
            <w:hideMark/>
          </w:tcPr>
          <w:p w14:paraId="20DA2FB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10</w:t>
            </w:r>
          </w:p>
        </w:tc>
        <w:tc>
          <w:tcPr>
            <w:tcW w:w="1766" w:type="dxa"/>
            <w:tcBorders>
              <w:top w:val="nil"/>
              <w:left w:val="nil"/>
              <w:bottom w:val="single" w:sz="4" w:space="0" w:color="auto"/>
              <w:right w:val="single" w:sz="4" w:space="0" w:color="auto"/>
            </w:tcBorders>
            <w:vAlign w:val="center"/>
            <w:hideMark/>
          </w:tcPr>
          <w:p w14:paraId="6D652BB0"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10</w:t>
            </w:r>
          </w:p>
        </w:tc>
      </w:tr>
    </w:tbl>
    <w:p w14:paraId="760550EA"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）合格参照资产包括我国中央政府、中国人民银行和政策性银行发行的债券，以及《商业银行资本管理办法（试行）》附件</w:t>
      </w:r>
      <w:r w:rsidRPr="00D8272E">
        <w:rPr>
          <w:rFonts w:ascii="Times New Roman" w:eastAsia="微软雅黑" w:hAnsi="Times New Roman" w:cs="Times New Roman"/>
          <w:color w:val="404040"/>
          <w:sz w:val="30"/>
          <w:szCs w:val="30"/>
          <w:bdr w:val="none" w:sz="0" w:space="0" w:color="auto" w:frame="1"/>
          <w:lang w:eastAsia="zh-CN"/>
        </w:rPr>
        <w:t>10</w:t>
      </w:r>
      <w:r w:rsidRPr="00D8272E">
        <w:rPr>
          <w:rFonts w:ascii="仿宋_GB2312" w:eastAsia="仿宋_GB2312" w:hAnsi="Times New Roman" w:cs="Times New Roman"/>
          <w:color w:val="404040"/>
          <w:sz w:val="30"/>
          <w:szCs w:val="30"/>
          <w:bdr w:val="none" w:sz="0" w:space="0" w:color="auto" w:frame="1"/>
          <w:lang w:eastAsia="zh-CN"/>
        </w:rPr>
        <w:t>规定的</w:t>
      </w:r>
      <w:r w:rsidRPr="00D8272E">
        <w:rPr>
          <w:rFonts w:ascii="仿宋_GB2312" w:eastAsia="仿宋_GB2312" w:hAnsi="微软雅黑" w:cs="宋体"/>
          <w:color w:val="404040"/>
          <w:sz w:val="30"/>
          <w:szCs w:val="30"/>
          <w:bdr w:val="none" w:sz="0" w:space="0" w:color="auto" w:frame="1"/>
          <w:lang w:eastAsia="zh-CN"/>
        </w:rPr>
        <w:t>投资级别的政府证券和</w:t>
      </w:r>
      <w:r w:rsidRPr="00D8272E">
        <w:rPr>
          <w:rFonts w:ascii="Times New Roman" w:eastAsia="微软雅黑" w:hAnsi="Times New Roman" w:cs="Times New Roman"/>
          <w:color w:val="404040"/>
          <w:sz w:val="30"/>
          <w:szCs w:val="30"/>
          <w:bdr w:val="none" w:sz="0" w:space="0" w:color="auto" w:frame="1"/>
          <w:lang w:eastAsia="zh-CN"/>
        </w:rPr>
        <w:t>合格证券。</w:t>
      </w:r>
    </w:p>
    <w:p w14:paraId="44FE1E96"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lastRenderedPageBreak/>
        <w:t>（</w:t>
      </w: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）信用违约互换的信用保护卖方只有在参照资产的发行人尚能履约但信用保护买方破产的情况下才需计算</w:t>
      </w:r>
      <w:r w:rsidRPr="00D8272E">
        <w:rPr>
          <w:rFonts w:ascii="仿宋_GB2312" w:eastAsia="仿宋_GB2312" w:hAnsi="微软雅黑" w:cs="宋体"/>
          <w:color w:val="404040"/>
          <w:sz w:val="30"/>
          <w:szCs w:val="30"/>
          <w:bdr w:val="none" w:sz="0" w:space="0" w:color="auto" w:frame="1"/>
          <w:lang w:eastAsia="zh-CN"/>
        </w:rPr>
        <w:t>潜在风险暴露</w:t>
      </w:r>
      <w:r w:rsidRPr="00D8272E">
        <w:rPr>
          <w:rFonts w:ascii="Times New Roman" w:eastAsia="微软雅黑" w:hAnsi="Times New Roman" w:cs="Times New Roman"/>
          <w:color w:val="404040"/>
          <w:sz w:val="30"/>
          <w:szCs w:val="30"/>
          <w:bdr w:val="none" w:sz="0" w:space="0" w:color="auto" w:frame="1"/>
          <w:lang w:eastAsia="zh-CN"/>
        </w:rPr>
        <w:t>，且以信用保护买方尚未支付的费用为上限。</w:t>
      </w:r>
    </w:p>
    <w:p w14:paraId="63E84AD0"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（二）当衍生产品</w:t>
      </w:r>
      <w:r w:rsidRPr="00D8272E">
        <w:rPr>
          <w:rFonts w:ascii="仿宋_GB2312" w:eastAsia="仿宋_GB2312" w:hAnsi="微软雅黑" w:cs="宋体"/>
          <w:color w:val="404040"/>
          <w:sz w:val="30"/>
          <w:szCs w:val="30"/>
          <w:bdr w:val="none" w:sz="0" w:space="0" w:color="auto" w:frame="1"/>
          <w:lang w:eastAsia="zh-CN"/>
        </w:rPr>
        <w:t>具有</w:t>
      </w:r>
      <w:r w:rsidRPr="00D8272E">
        <w:rPr>
          <w:rFonts w:ascii="Times New Roman" w:eastAsia="微软雅黑" w:hAnsi="Times New Roman" w:cs="Times New Roman"/>
          <w:color w:val="404040"/>
          <w:sz w:val="30"/>
          <w:szCs w:val="30"/>
          <w:bdr w:val="none" w:sz="0" w:space="0" w:color="auto" w:frame="1"/>
          <w:lang w:eastAsia="zh-CN"/>
        </w:rPr>
        <w:t>《商业银行资本管理办法（试行）》附件</w:t>
      </w:r>
      <w:r w:rsidRPr="00D8272E">
        <w:rPr>
          <w:rFonts w:ascii="Times New Roman" w:eastAsia="微软雅黑" w:hAnsi="Times New Roman" w:cs="Times New Roman"/>
          <w:color w:val="404040"/>
          <w:sz w:val="30"/>
          <w:szCs w:val="30"/>
          <w:bdr w:val="none" w:sz="0" w:space="0" w:color="auto" w:frame="1"/>
          <w:lang w:eastAsia="zh-CN"/>
        </w:rPr>
        <w:t>6</w:t>
      </w:r>
      <w:r w:rsidRPr="00D8272E">
        <w:rPr>
          <w:rFonts w:ascii="仿宋_GB2312" w:eastAsia="仿宋_GB2312" w:hAnsi="Times New Roman" w:cs="Times New Roman"/>
          <w:color w:val="404040"/>
          <w:sz w:val="30"/>
          <w:szCs w:val="30"/>
          <w:bdr w:val="none" w:sz="0" w:space="0" w:color="auto" w:frame="1"/>
          <w:lang w:eastAsia="zh-CN"/>
        </w:rPr>
        <w:t>规定的合格双边净额结算</w:t>
      </w:r>
      <w:r w:rsidRPr="00D8272E">
        <w:rPr>
          <w:rFonts w:ascii="仿宋_GB2312" w:eastAsia="仿宋_GB2312" w:hAnsi="微软雅黑" w:cs="宋体"/>
          <w:color w:val="404040"/>
          <w:sz w:val="30"/>
          <w:szCs w:val="30"/>
          <w:bdr w:val="none" w:sz="0" w:space="0" w:color="auto" w:frame="1"/>
          <w:lang w:eastAsia="zh-CN"/>
        </w:rPr>
        <w:t>协议</w:t>
      </w:r>
      <w:r w:rsidRPr="00D8272E">
        <w:rPr>
          <w:rFonts w:ascii="Times New Roman" w:eastAsia="微软雅黑" w:hAnsi="Times New Roman" w:cs="Times New Roman"/>
          <w:color w:val="404040"/>
          <w:sz w:val="30"/>
          <w:szCs w:val="30"/>
          <w:bdr w:val="none" w:sz="0" w:space="0" w:color="auto" w:frame="1"/>
          <w:lang w:eastAsia="zh-CN"/>
        </w:rPr>
        <w:t>时，该类衍生产品组合的资产余额等于以下两项之和：</w:t>
      </w:r>
    </w:p>
    <w:p w14:paraId="618B0419"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．净重置成本，等于净盯市价值与</w:t>
      </w:r>
      <w:r w:rsidRPr="00D8272E">
        <w:rPr>
          <w:rFonts w:ascii="Times New Roman" w:eastAsia="微软雅黑" w:hAnsi="Times New Roman" w:cs="Times New Roman"/>
          <w:color w:val="404040"/>
          <w:sz w:val="30"/>
          <w:szCs w:val="30"/>
          <w:bdr w:val="none" w:sz="0" w:space="0" w:color="auto" w:frame="1"/>
          <w:lang w:eastAsia="zh-CN"/>
        </w:rPr>
        <w:t>0</w:t>
      </w:r>
      <w:r w:rsidRPr="00D8272E">
        <w:rPr>
          <w:rFonts w:ascii="仿宋_GB2312" w:eastAsia="仿宋_GB2312" w:hAnsi="Times New Roman" w:cs="Times New Roman"/>
          <w:color w:val="404040"/>
          <w:sz w:val="30"/>
          <w:szCs w:val="30"/>
          <w:bdr w:val="none" w:sz="0" w:space="0" w:color="auto" w:frame="1"/>
          <w:lang w:eastAsia="zh-CN"/>
        </w:rPr>
        <w:t>之间的较大值。</w:t>
      </w:r>
    </w:p>
    <w:p w14:paraId="2D291A8F"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．按下列公式计算的净潜在风险暴露：</w:t>
      </w:r>
    </w:p>
    <w:p w14:paraId="1CECB3DF"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proofErr w:type="spellStart"/>
      <w:r w:rsidRPr="00D8272E">
        <w:rPr>
          <w:rFonts w:ascii="Times New Roman" w:eastAsia="微软雅黑" w:hAnsi="Times New Roman" w:cs="Times New Roman"/>
          <w:color w:val="404040"/>
          <w:sz w:val="30"/>
          <w:szCs w:val="30"/>
          <w:bdr w:val="none" w:sz="0" w:space="0" w:color="auto" w:frame="1"/>
          <w:lang w:eastAsia="zh-CN"/>
        </w:rPr>
        <w:t>A</w:t>
      </w:r>
      <w:r w:rsidRPr="00D8272E">
        <w:rPr>
          <w:rFonts w:ascii="Times New Roman" w:eastAsia="微软雅黑" w:hAnsi="Times New Roman" w:cs="Times New Roman"/>
          <w:color w:val="404040"/>
          <w:sz w:val="30"/>
          <w:szCs w:val="30"/>
          <w:bdr w:val="none" w:sz="0" w:space="0" w:color="auto" w:frame="1"/>
          <w:vertAlign w:val="subscript"/>
          <w:lang w:eastAsia="zh-CN"/>
        </w:rPr>
        <w:t>Net</w:t>
      </w:r>
      <w:proofErr w:type="spellEnd"/>
      <w:r w:rsidRPr="00D8272E">
        <w:rPr>
          <w:rFonts w:ascii="Times New Roman" w:eastAsia="微软雅黑" w:hAnsi="Times New Roman" w:cs="Times New Roman"/>
          <w:color w:val="404040"/>
          <w:sz w:val="30"/>
          <w:szCs w:val="30"/>
          <w:bdr w:val="none" w:sz="0" w:space="0" w:color="auto" w:frame="1"/>
          <w:lang w:eastAsia="zh-CN"/>
        </w:rPr>
        <w:t>=0.4×A</w:t>
      </w:r>
      <w:r w:rsidRPr="00D8272E">
        <w:rPr>
          <w:rFonts w:ascii="Times New Roman" w:eastAsia="微软雅黑" w:hAnsi="Times New Roman" w:cs="Times New Roman"/>
          <w:color w:val="404040"/>
          <w:sz w:val="30"/>
          <w:szCs w:val="30"/>
          <w:bdr w:val="none" w:sz="0" w:space="0" w:color="auto" w:frame="1"/>
          <w:vertAlign w:val="subscript"/>
          <w:lang w:eastAsia="zh-CN"/>
        </w:rPr>
        <w:t>Gross</w:t>
      </w:r>
      <w:r w:rsidRPr="00D8272E">
        <w:rPr>
          <w:rFonts w:ascii="Times New Roman" w:eastAsia="微软雅黑" w:hAnsi="Times New Roman" w:cs="Times New Roman"/>
          <w:color w:val="404040"/>
          <w:sz w:val="30"/>
          <w:szCs w:val="30"/>
          <w:bdr w:val="none" w:sz="0" w:space="0" w:color="auto" w:frame="1"/>
          <w:lang w:eastAsia="zh-CN"/>
        </w:rPr>
        <w:t>+0.6×NGR×A</w:t>
      </w:r>
      <w:r w:rsidRPr="00D8272E">
        <w:rPr>
          <w:rFonts w:ascii="Times New Roman" w:eastAsia="微软雅黑" w:hAnsi="Times New Roman" w:cs="Times New Roman"/>
          <w:color w:val="404040"/>
          <w:sz w:val="30"/>
          <w:szCs w:val="30"/>
          <w:bdr w:val="none" w:sz="0" w:space="0" w:color="auto" w:frame="1"/>
          <w:vertAlign w:val="subscript"/>
          <w:lang w:eastAsia="zh-CN"/>
        </w:rPr>
        <w:t>Gross</w:t>
      </w:r>
    </w:p>
    <w:p w14:paraId="3FBD3646"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其中：</w:t>
      </w:r>
    </w:p>
    <w:p w14:paraId="58D7E11D"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proofErr w:type="spellStart"/>
      <w:r w:rsidRPr="00D8272E">
        <w:rPr>
          <w:rFonts w:ascii="Times New Roman" w:eastAsia="微软雅黑" w:hAnsi="Times New Roman" w:cs="Times New Roman"/>
          <w:color w:val="404040"/>
          <w:sz w:val="30"/>
          <w:szCs w:val="30"/>
          <w:bdr w:val="none" w:sz="0" w:space="0" w:color="auto" w:frame="1"/>
          <w:lang w:eastAsia="zh-CN"/>
        </w:rPr>
        <w:t>A</w:t>
      </w:r>
      <w:r w:rsidRPr="00D8272E">
        <w:rPr>
          <w:rFonts w:ascii="Times New Roman" w:eastAsia="微软雅黑" w:hAnsi="Times New Roman" w:cs="Times New Roman"/>
          <w:color w:val="404040"/>
          <w:sz w:val="30"/>
          <w:szCs w:val="30"/>
          <w:bdr w:val="none" w:sz="0" w:space="0" w:color="auto" w:frame="1"/>
          <w:vertAlign w:val="subscript"/>
          <w:lang w:eastAsia="zh-CN"/>
        </w:rPr>
        <w:t>Gross</w:t>
      </w:r>
      <w:proofErr w:type="spellEnd"/>
      <w:r w:rsidRPr="00D8272E">
        <w:rPr>
          <w:rFonts w:ascii="Times New Roman" w:eastAsia="微软雅黑" w:hAnsi="Times New Roman" w:cs="Times New Roman"/>
          <w:color w:val="404040"/>
          <w:sz w:val="30"/>
          <w:szCs w:val="30"/>
          <w:bdr w:val="none" w:sz="0" w:space="0" w:color="auto" w:frame="1"/>
          <w:lang w:eastAsia="zh-CN"/>
        </w:rPr>
        <w:t>为净额结算协议下对同一交易对手的所有合约的潜在风险暴露之和，等于每笔交易合约</w:t>
      </w:r>
      <w:r w:rsidRPr="00D8272E">
        <w:rPr>
          <w:rFonts w:ascii="仿宋_GB2312" w:eastAsia="仿宋_GB2312" w:hAnsi="微软雅黑" w:cs="宋体"/>
          <w:color w:val="404040"/>
          <w:sz w:val="30"/>
          <w:szCs w:val="30"/>
          <w:bdr w:val="none" w:sz="0" w:space="0" w:color="auto" w:frame="1"/>
          <w:lang w:eastAsia="zh-CN"/>
        </w:rPr>
        <w:t>的有效名义</w:t>
      </w:r>
      <w:r w:rsidRPr="00D8272E">
        <w:rPr>
          <w:rFonts w:ascii="Times New Roman" w:eastAsia="微软雅黑" w:hAnsi="Times New Roman" w:cs="Times New Roman"/>
          <w:color w:val="404040"/>
          <w:sz w:val="30"/>
          <w:szCs w:val="30"/>
          <w:bdr w:val="none" w:sz="0" w:space="0" w:color="auto" w:frame="1"/>
          <w:lang w:eastAsia="zh-CN"/>
        </w:rPr>
        <w:t>本金乘以相应的附加系数的总和，附加系数见表</w:t>
      </w: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和表</w:t>
      </w: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w:t>
      </w:r>
    </w:p>
    <w:p w14:paraId="6CE3EC86"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NGR</w:t>
      </w:r>
      <w:r w:rsidRPr="00D8272E">
        <w:rPr>
          <w:rFonts w:ascii="仿宋_GB2312" w:eastAsia="仿宋_GB2312" w:hAnsi="Times New Roman" w:cs="Times New Roman"/>
          <w:color w:val="404040"/>
          <w:sz w:val="30"/>
          <w:szCs w:val="30"/>
          <w:bdr w:val="none" w:sz="0" w:space="0" w:color="auto" w:frame="1"/>
          <w:lang w:eastAsia="zh-CN"/>
        </w:rPr>
        <w:t>为双边净额结算协议重置成本净额与重置成本总额的比率。经银监会批准，</w:t>
      </w:r>
      <w:r w:rsidRPr="00D8272E">
        <w:rPr>
          <w:rFonts w:ascii="Times New Roman" w:eastAsia="微软雅黑" w:hAnsi="Times New Roman" w:cs="Times New Roman"/>
          <w:color w:val="404040"/>
          <w:sz w:val="30"/>
          <w:szCs w:val="30"/>
          <w:bdr w:val="none" w:sz="0" w:space="0" w:color="auto" w:frame="1"/>
          <w:lang w:eastAsia="zh-CN"/>
        </w:rPr>
        <w:t>NGR</w:t>
      </w:r>
      <w:r w:rsidRPr="00D8272E">
        <w:rPr>
          <w:rFonts w:ascii="仿宋_GB2312" w:eastAsia="仿宋_GB2312" w:hAnsi="Times New Roman" w:cs="Times New Roman"/>
          <w:color w:val="404040"/>
          <w:sz w:val="30"/>
          <w:szCs w:val="30"/>
          <w:bdr w:val="none" w:sz="0" w:space="0" w:color="auto" w:frame="1"/>
          <w:lang w:eastAsia="zh-CN"/>
        </w:rPr>
        <w:t>既可以基于单个交易对手计算，也可以基于净额结算协议覆盖的所有交易计算。未经银监会批准，商业银行不得变更计算方法。</w:t>
      </w:r>
    </w:p>
    <w:p w14:paraId="7EF5CC7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二、抵质押品的处理</w:t>
      </w:r>
    </w:p>
    <w:p w14:paraId="36B1A768"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（一）衍生产品抵质押品不得从衍生产品资产余额中扣除，但符合下列条件的现金保证金除外：</w:t>
      </w:r>
    </w:p>
    <w:p w14:paraId="587000D8"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．现金保证金为银行根据衍生产品市值变化收取的可变现金保证金；</w:t>
      </w:r>
    </w:p>
    <w:p w14:paraId="5BDD43EC"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．收到的</w:t>
      </w:r>
      <w:r w:rsidRPr="00D8272E">
        <w:rPr>
          <w:rFonts w:ascii="仿宋_GB2312" w:eastAsia="仿宋_GB2312" w:hAnsi="微软雅黑" w:cs="宋体"/>
          <w:color w:val="404040"/>
          <w:sz w:val="30"/>
          <w:szCs w:val="30"/>
          <w:bdr w:val="none" w:sz="0" w:space="0" w:color="auto" w:frame="1"/>
          <w:lang w:eastAsia="zh-CN"/>
        </w:rPr>
        <w:t>现金</w:t>
      </w:r>
      <w:r w:rsidRPr="00D8272E">
        <w:rPr>
          <w:rFonts w:ascii="Times New Roman" w:eastAsia="微软雅黑" w:hAnsi="Times New Roman" w:cs="Times New Roman"/>
          <w:color w:val="404040"/>
          <w:sz w:val="30"/>
          <w:szCs w:val="30"/>
          <w:bdr w:val="none" w:sz="0" w:space="0" w:color="auto" w:frame="1"/>
          <w:lang w:eastAsia="zh-CN"/>
        </w:rPr>
        <w:t>保证金可被银行视同自有现金使用；</w:t>
      </w:r>
    </w:p>
    <w:p w14:paraId="52838C53"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3</w:t>
      </w:r>
      <w:r w:rsidRPr="00D8272E">
        <w:rPr>
          <w:rFonts w:ascii="仿宋_GB2312" w:eastAsia="仿宋_GB2312" w:hAnsi="Times New Roman" w:cs="Times New Roman"/>
          <w:color w:val="404040"/>
          <w:sz w:val="30"/>
          <w:szCs w:val="30"/>
          <w:bdr w:val="none" w:sz="0" w:space="0" w:color="auto" w:frame="1"/>
          <w:lang w:eastAsia="zh-CN"/>
        </w:rPr>
        <w:t>．</w:t>
      </w:r>
      <w:r w:rsidRPr="00D8272E">
        <w:rPr>
          <w:rFonts w:ascii="仿宋_GB2312" w:eastAsia="仿宋_GB2312" w:hAnsi="微软雅黑" w:cs="宋体"/>
          <w:color w:val="404040"/>
          <w:sz w:val="30"/>
          <w:szCs w:val="30"/>
          <w:bdr w:val="none" w:sz="0" w:space="0" w:color="auto" w:frame="1"/>
          <w:lang w:eastAsia="zh-CN"/>
        </w:rPr>
        <w:t>现金</w:t>
      </w:r>
      <w:r w:rsidRPr="00D8272E">
        <w:rPr>
          <w:rFonts w:ascii="Times New Roman" w:eastAsia="微软雅黑" w:hAnsi="Times New Roman" w:cs="Times New Roman"/>
          <w:color w:val="404040"/>
          <w:sz w:val="30"/>
          <w:szCs w:val="30"/>
          <w:bdr w:val="none" w:sz="0" w:space="0" w:color="auto" w:frame="1"/>
          <w:lang w:eastAsia="zh-CN"/>
        </w:rPr>
        <w:t>保证金每日根据衍生产品</w:t>
      </w:r>
      <w:r w:rsidRPr="00D8272E">
        <w:rPr>
          <w:rFonts w:ascii="仿宋_GB2312" w:eastAsia="仿宋_GB2312" w:hAnsi="微软雅黑" w:cs="宋体"/>
          <w:color w:val="404040"/>
          <w:sz w:val="30"/>
          <w:szCs w:val="30"/>
          <w:bdr w:val="none" w:sz="0" w:space="0" w:color="auto" w:frame="1"/>
          <w:lang w:eastAsia="zh-CN"/>
        </w:rPr>
        <w:t>合约</w:t>
      </w:r>
      <w:r w:rsidRPr="00D8272E">
        <w:rPr>
          <w:rFonts w:ascii="Times New Roman" w:eastAsia="微软雅黑" w:hAnsi="Times New Roman" w:cs="Times New Roman"/>
          <w:color w:val="404040"/>
          <w:sz w:val="30"/>
          <w:szCs w:val="30"/>
          <w:bdr w:val="none" w:sz="0" w:space="0" w:color="auto" w:frame="1"/>
          <w:lang w:eastAsia="zh-CN"/>
        </w:rPr>
        <w:t>逐日盯市的价值进行计算并交换；</w:t>
      </w:r>
    </w:p>
    <w:p w14:paraId="1BAB32F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4</w:t>
      </w:r>
      <w:r w:rsidRPr="00D8272E">
        <w:rPr>
          <w:rFonts w:ascii="仿宋_GB2312" w:eastAsia="仿宋_GB2312" w:hAnsi="Times New Roman" w:cs="Times New Roman"/>
          <w:color w:val="404040"/>
          <w:sz w:val="30"/>
          <w:szCs w:val="30"/>
          <w:bdr w:val="none" w:sz="0" w:space="0" w:color="auto" w:frame="1"/>
          <w:lang w:eastAsia="zh-CN"/>
        </w:rPr>
        <w:t>．</w:t>
      </w:r>
      <w:r w:rsidRPr="00D8272E">
        <w:rPr>
          <w:rFonts w:ascii="仿宋_GB2312" w:eastAsia="仿宋_GB2312" w:hAnsi="微软雅黑" w:cs="宋体"/>
          <w:color w:val="404040"/>
          <w:sz w:val="30"/>
          <w:szCs w:val="30"/>
          <w:bdr w:val="none" w:sz="0" w:space="0" w:color="auto" w:frame="1"/>
          <w:lang w:eastAsia="zh-CN"/>
        </w:rPr>
        <w:t>现金</w:t>
      </w:r>
      <w:r w:rsidRPr="00D8272E">
        <w:rPr>
          <w:rFonts w:ascii="Times New Roman" w:eastAsia="微软雅黑" w:hAnsi="Times New Roman" w:cs="Times New Roman"/>
          <w:color w:val="404040"/>
          <w:sz w:val="30"/>
          <w:szCs w:val="30"/>
          <w:bdr w:val="none" w:sz="0" w:space="0" w:color="auto" w:frame="1"/>
          <w:lang w:eastAsia="zh-CN"/>
        </w:rPr>
        <w:t>保证金的币种与衍生产品合约的清算币种相同；</w:t>
      </w:r>
    </w:p>
    <w:p w14:paraId="11CE9C93"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lastRenderedPageBreak/>
        <w:t>5</w:t>
      </w:r>
      <w:r w:rsidRPr="00D8272E">
        <w:rPr>
          <w:rFonts w:ascii="仿宋_GB2312" w:eastAsia="仿宋_GB2312" w:hAnsi="Times New Roman" w:cs="Times New Roman"/>
          <w:color w:val="404040"/>
          <w:sz w:val="30"/>
          <w:szCs w:val="30"/>
          <w:bdr w:val="none" w:sz="0" w:space="0" w:color="auto" w:frame="1"/>
          <w:lang w:eastAsia="zh-CN"/>
        </w:rPr>
        <w:t>．</w:t>
      </w:r>
      <w:r w:rsidRPr="00D8272E">
        <w:rPr>
          <w:rFonts w:ascii="仿宋_GB2312" w:eastAsia="仿宋_GB2312" w:hAnsi="微软雅黑" w:cs="宋体"/>
          <w:color w:val="404040"/>
          <w:sz w:val="30"/>
          <w:szCs w:val="30"/>
          <w:bdr w:val="none" w:sz="0" w:space="0" w:color="auto" w:frame="1"/>
          <w:lang w:eastAsia="zh-CN"/>
        </w:rPr>
        <w:t>现金</w:t>
      </w:r>
      <w:r w:rsidRPr="00D8272E">
        <w:rPr>
          <w:rFonts w:ascii="Times New Roman" w:eastAsia="微软雅黑" w:hAnsi="Times New Roman" w:cs="Times New Roman"/>
          <w:color w:val="404040"/>
          <w:sz w:val="30"/>
          <w:szCs w:val="30"/>
          <w:bdr w:val="none" w:sz="0" w:space="0" w:color="auto" w:frame="1"/>
          <w:lang w:eastAsia="zh-CN"/>
        </w:rPr>
        <w:t>保证金根据衍生产品合约规定的门槛要求以及适用于交易对手的最低</w:t>
      </w:r>
      <w:r w:rsidRPr="00D8272E">
        <w:rPr>
          <w:rFonts w:ascii="仿宋_GB2312" w:eastAsia="仿宋_GB2312" w:hAnsi="微软雅黑" w:cs="宋体"/>
          <w:color w:val="404040"/>
          <w:sz w:val="30"/>
          <w:szCs w:val="30"/>
          <w:bdr w:val="none" w:sz="0" w:space="0" w:color="auto" w:frame="1"/>
          <w:lang w:eastAsia="zh-CN"/>
        </w:rPr>
        <w:t>抵质押品</w:t>
      </w:r>
      <w:r w:rsidRPr="00D8272E">
        <w:rPr>
          <w:rFonts w:ascii="Times New Roman" w:eastAsia="微软雅黑" w:hAnsi="Times New Roman" w:cs="Times New Roman"/>
          <w:color w:val="404040"/>
          <w:sz w:val="30"/>
          <w:szCs w:val="30"/>
          <w:bdr w:val="none" w:sz="0" w:space="0" w:color="auto" w:frame="1"/>
          <w:lang w:eastAsia="zh-CN"/>
        </w:rPr>
        <w:t>提交金额进行全额交换，且可全额覆盖衍生产品的盯市敞口；</w:t>
      </w:r>
    </w:p>
    <w:p w14:paraId="3E597663"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6</w:t>
      </w:r>
      <w:r w:rsidRPr="00D8272E">
        <w:rPr>
          <w:rFonts w:ascii="仿宋_GB2312" w:eastAsia="仿宋_GB2312" w:hAnsi="Times New Roman" w:cs="Times New Roman"/>
          <w:color w:val="404040"/>
          <w:sz w:val="30"/>
          <w:szCs w:val="30"/>
          <w:bdr w:val="none" w:sz="0" w:space="0" w:color="auto" w:frame="1"/>
          <w:lang w:eastAsia="zh-CN"/>
        </w:rPr>
        <w:t>．交易双方订立法律上有效的净额结算协议，在交易对手违约或破产的情形下均可履行。净额结算协议明确规定允许净额结算，且在净额结算时可扣减可变保证金。</w:t>
      </w:r>
    </w:p>
    <w:p w14:paraId="091F9CA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（二）根据衍生产品合约收到上述保证金的商业银行，可以从重置成本中扣除保证金；根据衍生产品合约提交上述保证金的商业银行，可以从调整后的表内外资产余额中扣减由此计入资产负债表的应收账款。</w:t>
      </w:r>
    </w:p>
    <w:p w14:paraId="1CC90FE7"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（三）商业银行根据财务会计准则</w:t>
      </w:r>
      <w:r w:rsidRPr="00D8272E">
        <w:rPr>
          <w:rFonts w:ascii="仿宋_GB2312" w:eastAsia="仿宋_GB2312" w:hAnsi="微软雅黑" w:cs="宋体"/>
          <w:color w:val="404040"/>
          <w:sz w:val="30"/>
          <w:szCs w:val="30"/>
          <w:bdr w:val="none" w:sz="0" w:space="0" w:color="auto" w:frame="1"/>
          <w:lang w:eastAsia="zh-CN"/>
        </w:rPr>
        <w:t>可以将</w:t>
      </w:r>
      <w:r w:rsidRPr="00D8272E">
        <w:rPr>
          <w:rFonts w:ascii="Times New Roman" w:eastAsia="微软雅黑" w:hAnsi="Times New Roman" w:cs="Times New Roman"/>
          <w:color w:val="404040"/>
          <w:sz w:val="30"/>
          <w:szCs w:val="30"/>
          <w:bdr w:val="none" w:sz="0" w:space="0" w:color="auto" w:frame="1"/>
          <w:lang w:eastAsia="zh-CN"/>
        </w:rPr>
        <w:t>提供的抵质押品从资产负债表中扣除</w:t>
      </w:r>
      <w:r w:rsidRPr="00D8272E">
        <w:rPr>
          <w:rFonts w:ascii="仿宋_GB2312" w:eastAsia="仿宋_GB2312" w:hAnsi="微软雅黑" w:cs="宋体"/>
          <w:color w:val="404040"/>
          <w:sz w:val="30"/>
          <w:szCs w:val="30"/>
          <w:bdr w:val="none" w:sz="0" w:space="0" w:color="auto" w:frame="1"/>
          <w:lang w:eastAsia="zh-CN"/>
        </w:rPr>
        <w:t>的</w:t>
      </w:r>
      <w:r w:rsidRPr="00D8272E">
        <w:rPr>
          <w:rFonts w:ascii="Times New Roman" w:eastAsia="微软雅黑" w:hAnsi="Times New Roman" w:cs="Times New Roman"/>
          <w:color w:val="404040"/>
          <w:sz w:val="30"/>
          <w:szCs w:val="30"/>
          <w:bdr w:val="none" w:sz="0" w:space="0" w:color="auto" w:frame="1"/>
          <w:lang w:eastAsia="zh-CN"/>
        </w:rPr>
        <w:t>，在计算衍生产品资产余额时，应当将该抵质押品</w:t>
      </w:r>
      <w:r w:rsidRPr="00D8272E">
        <w:rPr>
          <w:rFonts w:ascii="仿宋_GB2312" w:eastAsia="仿宋_GB2312" w:hAnsi="微软雅黑" w:cs="宋体"/>
          <w:color w:val="404040"/>
          <w:sz w:val="30"/>
          <w:szCs w:val="30"/>
          <w:bdr w:val="none" w:sz="0" w:space="0" w:color="auto" w:frame="1"/>
          <w:lang w:eastAsia="zh-CN"/>
        </w:rPr>
        <w:t>加回</w:t>
      </w:r>
      <w:r w:rsidRPr="00D8272E">
        <w:rPr>
          <w:rFonts w:ascii="Times New Roman" w:eastAsia="微软雅黑" w:hAnsi="Times New Roman" w:cs="Times New Roman"/>
          <w:color w:val="404040"/>
          <w:sz w:val="30"/>
          <w:szCs w:val="30"/>
          <w:bdr w:val="none" w:sz="0" w:space="0" w:color="auto" w:frame="1"/>
          <w:lang w:eastAsia="zh-CN"/>
        </w:rPr>
        <w:t>衍生产品资产余额。</w:t>
      </w:r>
    </w:p>
    <w:p w14:paraId="6873DFF7"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三、信用衍生产品</w:t>
      </w:r>
    </w:p>
    <w:p w14:paraId="4063F8C6"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信用衍生产品的信用保护卖方除按照本附件上述规定计算衍生产品</w:t>
      </w:r>
      <w:r w:rsidRPr="00D8272E">
        <w:rPr>
          <w:rFonts w:ascii="仿宋_GB2312" w:eastAsia="仿宋_GB2312" w:hAnsi="微软雅黑" w:cs="宋体"/>
          <w:color w:val="404040"/>
          <w:sz w:val="30"/>
          <w:szCs w:val="30"/>
          <w:bdr w:val="none" w:sz="0" w:space="0" w:color="auto" w:frame="1"/>
          <w:lang w:eastAsia="zh-CN"/>
        </w:rPr>
        <w:t>资产</w:t>
      </w:r>
      <w:r w:rsidRPr="00D8272E">
        <w:rPr>
          <w:rFonts w:ascii="Times New Roman" w:eastAsia="微软雅黑" w:hAnsi="Times New Roman" w:cs="Times New Roman"/>
          <w:color w:val="404040"/>
          <w:sz w:val="30"/>
          <w:szCs w:val="30"/>
          <w:bdr w:val="none" w:sz="0" w:space="0" w:color="auto" w:frame="1"/>
          <w:lang w:eastAsia="zh-CN"/>
        </w:rPr>
        <w:t>余额外，</w:t>
      </w:r>
      <w:r w:rsidRPr="00D8272E">
        <w:rPr>
          <w:rFonts w:ascii="仿宋_GB2312" w:eastAsia="仿宋_GB2312" w:hAnsi="微软雅黑" w:cs="宋体"/>
          <w:color w:val="404040"/>
          <w:sz w:val="30"/>
          <w:szCs w:val="30"/>
          <w:bdr w:val="none" w:sz="0" w:space="0" w:color="auto" w:frame="1"/>
          <w:lang w:eastAsia="zh-CN"/>
        </w:rPr>
        <w:t>还</w:t>
      </w:r>
      <w:r w:rsidRPr="00D8272E">
        <w:rPr>
          <w:rFonts w:ascii="Times New Roman" w:eastAsia="微软雅黑" w:hAnsi="Times New Roman" w:cs="Times New Roman"/>
          <w:color w:val="404040"/>
          <w:sz w:val="30"/>
          <w:szCs w:val="30"/>
          <w:bdr w:val="none" w:sz="0" w:space="0" w:color="auto" w:frame="1"/>
          <w:lang w:eastAsia="zh-CN"/>
        </w:rPr>
        <w:t>应当将信用衍生产品的有效名义本金计入</w:t>
      </w:r>
      <w:r w:rsidRPr="00D8272E">
        <w:rPr>
          <w:rFonts w:ascii="仿宋_GB2312" w:eastAsia="仿宋_GB2312" w:hAnsi="微软雅黑" w:cs="宋体"/>
          <w:color w:val="404040"/>
          <w:sz w:val="30"/>
          <w:szCs w:val="30"/>
          <w:bdr w:val="none" w:sz="0" w:space="0" w:color="auto" w:frame="1"/>
          <w:lang w:eastAsia="zh-CN"/>
        </w:rPr>
        <w:t>衍生产品资产余额</w:t>
      </w:r>
      <w:r w:rsidRPr="00D8272E">
        <w:rPr>
          <w:rFonts w:ascii="Times New Roman" w:eastAsia="微软雅黑" w:hAnsi="Times New Roman" w:cs="Times New Roman"/>
          <w:color w:val="404040"/>
          <w:sz w:val="30"/>
          <w:szCs w:val="30"/>
          <w:bdr w:val="none" w:sz="0" w:space="0" w:color="auto" w:frame="1"/>
          <w:lang w:eastAsia="zh-CN"/>
        </w:rPr>
        <w:t>。</w:t>
      </w:r>
    </w:p>
    <w:p w14:paraId="564B88F0"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仿宋_GB2312" w:eastAsia="仿宋_GB2312" w:hAnsi="微软雅黑" w:cs="宋体"/>
          <w:color w:val="404040"/>
          <w:sz w:val="30"/>
          <w:szCs w:val="30"/>
          <w:bdr w:val="none" w:sz="0" w:space="0" w:color="auto" w:frame="1"/>
          <w:lang w:eastAsia="zh-CN"/>
        </w:rPr>
        <w:t>一</w:t>
      </w:r>
      <w:r w:rsidRPr="00D8272E">
        <w:rPr>
          <w:rFonts w:ascii="Times New Roman" w:eastAsia="微软雅黑" w:hAnsi="Times New Roman" w:cs="Times New Roman"/>
          <w:color w:val="404040"/>
          <w:sz w:val="30"/>
          <w:szCs w:val="30"/>
          <w:bdr w:val="none" w:sz="0" w:space="0" w:color="auto" w:frame="1"/>
          <w:lang w:eastAsia="zh-CN"/>
        </w:rPr>
        <w:t>）商业银行在计算</w:t>
      </w:r>
      <w:r w:rsidRPr="00D8272E">
        <w:rPr>
          <w:rFonts w:ascii="仿宋_GB2312" w:eastAsia="仿宋_GB2312" w:hAnsi="微软雅黑" w:cs="宋体"/>
          <w:color w:val="404040"/>
          <w:sz w:val="30"/>
          <w:szCs w:val="30"/>
          <w:bdr w:val="none" w:sz="0" w:space="0" w:color="auto" w:frame="1"/>
          <w:lang w:eastAsia="zh-CN"/>
        </w:rPr>
        <w:t>卖出</w:t>
      </w:r>
      <w:r w:rsidRPr="00D8272E">
        <w:rPr>
          <w:rFonts w:ascii="Times New Roman" w:eastAsia="微软雅黑" w:hAnsi="Times New Roman" w:cs="Times New Roman"/>
          <w:color w:val="404040"/>
          <w:sz w:val="30"/>
          <w:szCs w:val="30"/>
          <w:bdr w:val="none" w:sz="0" w:space="0" w:color="auto" w:frame="1"/>
          <w:lang w:eastAsia="zh-CN"/>
        </w:rPr>
        <w:t>信用衍生产品的有效名义本金时，可以扣除符合下列条件的</w:t>
      </w:r>
      <w:r w:rsidRPr="00D8272E">
        <w:rPr>
          <w:rFonts w:ascii="仿宋_GB2312" w:eastAsia="仿宋_GB2312" w:hAnsi="微软雅黑" w:cs="宋体"/>
          <w:color w:val="404040"/>
          <w:sz w:val="30"/>
          <w:szCs w:val="30"/>
          <w:bdr w:val="none" w:sz="0" w:space="0" w:color="auto" w:frame="1"/>
          <w:lang w:eastAsia="zh-CN"/>
        </w:rPr>
        <w:t>买入</w:t>
      </w:r>
      <w:r w:rsidRPr="00D8272E">
        <w:rPr>
          <w:rFonts w:ascii="Times New Roman" w:eastAsia="微软雅黑" w:hAnsi="Times New Roman" w:cs="Times New Roman"/>
          <w:color w:val="404040"/>
          <w:sz w:val="30"/>
          <w:szCs w:val="30"/>
          <w:bdr w:val="none" w:sz="0" w:space="0" w:color="auto" w:frame="1"/>
          <w:lang w:eastAsia="zh-CN"/>
        </w:rPr>
        <w:t>信用衍生产品有效名义本金：</w:t>
      </w:r>
    </w:p>
    <w:p w14:paraId="2AD14431"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w:t>
      </w:r>
      <w:r w:rsidRPr="00D8272E">
        <w:rPr>
          <w:rFonts w:ascii="仿宋_GB2312" w:eastAsia="仿宋_GB2312" w:hAnsi="微软雅黑" w:cs="宋体"/>
          <w:color w:val="404040"/>
          <w:sz w:val="30"/>
          <w:szCs w:val="30"/>
          <w:bdr w:val="none" w:sz="0" w:space="0" w:color="auto" w:frame="1"/>
          <w:lang w:eastAsia="zh-CN"/>
        </w:rPr>
        <w:t>买入</w:t>
      </w:r>
      <w:r w:rsidRPr="00D8272E">
        <w:rPr>
          <w:rFonts w:ascii="Times New Roman" w:eastAsia="微软雅黑" w:hAnsi="Times New Roman" w:cs="Times New Roman"/>
          <w:color w:val="404040"/>
          <w:sz w:val="30"/>
          <w:szCs w:val="30"/>
          <w:bdr w:val="none" w:sz="0" w:space="0" w:color="auto" w:frame="1"/>
          <w:lang w:eastAsia="zh-CN"/>
        </w:rPr>
        <w:t>信用衍生产品的参照资产与</w:t>
      </w:r>
      <w:r w:rsidRPr="00D8272E">
        <w:rPr>
          <w:rFonts w:ascii="仿宋_GB2312" w:eastAsia="仿宋_GB2312" w:hAnsi="微软雅黑" w:cs="宋体"/>
          <w:color w:val="404040"/>
          <w:sz w:val="30"/>
          <w:szCs w:val="30"/>
          <w:bdr w:val="none" w:sz="0" w:space="0" w:color="auto" w:frame="1"/>
          <w:lang w:eastAsia="zh-CN"/>
        </w:rPr>
        <w:t>卖出</w:t>
      </w:r>
      <w:r w:rsidRPr="00D8272E">
        <w:rPr>
          <w:rFonts w:ascii="Times New Roman" w:eastAsia="微软雅黑" w:hAnsi="Times New Roman" w:cs="Times New Roman"/>
          <w:color w:val="404040"/>
          <w:sz w:val="30"/>
          <w:szCs w:val="30"/>
          <w:bdr w:val="none" w:sz="0" w:space="0" w:color="auto" w:frame="1"/>
          <w:lang w:eastAsia="zh-CN"/>
        </w:rPr>
        <w:t>信用衍生产品的参照资产相同；</w:t>
      </w:r>
    </w:p>
    <w:p w14:paraId="3931DFF2"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．买入信用衍生产品的剩余期限不短于卖出信用衍生产品的剩余期限。</w:t>
      </w:r>
    </w:p>
    <w:p w14:paraId="49692014"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仿宋_GB2312" w:eastAsia="仿宋_GB2312" w:hAnsi="微软雅黑" w:cs="宋体"/>
          <w:color w:val="404040"/>
          <w:sz w:val="30"/>
          <w:szCs w:val="30"/>
          <w:bdr w:val="none" w:sz="0" w:space="0" w:color="auto" w:frame="1"/>
          <w:lang w:eastAsia="zh-CN"/>
        </w:rPr>
        <w:t>（二）如卖出信用衍生产品的名义本金已计入衍生产品资产余额，其对应合约的潜在风险暴露可不计入衍生产品资产余额中。</w:t>
      </w:r>
    </w:p>
    <w:p w14:paraId="61007EF3"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仿宋_GB2312" w:eastAsia="仿宋_GB2312" w:hAnsi="微软雅黑" w:cs="宋体"/>
          <w:color w:val="404040"/>
          <w:sz w:val="30"/>
          <w:szCs w:val="30"/>
          <w:bdr w:val="none" w:sz="0" w:space="0" w:color="auto" w:frame="1"/>
          <w:lang w:eastAsia="zh-CN"/>
        </w:rPr>
        <w:lastRenderedPageBreak/>
        <w:t>（三）</w:t>
      </w:r>
      <w:r w:rsidRPr="00D8272E">
        <w:rPr>
          <w:rFonts w:ascii="Times New Roman" w:eastAsia="微软雅黑" w:hAnsi="Times New Roman" w:cs="Times New Roman"/>
          <w:color w:val="404040"/>
          <w:sz w:val="30"/>
          <w:szCs w:val="30"/>
          <w:bdr w:val="none" w:sz="0" w:space="0" w:color="auto" w:frame="1"/>
          <w:lang w:eastAsia="zh-CN"/>
        </w:rPr>
        <w:t>商业银行可以将</w:t>
      </w:r>
      <w:r w:rsidRPr="00D8272E">
        <w:rPr>
          <w:rFonts w:ascii="仿宋_GB2312" w:eastAsia="仿宋_GB2312" w:hAnsi="微软雅黑" w:cs="宋体"/>
          <w:color w:val="404040"/>
          <w:sz w:val="30"/>
          <w:szCs w:val="30"/>
          <w:bdr w:val="none" w:sz="0" w:space="0" w:color="auto" w:frame="1"/>
          <w:lang w:eastAsia="zh-CN"/>
        </w:rPr>
        <w:t>从</w:t>
      </w:r>
      <w:r w:rsidRPr="00D8272E">
        <w:rPr>
          <w:rFonts w:ascii="Times New Roman" w:eastAsia="微软雅黑" w:hAnsi="Times New Roman" w:cs="Times New Roman"/>
          <w:color w:val="404040"/>
          <w:sz w:val="30"/>
          <w:szCs w:val="30"/>
          <w:bdr w:val="none" w:sz="0" w:space="0" w:color="auto" w:frame="1"/>
          <w:lang w:eastAsia="zh-CN"/>
        </w:rPr>
        <w:t>资本公积中</w:t>
      </w:r>
      <w:r w:rsidRPr="00D8272E">
        <w:rPr>
          <w:rFonts w:ascii="仿宋_GB2312" w:eastAsia="仿宋_GB2312" w:hAnsi="微软雅黑" w:cs="宋体"/>
          <w:color w:val="404040"/>
          <w:sz w:val="30"/>
          <w:szCs w:val="30"/>
          <w:bdr w:val="none" w:sz="0" w:space="0" w:color="auto" w:frame="1"/>
          <w:lang w:eastAsia="zh-CN"/>
        </w:rPr>
        <w:t>扣除</w:t>
      </w:r>
      <w:r w:rsidRPr="00D8272E">
        <w:rPr>
          <w:rFonts w:ascii="Times New Roman" w:eastAsia="微软雅黑" w:hAnsi="Times New Roman" w:cs="Times New Roman"/>
          <w:color w:val="404040"/>
          <w:sz w:val="30"/>
          <w:szCs w:val="30"/>
          <w:bdr w:val="none" w:sz="0" w:space="0" w:color="auto" w:frame="1"/>
          <w:lang w:eastAsia="zh-CN"/>
        </w:rPr>
        <w:t>的</w:t>
      </w:r>
      <w:r w:rsidRPr="00D8272E">
        <w:rPr>
          <w:rFonts w:ascii="仿宋_GB2312" w:eastAsia="仿宋_GB2312" w:hAnsi="微软雅黑" w:cs="宋体"/>
          <w:color w:val="404040"/>
          <w:sz w:val="30"/>
          <w:szCs w:val="30"/>
          <w:bdr w:val="none" w:sz="0" w:space="0" w:color="auto" w:frame="1"/>
          <w:lang w:eastAsia="zh-CN"/>
        </w:rPr>
        <w:t>卖出</w:t>
      </w:r>
      <w:r w:rsidRPr="00D8272E">
        <w:rPr>
          <w:rFonts w:ascii="Times New Roman" w:eastAsia="微软雅黑" w:hAnsi="Times New Roman" w:cs="Times New Roman"/>
          <w:color w:val="404040"/>
          <w:sz w:val="30"/>
          <w:szCs w:val="30"/>
          <w:bdr w:val="none" w:sz="0" w:space="0" w:color="auto" w:frame="1"/>
          <w:lang w:eastAsia="zh-CN"/>
        </w:rPr>
        <w:t>信用衍生产品公允价值的负向变动从信用衍生产品有效名义本金中扣除。</w:t>
      </w:r>
    </w:p>
    <w:p w14:paraId="6B130864"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四、商业银行与中央交易对手开展的衍生产品交易</w:t>
      </w:r>
    </w:p>
    <w:p w14:paraId="5435D58B"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（一）商业银行作为中央交易对手的清算会员为客户提供衍生产品交易清算服务时，其与中央交易对手交易形成的衍生产品资产余额按照下列规定计算：</w:t>
      </w:r>
    </w:p>
    <w:p w14:paraId="304E210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当商业银行提供清算服务时，若其同时与客户和中央交易对手订立衍生产品合约，相关交易形成的衍生产品资产余额应当计入调整后的表内外资产余额。但是，商业银行不对客户承担中央交易对手违约的保证义务的，其与</w:t>
      </w:r>
      <w:r w:rsidRPr="00D8272E">
        <w:rPr>
          <w:rFonts w:ascii="仿宋_GB2312" w:eastAsia="仿宋_GB2312" w:hAnsi="微软雅黑" w:cs="宋体"/>
          <w:color w:val="404040"/>
          <w:sz w:val="30"/>
          <w:szCs w:val="30"/>
          <w:bdr w:val="none" w:sz="0" w:space="0" w:color="auto" w:frame="1"/>
          <w:lang w:eastAsia="zh-CN"/>
        </w:rPr>
        <w:t>合格</w:t>
      </w:r>
      <w:r w:rsidRPr="00D8272E">
        <w:rPr>
          <w:rFonts w:ascii="Times New Roman" w:eastAsia="微软雅黑" w:hAnsi="Times New Roman" w:cs="Times New Roman"/>
          <w:color w:val="404040"/>
          <w:sz w:val="30"/>
          <w:szCs w:val="30"/>
          <w:bdr w:val="none" w:sz="0" w:space="0" w:color="auto" w:frame="1"/>
          <w:lang w:eastAsia="zh-CN"/>
        </w:rPr>
        <w:t>中央交易对手交易形成的衍生产品资产余额可以从调整后的表内外资产余额中扣除。</w:t>
      </w:r>
    </w:p>
    <w:p w14:paraId="4055896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．当商业银行提供清算服务时，若客户直接与中央交易对手订立衍生产品合约，且商业银行对中央交易对手承担客户违约的保证义务的，商业银行应当按照本办法附件</w:t>
      </w: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的规定计算其保证部分的衍生产品</w:t>
      </w:r>
      <w:r w:rsidRPr="00D8272E">
        <w:rPr>
          <w:rFonts w:ascii="仿宋_GB2312" w:eastAsia="仿宋_GB2312" w:hAnsi="微软雅黑" w:cs="宋体"/>
          <w:color w:val="404040"/>
          <w:sz w:val="30"/>
          <w:szCs w:val="30"/>
          <w:bdr w:val="none" w:sz="0" w:space="0" w:color="auto" w:frame="1"/>
          <w:lang w:eastAsia="zh-CN"/>
        </w:rPr>
        <w:t>资产</w:t>
      </w:r>
      <w:r w:rsidRPr="00D8272E">
        <w:rPr>
          <w:rFonts w:ascii="Times New Roman" w:eastAsia="微软雅黑" w:hAnsi="Times New Roman" w:cs="Times New Roman"/>
          <w:color w:val="404040"/>
          <w:sz w:val="30"/>
          <w:szCs w:val="30"/>
          <w:bdr w:val="none" w:sz="0" w:space="0" w:color="auto" w:frame="1"/>
          <w:lang w:eastAsia="zh-CN"/>
        </w:rPr>
        <w:t>余额。</w:t>
      </w:r>
    </w:p>
    <w:p w14:paraId="2C84B398"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（二）合格中央交易对手的认定标准根据《中央交易对手风险暴露资本计量规则》确定。</w:t>
      </w:r>
    </w:p>
    <w:p w14:paraId="79EAA821"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仿宋_GB2312" w:eastAsia="仿宋_GB2312" w:hAnsi="微软雅黑" w:cs="宋体"/>
          <w:b/>
          <w:bCs/>
          <w:color w:val="404040"/>
          <w:sz w:val="30"/>
          <w:szCs w:val="30"/>
          <w:bdr w:val="none" w:sz="0" w:space="0" w:color="auto" w:frame="1"/>
          <w:lang w:eastAsia="zh-CN"/>
        </w:rPr>
        <w:t>附件2</w:t>
      </w:r>
    </w:p>
    <w:p w14:paraId="3A40F8FE"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证券融资交易资产余额计算方法</w:t>
      </w:r>
    </w:p>
    <w:p w14:paraId="699CFD9D"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仿宋_GB2312" w:eastAsia="仿宋_GB2312" w:hAnsi="微软雅黑" w:cs="宋体"/>
          <w:color w:val="404040"/>
          <w:sz w:val="30"/>
          <w:szCs w:val="30"/>
          <w:bdr w:val="none" w:sz="0" w:space="0" w:color="auto" w:frame="1"/>
          <w:lang w:eastAsia="zh-CN"/>
        </w:rPr>
        <w:t>证券融资交易是指交易合约价值通过市场估值确定且通常要求提供现金或证券作为抵质押品的交易，包括买入返售、卖出回购、证券借贷及保证金贷款交易等。</w:t>
      </w:r>
    </w:p>
    <w:p w14:paraId="46BA6BF7"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一、证券融资交易资产余额的计算方法</w:t>
      </w:r>
    </w:p>
    <w:p w14:paraId="78CCCD33"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lastRenderedPageBreak/>
        <w:t>证券融资交易资产余额应当为证券融资交易的会计资产余额和按照本附件计算的证券融资交易的交易对手信用风险暴露</w:t>
      </w:r>
      <w:r w:rsidRPr="00D8272E">
        <w:rPr>
          <w:rFonts w:ascii="仿宋_GB2312" w:eastAsia="仿宋_GB2312" w:hAnsi="微软雅黑" w:cs="宋体"/>
          <w:color w:val="404040"/>
          <w:sz w:val="30"/>
          <w:szCs w:val="30"/>
          <w:bdr w:val="none" w:sz="0" w:space="0" w:color="auto" w:frame="1"/>
          <w:lang w:eastAsia="zh-CN"/>
        </w:rPr>
        <w:t>之和</w:t>
      </w:r>
      <w:r w:rsidRPr="00D8272E">
        <w:rPr>
          <w:rFonts w:ascii="Times New Roman" w:eastAsia="微软雅黑" w:hAnsi="Times New Roman" w:cs="Times New Roman"/>
          <w:color w:val="404040"/>
          <w:sz w:val="30"/>
          <w:szCs w:val="30"/>
          <w:bdr w:val="none" w:sz="0" w:space="0" w:color="auto" w:frame="1"/>
          <w:lang w:eastAsia="zh-CN"/>
        </w:rPr>
        <w:t>。</w:t>
      </w:r>
    </w:p>
    <w:p w14:paraId="63E92200"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（一）证券融资交易的会计资产余额为商业银行</w:t>
      </w:r>
      <w:r w:rsidRPr="00D8272E">
        <w:rPr>
          <w:rFonts w:ascii="仿宋_GB2312" w:eastAsia="仿宋_GB2312" w:hAnsi="微软雅黑" w:cs="宋体"/>
          <w:color w:val="404040"/>
          <w:sz w:val="30"/>
          <w:szCs w:val="30"/>
          <w:bdr w:val="none" w:sz="0" w:space="0" w:color="auto" w:frame="1"/>
          <w:lang w:eastAsia="zh-CN"/>
        </w:rPr>
        <w:t>因</w:t>
      </w:r>
      <w:r w:rsidRPr="00D8272E">
        <w:rPr>
          <w:rFonts w:ascii="Times New Roman" w:eastAsia="微软雅黑" w:hAnsi="Times New Roman" w:cs="Times New Roman"/>
          <w:color w:val="404040"/>
          <w:sz w:val="30"/>
          <w:szCs w:val="30"/>
          <w:bdr w:val="none" w:sz="0" w:space="0" w:color="auto" w:frame="1"/>
          <w:lang w:eastAsia="zh-CN"/>
        </w:rPr>
        <w:t>开展证券融资交易，按照财务会计准则应当增加计入资产负债表的资产金额。符合下列条件的证券融资交易，商业银行在计算对同一交易对手的证券融资交易会计资产时，</w:t>
      </w:r>
      <w:r w:rsidRPr="00D8272E">
        <w:rPr>
          <w:rFonts w:ascii="仿宋_GB2312" w:eastAsia="仿宋_GB2312" w:hAnsi="微软雅黑" w:cs="宋体"/>
          <w:color w:val="404040"/>
          <w:sz w:val="30"/>
          <w:szCs w:val="30"/>
          <w:bdr w:val="none" w:sz="0" w:space="0" w:color="auto" w:frame="1"/>
          <w:lang w:eastAsia="zh-CN"/>
        </w:rPr>
        <w:t>可以</w:t>
      </w:r>
      <w:r w:rsidRPr="00D8272E">
        <w:rPr>
          <w:rFonts w:ascii="Times New Roman" w:eastAsia="微软雅黑" w:hAnsi="Times New Roman" w:cs="Times New Roman"/>
          <w:color w:val="404040"/>
          <w:sz w:val="30"/>
          <w:szCs w:val="30"/>
          <w:bdr w:val="none" w:sz="0" w:space="0" w:color="auto" w:frame="1"/>
          <w:lang w:eastAsia="zh-CN"/>
        </w:rPr>
        <w:t>将</w:t>
      </w:r>
      <w:r w:rsidRPr="00D8272E">
        <w:rPr>
          <w:rFonts w:ascii="仿宋_GB2312" w:eastAsia="仿宋_GB2312" w:hAnsi="微软雅黑" w:cs="宋体"/>
          <w:color w:val="404040"/>
          <w:sz w:val="30"/>
          <w:szCs w:val="30"/>
          <w:bdr w:val="none" w:sz="0" w:space="0" w:color="auto" w:frame="1"/>
          <w:lang w:eastAsia="zh-CN"/>
        </w:rPr>
        <w:t>因</w:t>
      </w:r>
      <w:r w:rsidRPr="00D8272E">
        <w:rPr>
          <w:rFonts w:ascii="Times New Roman" w:eastAsia="微软雅黑" w:hAnsi="Times New Roman" w:cs="Times New Roman"/>
          <w:color w:val="404040"/>
          <w:sz w:val="30"/>
          <w:szCs w:val="30"/>
          <w:bdr w:val="none" w:sz="0" w:space="0" w:color="auto" w:frame="1"/>
          <w:lang w:eastAsia="zh-CN"/>
        </w:rPr>
        <w:t>开展证券融资交易产生的应收账款与应付账款进行轧差：</w:t>
      </w:r>
    </w:p>
    <w:p w14:paraId="01CA393D"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．交易具有相同的明确的最终清算日期；</w:t>
      </w:r>
    </w:p>
    <w:p w14:paraId="46028777"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．无论在正常经营，还是交易一方违约、资不抵债或破产情况下，轧差均符合法律规定且可强制执行；</w:t>
      </w:r>
    </w:p>
    <w:p w14:paraId="6A13C3CF"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3</w:t>
      </w:r>
      <w:r w:rsidRPr="00D8272E">
        <w:rPr>
          <w:rFonts w:ascii="仿宋_GB2312" w:eastAsia="仿宋_GB2312" w:hAnsi="Times New Roman" w:cs="Times New Roman"/>
          <w:color w:val="404040"/>
          <w:sz w:val="30"/>
          <w:szCs w:val="30"/>
          <w:bdr w:val="none" w:sz="0" w:space="0" w:color="auto" w:frame="1"/>
          <w:lang w:eastAsia="zh-CN"/>
        </w:rPr>
        <w:t>．交易双方均有采用净额结算和同时结算的意图，或交易的清算机制采用与净额结算等价的方式。</w:t>
      </w:r>
    </w:p>
    <w:p w14:paraId="134BDC68"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（二）商业银行按照下列方式计算证券融资交易的交易对手信用风险暴露：</w:t>
      </w:r>
    </w:p>
    <w:p w14:paraId="60532D17"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当存在符合《商业银行资本管理办法（试行）》规定的合格净额结算协议时，证券融资交易的交易对手信用风险暴露为合格净额结算协议下所有交易中借出的证券和现金的公允价值之和，与从交易对手收取的证券和现金的公允价值之和相减后的正值。</w:t>
      </w:r>
    </w:p>
    <w:p w14:paraId="71F5A4BE"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2</w:t>
      </w:r>
      <w:r w:rsidRPr="00D8272E">
        <w:rPr>
          <w:rFonts w:ascii="仿宋_GB2312" w:eastAsia="仿宋_GB2312" w:hAnsi="Times New Roman" w:cs="Times New Roman"/>
          <w:color w:val="404040"/>
          <w:sz w:val="30"/>
          <w:szCs w:val="30"/>
          <w:bdr w:val="none" w:sz="0" w:space="0" w:color="auto" w:frame="1"/>
          <w:lang w:eastAsia="zh-CN"/>
        </w:rPr>
        <w:t>．当不存在符合《商业银行资本管理办法（试行）》规定的合格净额结算协议时，证券融资交易的交易对手信用风险暴露应当逐笔计算。</w:t>
      </w:r>
    </w:p>
    <w:p w14:paraId="77BE019C"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二、代理证券融资交易</w:t>
      </w:r>
    </w:p>
    <w:p w14:paraId="4F50AFC9"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商业银行代理从事证券融资交易，若</w:t>
      </w:r>
      <w:r w:rsidRPr="00D8272E">
        <w:rPr>
          <w:rFonts w:ascii="仿宋_GB2312" w:eastAsia="仿宋_GB2312" w:hAnsi="微软雅黑" w:cs="宋体"/>
          <w:color w:val="404040"/>
          <w:sz w:val="30"/>
          <w:szCs w:val="30"/>
          <w:bdr w:val="none" w:sz="0" w:space="0" w:color="auto" w:frame="1"/>
          <w:lang w:eastAsia="zh-CN"/>
        </w:rPr>
        <w:t>其</w:t>
      </w:r>
      <w:r w:rsidRPr="00D8272E">
        <w:rPr>
          <w:rFonts w:ascii="Times New Roman" w:eastAsia="微软雅黑" w:hAnsi="Times New Roman" w:cs="Times New Roman"/>
          <w:color w:val="404040"/>
          <w:sz w:val="30"/>
          <w:szCs w:val="30"/>
          <w:bdr w:val="none" w:sz="0" w:space="0" w:color="auto" w:frame="1"/>
          <w:lang w:eastAsia="zh-CN"/>
        </w:rPr>
        <w:t>为交易一方就交易双方提供的</w:t>
      </w:r>
      <w:r w:rsidRPr="00D8272E">
        <w:rPr>
          <w:rFonts w:ascii="仿宋_GB2312" w:eastAsia="仿宋_GB2312" w:hAnsi="微软雅黑" w:cs="宋体"/>
          <w:color w:val="404040"/>
          <w:sz w:val="30"/>
          <w:szCs w:val="30"/>
          <w:bdr w:val="none" w:sz="0" w:space="0" w:color="auto" w:frame="1"/>
          <w:lang w:eastAsia="zh-CN"/>
        </w:rPr>
        <w:t>抵质押品</w:t>
      </w:r>
      <w:r w:rsidRPr="00D8272E">
        <w:rPr>
          <w:rFonts w:ascii="Times New Roman" w:eastAsia="微软雅黑" w:hAnsi="Times New Roman" w:cs="Times New Roman"/>
          <w:color w:val="404040"/>
          <w:sz w:val="30"/>
          <w:szCs w:val="30"/>
          <w:bdr w:val="none" w:sz="0" w:space="0" w:color="auto" w:frame="1"/>
          <w:lang w:eastAsia="zh-CN"/>
        </w:rPr>
        <w:t>差额提供担保，</w:t>
      </w:r>
      <w:r w:rsidRPr="00D8272E">
        <w:rPr>
          <w:rFonts w:ascii="仿宋_GB2312" w:eastAsia="仿宋_GB2312" w:hAnsi="微软雅黑" w:cs="宋体"/>
          <w:color w:val="404040"/>
          <w:sz w:val="30"/>
          <w:szCs w:val="30"/>
          <w:bdr w:val="none" w:sz="0" w:space="0" w:color="auto" w:frame="1"/>
          <w:lang w:eastAsia="zh-CN"/>
        </w:rPr>
        <w:t>应当将该担保部分的抵质押品差额</w:t>
      </w:r>
      <w:r w:rsidRPr="00D8272E">
        <w:rPr>
          <w:rFonts w:ascii="Times New Roman" w:eastAsia="微软雅黑" w:hAnsi="Times New Roman" w:cs="Times New Roman"/>
          <w:color w:val="404040"/>
          <w:sz w:val="30"/>
          <w:szCs w:val="30"/>
          <w:bdr w:val="none" w:sz="0" w:space="0" w:color="auto" w:frame="1"/>
          <w:lang w:eastAsia="zh-CN"/>
        </w:rPr>
        <w:t>纳入证券融</w:t>
      </w:r>
      <w:r w:rsidRPr="00D8272E">
        <w:rPr>
          <w:rFonts w:ascii="Times New Roman" w:eastAsia="微软雅黑" w:hAnsi="Times New Roman" w:cs="Times New Roman"/>
          <w:color w:val="404040"/>
          <w:sz w:val="30"/>
          <w:szCs w:val="30"/>
          <w:bdr w:val="none" w:sz="0" w:space="0" w:color="auto" w:frame="1"/>
          <w:lang w:eastAsia="zh-CN"/>
        </w:rPr>
        <w:lastRenderedPageBreak/>
        <w:t>资交易资产余额；若银行为交易提供进一步担保</w:t>
      </w:r>
      <w:r w:rsidRPr="00D8272E">
        <w:rPr>
          <w:rFonts w:ascii="仿宋_GB2312" w:eastAsia="仿宋_GB2312" w:hAnsi="微软雅黑" w:cs="宋体"/>
          <w:color w:val="404040"/>
          <w:sz w:val="30"/>
          <w:szCs w:val="30"/>
          <w:bdr w:val="none" w:sz="0" w:space="0" w:color="auto" w:frame="1"/>
          <w:lang w:eastAsia="zh-CN"/>
        </w:rPr>
        <w:t>的</w:t>
      </w:r>
      <w:r w:rsidRPr="00D8272E">
        <w:rPr>
          <w:rFonts w:ascii="Times New Roman" w:eastAsia="微软雅黑" w:hAnsi="Times New Roman" w:cs="Times New Roman"/>
          <w:color w:val="404040"/>
          <w:sz w:val="30"/>
          <w:szCs w:val="30"/>
          <w:bdr w:val="none" w:sz="0" w:space="0" w:color="auto" w:frame="1"/>
          <w:lang w:eastAsia="zh-CN"/>
        </w:rPr>
        <w:t>，应当将承担担保责任的资产</w:t>
      </w:r>
      <w:r w:rsidRPr="00D8272E">
        <w:rPr>
          <w:rFonts w:ascii="仿宋_GB2312" w:eastAsia="仿宋_GB2312" w:hAnsi="微软雅黑" w:cs="宋体"/>
          <w:color w:val="404040"/>
          <w:sz w:val="30"/>
          <w:szCs w:val="30"/>
          <w:bdr w:val="none" w:sz="0" w:space="0" w:color="auto" w:frame="1"/>
          <w:lang w:eastAsia="zh-CN"/>
        </w:rPr>
        <w:t>金额</w:t>
      </w:r>
      <w:r w:rsidRPr="00D8272E">
        <w:rPr>
          <w:rFonts w:ascii="Times New Roman" w:eastAsia="微软雅黑" w:hAnsi="Times New Roman" w:cs="Times New Roman"/>
          <w:color w:val="404040"/>
          <w:sz w:val="30"/>
          <w:szCs w:val="30"/>
          <w:bdr w:val="none" w:sz="0" w:space="0" w:color="auto" w:frame="1"/>
          <w:lang w:eastAsia="zh-CN"/>
        </w:rPr>
        <w:t>同时计入证券融资交易资产余额。</w:t>
      </w:r>
    </w:p>
    <w:p w14:paraId="6574A46F"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黑体" w:eastAsia="黑体" w:hAnsi="黑体" w:cs="宋体"/>
          <w:color w:val="404040"/>
          <w:sz w:val="30"/>
          <w:szCs w:val="30"/>
          <w:bdr w:val="none" w:sz="0" w:space="0" w:color="auto" w:frame="1"/>
          <w:lang w:eastAsia="zh-CN"/>
        </w:rPr>
        <w:t>三</w:t>
      </w:r>
      <w:r w:rsidRPr="00D8272E">
        <w:rPr>
          <w:rFonts w:ascii="Times New Roman" w:eastAsia="微软雅黑" w:hAnsi="Times New Roman" w:cs="Times New Roman"/>
          <w:color w:val="404040"/>
          <w:sz w:val="30"/>
          <w:szCs w:val="30"/>
          <w:bdr w:val="none" w:sz="0" w:space="0" w:color="auto" w:frame="1"/>
          <w:lang w:eastAsia="zh-CN"/>
        </w:rPr>
        <w:t>、证券融资交易的特殊情况处理</w:t>
      </w:r>
    </w:p>
    <w:p w14:paraId="46D51E2D"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商业银行从事证券融资交易，如其</w:t>
      </w:r>
      <w:r w:rsidRPr="00D8272E">
        <w:rPr>
          <w:rFonts w:ascii="仿宋_GB2312" w:eastAsia="仿宋_GB2312" w:hAnsi="微软雅黑" w:cs="宋体"/>
          <w:color w:val="404040"/>
          <w:sz w:val="30"/>
          <w:szCs w:val="30"/>
          <w:bdr w:val="none" w:sz="0" w:space="0" w:color="auto" w:frame="1"/>
          <w:lang w:eastAsia="zh-CN"/>
        </w:rPr>
        <w:t>根据</w:t>
      </w:r>
      <w:r w:rsidRPr="00D8272E">
        <w:rPr>
          <w:rFonts w:ascii="Times New Roman" w:eastAsia="微软雅黑" w:hAnsi="Times New Roman" w:cs="Times New Roman"/>
          <w:color w:val="404040"/>
          <w:sz w:val="30"/>
          <w:szCs w:val="30"/>
          <w:bdr w:val="none" w:sz="0" w:space="0" w:color="auto" w:frame="1"/>
          <w:lang w:eastAsia="zh-CN"/>
        </w:rPr>
        <w:t>财务会计准则规定可以将证券出表，</w:t>
      </w:r>
      <w:r w:rsidRPr="00D8272E">
        <w:rPr>
          <w:rFonts w:ascii="仿宋_GB2312" w:eastAsia="仿宋_GB2312" w:hAnsi="微软雅黑" w:cs="宋体"/>
          <w:color w:val="404040"/>
          <w:sz w:val="30"/>
          <w:szCs w:val="30"/>
          <w:bdr w:val="none" w:sz="0" w:space="0" w:color="auto" w:frame="1"/>
          <w:lang w:eastAsia="zh-CN"/>
        </w:rPr>
        <w:t>但交易实质和承担的风险与买入返售或卖出回购业务相同的</w:t>
      </w: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仿宋_GB2312" w:eastAsia="仿宋_GB2312" w:hAnsi="微软雅黑" w:cs="宋体"/>
          <w:color w:val="404040"/>
          <w:sz w:val="30"/>
          <w:szCs w:val="30"/>
          <w:bdr w:val="none" w:sz="0" w:space="0" w:color="auto" w:frame="1"/>
          <w:lang w:eastAsia="zh-CN"/>
        </w:rPr>
        <w:t>应当</w:t>
      </w:r>
      <w:r w:rsidRPr="00D8272E">
        <w:rPr>
          <w:rFonts w:ascii="Times New Roman" w:eastAsia="微软雅黑" w:hAnsi="Times New Roman" w:cs="Times New Roman"/>
          <w:color w:val="404040"/>
          <w:sz w:val="30"/>
          <w:szCs w:val="30"/>
          <w:bdr w:val="none" w:sz="0" w:space="0" w:color="auto" w:frame="1"/>
          <w:lang w:eastAsia="zh-CN"/>
        </w:rPr>
        <w:t>将该出表的证券计入证券融资交易资产余额中。</w:t>
      </w:r>
    </w:p>
    <w:p w14:paraId="78F374BE"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仿宋_GB2312" w:eastAsia="仿宋_GB2312" w:hAnsi="微软雅黑" w:cs="宋体"/>
          <w:color w:val="404040"/>
          <w:sz w:val="30"/>
          <w:szCs w:val="30"/>
          <w:bdr w:val="none" w:sz="0" w:space="0" w:color="auto" w:frame="1"/>
          <w:lang w:eastAsia="zh-CN"/>
        </w:rPr>
        <w:t>附件3</w:t>
      </w:r>
    </w:p>
    <w:p w14:paraId="2ED29968" w14:textId="77777777" w:rsidR="00D8272E" w:rsidRPr="00D8272E" w:rsidRDefault="00D8272E" w:rsidP="00D8272E">
      <w:pPr>
        <w:spacing w:after="0" w:line="240" w:lineRule="auto"/>
        <w:ind w:firstLine="342"/>
        <w:jc w:val="center"/>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6"/>
          <w:szCs w:val="36"/>
          <w:bdr w:val="none" w:sz="0" w:space="0" w:color="auto" w:frame="1"/>
          <w:lang w:eastAsia="zh-CN"/>
        </w:rPr>
        <w:t>杠杆率披露模板</w:t>
      </w:r>
    </w:p>
    <w:p w14:paraId="6053F256"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一、披露要求</w:t>
      </w:r>
    </w:p>
    <w:p w14:paraId="0F84B8FE"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境内外已经上市的商业银行，以及未上市但上一年年末并表总资产超过</w:t>
      </w:r>
      <w:r w:rsidRPr="00D8272E">
        <w:rPr>
          <w:rFonts w:ascii="Times New Roman" w:eastAsia="微软雅黑" w:hAnsi="Times New Roman" w:cs="Times New Roman"/>
          <w:color w:val="404040"/>
          <w:sz w:val="30"/>
          <w:szCs w:val="30"/>
          <w:bdr w:val="none" w:sz="0" w:space="0" w:color="auto" w:frame="1"/>
          <w:lang w:eastAsia="zh-CN"/>
        </w:rPr>
        <w:t>1</w:t>
      </w:r>
      <w:r w:rsidRPr="00D8272E">
        <w:rPr>
          <w:rFonts w:ascii="仿宋_GB2312" w:eastAsia="仿宋_GB2312" w:hAnsi="Times New Roman" w:cs="Times New Roman"/>
          <w:color w:val="404040"/>
          <w:sz w:val="30"/>
          <w:szCs w:val="30"/>
          <w:bdr w:val="none" w:sz="0" w:space="0" w:color="auto" w:frame="1"/>
          <w:lang w:eastAsia="zh-CN"/>
        </w:rPr>
        <w:t>万亿元人民币的商业银行应当根据本附件规定，披露杠杆率信息。</w:t>
      </w:r>
    </w:p>
    <w:p w14:paraId="71B9A364"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（一）按季披露</w:t>
      </w:r>
      <w:r w:rsidRPr="00D8272E">
        <w:rPr>
          <w:rFonts w:ascii="仿宋_GB2312" w:eastAsia="仿宋_GB2312" w:hAnsi="微软雅黑" w:cs="宋体"/>
          <w:color w:val="404040"/>
          <w:sz w:val="30"/>
          <w:szCs w:val="30"/>
          <w:bdr w:val="none" w:sz="0" w:space="0" w:color="auto" w:frame="1"/>
          <w:lang w:eastAsia="zh-CN"/>
        </w:rPr>
        <w:t>杠杆率水平、</w:t>
      </w:r>
      <w:r w:rsidRPr="00D8272E">
        <w:rPr>
          <w:rFonts w:ascii="Times New Roman" w:eastAsia="微软雅黑" w:hAnsi="Times New Roman" w:cs="Times New Roman"/>
          <w:color w:val="404040"/>
          <w:sz w:val="30"/>
          <w:szCs w:val="30"/>
          <w:bdr w:val="none" w:sz="0" w:space="0" w:color="auto" w:frame="1"/>
          <w:lang w:eastAsia="zh-CN"/>
        </w:rPr>
        <w:t>一级资本</w:t>
      </w:r>
      <w:r w:rsidRPr="00D8272E">
        <w:rPr>
          <w:rFonts w:ascii="仿宋_GB2312" w:eastAsia="仿宋_GB2312" w:hAnsi="微软雅黑" w:cs="宋体"/>
          <w:color w:val="404040"/>
          <w:sz w:val="30"/>
          <w:szCs w:val="30"/>
          <w:bdr w:val="none" w:sz="0" w:space="0" w:color="auto" w:frame="1"/>
          <w:lang w:eastAsia="zh-CN"/>
        </w:rPr>
        <w:t>净额和调整后的表内外资产余额</w:t>
      </w:r>
      <w:r w:rsidRPr="00D8272E">
        <w:rPr>
          <w:rFonts w:ascii="Times New Roman" w:eastAsia="微软雅黑" w:hAnsi="Times New Roman" w:cs="Times New Roman"/>
          <w:color w:val="404040"/>
          <w:sz w:val="30"/>
          <w:szCs w:val="30"/>
          <w:bdr w:val="none" w:sz="0" w:space="0" w:color="auto" w:frame="1"/>
          <w:lang w:eastAsia="zh-CN"/>
        </w:rPr>
        <w:t>等</w:t>
      </w:r>
      <w:r w:rsidRPr="00D8272E">
        <w:rPr>
          <w:rFonts w:ascii="仿宋_GB2312" w:eastAsia="仿宋_GB2312" w:hAnsi="微软雅黑" w:cs="宋体"/>
          <w:color w:val="404040"/>
          <w:sz w:val="30"/>
          <w:szCs w:val="30"/>
          <w:bdr w:val="none" w:sz="0" w:space="0" w:color="auto" w:frame="1"/>
          <w:lang w:eastAsia="zh-CN"/>
        </w:rPr>
        <w:t>杠杆率相关季末时点数据</w:t>
      </w:r>
      <w:r w:rsidRPr="00D8272E">
        <w:rPr>
          <w:rFonts w:ascii="Times New Roman" w:eastAsia="微软雅黑" w:hAnsi="Times New Roman" w:cs="Times New Roman"/>
          <w:color w:val="404040"/>
          <w:sz w:val="30"/>
          <w:szCs w:val="30"/>
          <w:bdr w:val="none" w:sz="0" w:space="0" w:color="auto" w:frame="1"/>
          <w:lang w:eastAsia="zh-CN"/>
        </w:rPr>
        <w:t>。</w:t>
      </w:r>
    </w:p>
    <w:p w14:paraId="79BE193A"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（二）在半年度和年度财务报告中</w:t>
      </w:r>
      <w:r w:rsidRPr="00D8272E">
        <w:rPr>
          <w:rFonts w:ascii="仿宋_GB2312" w:eastAsia="仿宋_GB2312" w:hAnsi="微软雅黑" w:cs="宋体"/>
          <w:color w:val="404040"/>
          <w:sz w:val="30"/>
          <w:szCs w:val="30"/>
          <w:bdr w:val="none" w:sz="0" w:space="0" w:color="auto" w:frame="1"/>
          <w:lang w:eastAsia="zh-CN"/>
        </w:rPr>
        <w:t>按照</w:t>
      </w:r>
      <w:r w:rsidRPr="00D8272E">
        <w:rPr>
          <w:rFonts w:ascii="Times New Roman" w:eastAsia="微软雅黑" w:hAnsi="Times New Roman" w:cs="Times New Roman"/>
          <w:color w:val="404040"/>
          <w:sz w:val="30"/>
          <w:szCs w:val="30"/>
          <w:bdr w:val="none" w:sz="0" w:space="0" w:color="auto" w:frame="1"/>
          <w:lang w:eastAsia="zh-CN"/>
        </w:rPr>
        <w:t>本附件模板一和模板二</w:t>
      </w:r>
      <w:r w:rsidRPr="00D8272E">
        <w:rPr>
          <w:rFonts w:ascii="仿宋_GB2312" w:eastAsia="仿宋_GB2312" w:hAnsi="微软雅黑" w:cs="宋体"/>
          <w:color w:val="404040"/>
          <w:sz w:val="30"/>
          <w:szCs w:val="30"/>
          <w:bdr w:val="none" w:sz="0" w:space="0" w:color="auto" w:frame="1"/>
          <w:lang w:eastAsia="zh-CN"/>
        </w:rPr>
        <w:t>披露杠杆率相关季末时点数据</w:t>
      </w:r>
      <w:r w:rsidRPr="00D8272E">
        <w:rPr>
          <w:rFonts w:ascii="Times New Roman" w:eastAsia="微软雅黑" w:hAnsi="Times New Roman" w:cs="Times New Roman"/>
          <w:color w:val="404040"/>
          <w:sz w:val="30"/>
          <w:szCs w:val="30"/>
          <w:bdr w:val="none" w:sz="0" w:space="0" w:color="auto" w:frame="1"/>
          <w:lang w:eastAsia="zh-CN"/>
        </w:rPr>
        <w:t>，或在半年度和年度财务报告中提供查阅上述信息的网址链接。</w:t>
      </w:r>
    </w:p>
    <w:p w14:paraId="0CDAC77A"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仿宋_GB2312" w:eastAsia="仿宋_GB2312" w:hAnsi="微软雅黑" w:cs="宋体"/>
          <w:color w:val="404040"/>
          <w:sz w:val="30"/>
          <w:szCs w:val="30"/>
          <w:bdr w:val="none" w:sz="0" w:space="0" w:color="auto" w:frame="1"/>
          <w:lang w:eastAsia="zh-CN"/>
        </w:rPr>
        <w:t>（三）</w:t>
      </w:r>
      <w:r w:rsidRPr="00D8272E">
        <w:rPr>
          <w:rFonts w:ascii="Times New Roman" w:eastAsia="微软雅黑" w:hAnsi="Times New Roman" w:cs="Times New Roman"/>
          <w:color w:val="404040"/>
          <w:sz w:val="30"/>
          <w:szCs w:val="30"/>
          <w:bdr w:val="none" w:sz="0" w:space="0" w:color="auto" w:frame="1"/>
          <w:lang w:eastAsia="zh-CN"/>
        </w:rPr>
        <w:t>对杠杆率的各期变化、影响杠杆率变化的主要因素、相关资产负债表项目与本办法规定的杠杆率</w:t>
      </w:r>
      <w:r w:rsidRPr="00D8272E">
        <w:rPr>
          <w:rFonts w:ascii="仿宋_GB2312" w:eastAsia="仿宋_GB2312" w:hAnsi="微软雅黑" w:cs="宋体"/>
          <w:color w:val="404040"/>
          <w:sz w:val="30"/>
          <w:szCs w:val="30"/>
          <w:bdr w:val="none" w:sz="0" w:space="0" w:color="auto" w:frame="1"/>
          <w:lang w:eastAsia="zh-CN"/>
        </w:rPr>
        <w:t>相关</w:t>
      </w:r>
      <w:r w:rsidRPr="00D8272E">
        <w:rPr>
          <w:rFonts w:ascii="Times New Roman" w:eastAsia="微软雅黑" w:hAnsi="Times New Roman" w:cs="Times New Roman"/>
          <w:color w:val="404040"/>
          <w:sz w:val="30"/>
          <w:szCs w:val="30"/>
          <w:bdr w:val="none" w:sz="0" w:space="0" w:color="auto" w:frame="1"/>
          <w:lang w:eastAsia="zh-CN"/>
        </w:rPr>
        <w:t>项目之间的差异等做出说明。</w:t>
      </w:r>
    </w:p>
    <w:p w14:paraId="40233B1C"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二、模板一</w:t>
      </w:r>
    </w:p>
    <w:p w14:paraId="229F65F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模板一披露与杠杆率监管项目对应的相关会计项目以及监管项目与会计项目的差异。</w:t>
      </w:r>
    </w:p>
    <w:p w14:paraId="5817381A"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w:t>
      </w:r>
      <w:r w:rsidRPr="00D8272E">
        <w:rPr>
          <w:rFonts w:ascii="Times New Roman" w:eastAsia="微软雅黑" w:hAnsi="Times New Roman" w:cs="Times New Roman"/>
          <w:color w:val="404040"/>
          <w:sz w:val="30"/>
          <w:szCs w:val="30"/>
          <w:bdr w:val="none" w:sz="0" w:space="0" w:color="auto" w:frame="1"/>
          <w:lang w:eastAsia="zh-CN"/>
        </w:rPr>
        <w:t> </w:t>
      </w:r>
      <w:r w:rsidRPr="00D8272E">
        <w:rPr>
          <w:rFonts w:ascii="Times New Roman" w:eastAsia="微软雅黑" w:hAnsi="Times New Roman" w:cs="Times New Roman"/>
          <w:color w:val="404040"/>
          <w:sz w:val="30"/>
          <w:szCs w:val="30"/>
          <w:bdr w:val="none" w:sz="0" w:space="0" w:color="auto" w:frame="1"/>
          <w:lang w:eastAsia="zh-CN"/>
        </w:rPr>
        <w:t>模板一如下表所示：</w:t>
      </w:r>
    </w:p>
    <w:p w14:paraId="0DD01DF5"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                </w:t>
      </w:r>
    </w:p>
    <w:tbl>
      <w:tblPr>
        <w:tblW w:w="0" w:type="auto"/>
        <w:jc w:val="center"/>
        <w:tblCellMar>
          <w:left w:w="0" w:type="dxa"/>
          <w:right w:w="0" w:type="dxa"/>
        </w:tblCellMar>
        <w:tblLook w:val="04A0" w:firstRow="1" w:lastRow="0" w:firstColumn="1" w:lastColumn="0" w:noHBand="0" w:noVBand="1"/>
      </w:tblPr>
      <w:tblGrid>
        <w:gridCol w:w="977"/>
        <w:gridCol w:w="4603"/>
        <w:gridCol w:w="2160"/>
      </w:tblGrid>
      <w:tr w:rsidR="00D8272E" w:rsidRPr="00D8272E" w14:paraId="54209036" w14:textId="77777777">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0419F1AF"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序号</w:t>
            </w:r>
          </w:p>
        </w:tc>
        <w:tc>
          <w:tcPr>
            <w:tcW w:w="4603" w:type="dxa"/>
            <w:tcBorders>
              <w:top w:val="single" w:sz="4" w:space="0" w:color="auto"/>
              <w:left w:val="nil"/>
              <w:bottom w:val="single" w:sz="4" w:space="0" w:color="auto"/>
              <w:right w:val="single" w:sz="4" w:space="0" w:color="auto"/>
            </w:tcBorders>
            <w:hideMark/>
          </w:tcPr>
          <w:p w14:paraId="72598A75"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项目</w:t>
            </w:r>
          </w:p>
        </w:tc>
        <w:tc>
          <w:tcPr>
            <w:tcW w:w="2160" w:type="dxa"/>
            <w:tcBorders>
              <w:top w:val="single" w:sz="4" w:space="0" w:color="auto"/>
              <w:left w:val="nil"/>
              <w:bottom w:val="single" w:sz="4" w:space="0" w:color="auto"/>
              <w:right w:val="single" w:sz="4" w:space="0" w:color="auto"/>
            </w:tcBorders>
            <w:hideMark/>
          </w:tcPr>
          <w:p w14:paraId="70219A1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余额</w:t>
            </w:r>
          </w:p>
        </w:tc>
      </w:tr>
      <w:tr w:rsidR="00D8272E" w:rsidRPr="00D8272E" w14:paraId="23291B48" w14:textId="77777777">
        <w:trPr>
          <w:jc w:val="center"/>
        </w:trPr>
        <w:tc>
          <w:tcPr>
            <w:tcW w:w="977" w:type="dxa"/>
            <w:tcBorders>
              <w:top w:val="nil"/>
              <w:left w:val="single" w:sz="4" w:space="0" w:color="auto"/>
              <w:bottom w:val="single" w:sz="4" w:space="0" w:color="auto"/>
              <w:right w:val="single" w:sz="4" w:space="0" w:color="auto"/>
            </w:tcBorders>
            <w:hideMark/>
          </w:tcPr>
          <w:p w14:paraId="0049423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p>
        </w:tc>
        <w:tc>
          <w:tcPr>
            <w:tcW w:w="4603" w:type="dxa"/>
            <w:tcBorders>
              <w:top w:val="nil"/>
              <w:left w:val="nil"/>
              <w:bottom w:val="single" w:sz="4" w:space="0" w:color="auto"/>
              <w:right w:val="single" w:sz="4" w:space="0" w:color="auto"/>
            </w:tcBorders>
            <w:hideMark/>
          </w:tcPr>
          <w:p w14:paraId="157DB5E3"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color w:val="000000"/>
                <w:sz w:val="24"/>
                <w:szCs w:val="24"/>
                <w:bdr w:val="none" w:sz="0" w:space="0" w:color="auto" w:frame="1"/>
                <w:lang w:eastAsia="zh-CN"/>
              </w:rPr>
              <w:t>并表总资产</w:t>
            </w:r>
          </w:p>
        </w:tc>
        <w:tc>
          <w:tcPr>
            <w:tcW w:w="2160" w:type="dxa"/>
            <w:tcBorders>
              <w:top w:val="nil"/>
              <w:left w:val="nil"/>
              <w:bottom w:val="single" w:sz="4" w:space="0" w:color="auto"/>
              <w:right w:val="single" w:sz="4" w:space="0" w:color="auto"/>
            </w:tcBorders>
            <w:hideMark/>
          </w:tcPr>
          <w:p w14:paraId="12B775A6"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33CD53B7" w14:textId="77777777">
        <w:trPr>
          <w:jc w:val="center"/>
        </w:trPr>
        <w:tc>
          <w:tcPr>
            <w:tcW w:w="977" w:type="dxa"/>
            <w:tcBorders>
              <w:top w:val="nil"/>
              <w:left w:val="single" w:sz="4" w:space="0" w:color="auto"/>
              <w:bottom w:val="single" w:sz="4" w:space="0" w:color="auto"/>
              <w:right w:val="single" w:sz="4" w:space="0" w:color="auto"/>
            </w:tcBorders>
            <w:hideMark/>
          </w:tcPr>
          <w:p w14:paraId="7B086B1B"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p>
        </w:tc>
        <w:tc>
          <w:tcPr>
            <w:tcW w:w="4603" w:type="dxa"/>
            <w:tcBorders>
              <w:top w:val="nil"/>
              <w:left w:val="nil"/>
              <w:bottom w:val="single" w:sz="4" w:space="0" w:color="auto"/>
              <w:right w:val="single" w:sz="4" w:space="0" w:color="auto"/>
            </w:tcBorders>
            <w:hideMark/>
          </w:tcPr>
          <w:p w14:paraId="0D01E7F1"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color w:val="000000"/>
                <w:sz w:val="24"/>
                <w:szCs w:val="24"/>
                <w:bdr w:val="none" w:sz="0" w:space="0" w:color="auto" w:frame="1"/>
                <w:lang w:eastAsia="zh-CN"/>
              </w:rPr>
              <w:t>并表调整项</w:t>
            </w:r>
          </w:p>
        </w:tc>
        <w:tc>
          <w:tcPr>
            <w:tcW w:w="2160" w:type="dxa"/>
            <w:tcBorders>
              <w:top w:val="nil"/>
              <w:left w:val="nil"/>
              <w:bottom w:val="single" w:sz="4" w:space="0" w:color="auto"/>
              <w:right w:val="single" w:sz="4" w:space="0" w:color="auto"/>
            </w:tcBorders>
            <w:hideMark/>
          </w:tcPr>
          <w:p w14:paraId="1D2BC911"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4631A535" w14:textId="77777777">
        <w:trPr>
          <w:jc w:val="center"/>
        </w:trPr>
        <w:tc>
          <w:tcPr>
            <w:tcW w:w="977" w:type="dxa"/>
            <w:tcBorders>
              <w:top w:val="nil"/>
              <w:left w:val="single" w:sz="4" w:space="0" w:color="auto"/>
              <w:bottom w:val="single" w:sz="4" w:space="0" w:color="auto"/>
              <w:right w:val="single" w:sz="4" w:space="0" w:color="auto"/>
            </w:tcBorders>
            <w:hideMark/>
          </w:tcPr>
          <w:p w14:paraId="67115258"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lastRenderedPageBreak/>
              <w:t>3</w:t>
            </w:r>
          </w:p>
        </w:tc>
        <w:tc>
          <w:tcPr>
            <w:tcW w:w="4603" w:type="dxa"/>
            <w:tcBorders>
              <w:top w:val="nil"/>
              <w:left w:val="nil"/>
              <w:bottom w:val="single" w:sz="4" w:space="0" w:color="auto"/>
              <w:right w:val="single" w:sz="4" w:space="0" w:color="auto"/>
            </w:tcBorders>
            <w:hideMark/>
          </w:tcPr>
          <w:p w14:paraId="1E90E305"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仿宋_GB2312" w:eastAsia="仿宋_GB2312" w:hAnsi="宋体" w:cs="宋体"/>
                <w:color w:val="000000"/>
                <w:sz w:val="24"/>
                <w:szCs w:val="24"/>
                <w:bdr w:val="none" w:sz="0" w:space="0" w:color="auto" w:frame="1"/>
                <w:lang w:eastAsia="zh-CN"/>
              </w:rPr>
              <w:t>客户</w:t>
            </w:r>
            <w:r w:rsidRPr="00D8272E">
              <w:rPr>
                <w:rFonts w:ascii="Times New Roman" w:eastAsia="宋体" w:hAnsi="Times New Roman" w:cs="Times New Roman"/>
                <w:color w:val="000000"/>
                <w:sz w:val="24"/>
                <w:szCs w:val="24"/>
                <w:bdr w:val="none" w:sz="0" w:space="0" w:color="auto" w:frame="1"/>
                <w:lang w:eastAsia="zh-CN"/>
              </w:rPr>
              <w:t>资产调整项</w:t>
            </w:r>
          </w:p>
        </w:tc>
        <w:tc>
          <w:tcPr>
            <w:tcW w:w="2160" w:type="dxa"/>
            <w:tcBorders>
              <w:top w:val="nil"/>
              <w:left w:val="nil"/>
              <w:bottom w:val="single" w:sz="4" w:space="0" w:color="auto"/>
              <w:right w:val="single" w:sz="4" w:space="0" w:color="auto"/>
            </w:tcBorders>
            <w:hideMark/>
          </w:tcPr>
          <w:p w14:paraId="3762039E"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6C0F46D0" w14:textId="77777777">
        <w:trPr>
          <w:jc w:val="center"/>
        </w:trPr>
        <w:tc>
          <w:tcPr>
            <w:tcW w:w="977" w:type="dxa"/>
            <w:tcBorders>
              <w:top w:val="nil"/>
              <w:left w:val="single" w:sz="4" w:space="0" w:color="auto"/>
              <w:bottom w:val="single" w:sz="4" w:space="0" w:color="auto"/>
              <w:right w:val="single" w:sz="4" w:space="0" w:color="auto"/>
            </w:tcBorders>
            <w:hideMark/>
          </w:tcPr>
          <w:p w14:paraId="799BAFCD"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4</w:t>
            </w:r>
          </w:p>
        </w:tc>
        <w:tc>
          <w:tcPr>
            <w:tcW w:w="4603" w:type="dxa"/>
            <w:tcBorders>
              <w:top w:val="nil"/>
              <w:left w:val="nil"/>
              <w:bottom w:val="single" w:sz="4" w:space="0" w:color="auto"/>
              <w:right w:val="single" w:sz="4" w:space="0" w:color="auto"/>
            </w:tcBorders>
            <w:hideMark/>
          </w:tcPr>
          <w:p w14:paraId="64B44B99"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color w:val="000000"/>
                <w:sz w:val="24"/>
                <w:szCs w:val="24"/>
                <w:bdr w:val="none" w:sz="0" w:space="0" w:color="auto" w:frame="1"/>
                <w:lang w:eastAsia="zh-CN"/>
              </w:rPr>
              <w:t>衍生产品调整项</w:t>
            </w:r>
          </w:p>
        </w:tc>
        <w:tc>
          <w:tcPr>
            <w:tcW w:w="2160" w:type="dxa"/>
            <w:tcBorders>
              <w:top w:val="nil"/>
              <w:left w:val="nil"/>
              <w:bottom w:val="single" w:sz="4" w:space="0" w:color="auto"/>
              <w:right w:val="single" w:sz="4" w:space="0" w:color="auto"/>
            </w:tcBorders>
            <w:hideMark/>
          </w:tcPr>
          <w:p w14:paraId="73C51DA5"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1EFDA5E1" w14:textId="77777777">
        <w:trPr>
          <w:jc w:val="center"/>
        </w:trPr>
        <w:tc>
          <w:tcPr>
            <w:tcW w:w="977" w:type="dxa"/>
            <w:tcBorders>
              <w:top w:val="nil"/>
              <w:left w:val="single" w:sz="4" w:space="0" w:color="auto"/>
              <w:bottom w:val="single" w:sz="4" w:space="0" w:color="auto"/>
              <w:right w:val="single" w:sz="4" w:space="0" w:color="auto"/>
            </w:tcBorders>
            <w:hideMark/>
          </w:tcPr>
          <w:p w14:paraId="211C8DC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5</w:t>
            </w:r>
          </w:p>
        </w:tc>
        <w:tc>
          <w:tcPr>
            <w:tcW w:w="4603" w:type="dxa"/>
            <w:tcBorders>
              <w:top w:val="nil"/>
              <w:left w:val="nil"/>
              <w:bottom w:val="single" w:sz="4" w:space="0" w:color="auto"/>
              <w:right w:val="single" w:sz="4" w:space="0" w:color="auto"/>
            </w:tcBorders>
            <w:hideMark/>
          </w:tcPr>
          <w:p w14:paraId="5F77DAA4"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color w:val="000000"/>
                <w:sz w:val="24"/>
                <w:szCs w:val="24"/>
                <w:bdr w:val="none" w:sz="0" w:space="0" w:color="auto" w:frame="1"/>
                <w:lang w:eastAsia="zh-CN"/>
              </w:rPr>
              <w:t>证券融资交易调整项</w:t>
            </w:r>
          </w:p>
        </w:tc>
        <w:tc>
          <w:tcPr>
            <w:tcW w:w="2160" w:type="dxa"/>
            <w:tcBorders>
              <w:top w:val="nil"/>
              <w:left w:val="nil"/>
              <w:bottom w:val="single" w:sz="4" w:space="0" w:color="auto"/>
              <w:right w:val="single" w:sz="4" w:space="0" w:color="auto"/>
            </w:tcBorders>
            <w:hideMark/>
          </w:tcPr>
          <w:p w14:paraId="140BAD22"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3C04F2F1" w14:textId="77777777">
        <w:trPr>
          <w:jc w:val="center"/>
        </w:trPr>
        <w:tc>
          <w:tcPr>
            <w:tcW w:w="977" w:type="dxa"/>
            <w:tcBorders>
              <w:top w:val="nil"/>
              <w:left w:val="single" w:sz="4" w:space="0" w:color="auto"/>
              <w:bottom w:val="single" w:sz="4" w:space="0" w:color="auto"/>
              <w:right w:val="single" w:sz="4" w:space="0" w:color="auto"/>
            </w:tcBorders>
            <w:hideMark/>
          </w:tcPr>
          <w:p w14:paraId="03D168E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6</w:t>
            </w:r>
          </w:p>
        </w:tc>
        <w:tc>
          <w:tcPr>
            <w:tcW w:w="4603" w:type="dxa"/>
            <w:tcBorders>
              <w:top w:val="nil"/>
              <w:left w:val="nil"/>
              <w:bottom w:val="single" w:sz="4" w:space="0" w:color="auto"/>
              <w:right w:val="single" w:sz="4" w:space="0" w:color="auto"/>
            </w:tcBorders>
            <w:hideMark/>
          </w:tcPr>
          <w:p w14:paraId="13B145CD"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表外项目调整项</w:t>
            </w:r>
          </w:p>
        </w:tc>
        <w:tc>
          <w:tcPr>
            <w:tcW w:w="2160" w:type="dxa"/>
            <w:tcBorders>
              <w:top w:val="nil"/>
              <w:left w:val="nil"/>
              <w:bottom w:val="single" w:sz="4" w:space="0" w:color="auto"/>
              <w:right w:val="single" w:sz="4" w:space="0" w:color="auto"/>
            </w:tcBorders>
            <w:hideMark/>
          </w:tcPr>
          <w:p w14:paraId="12CF7695"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3D6ADEEC" w14:textId="77777777">
        <w:trPr>
          <w:jc w:val="center"/>
        </w:trPr>
        <w:tc>
          <w:tcPr>
            <w:tcW w:w="977" w:type="dxa"/>
            <w:tcBorders>
              <w:top w:val="nil"/>
              <w:left w:val="single" w:sz="4" w:space="0" w:color="auto"/>
              <w:bottom w:val="single" w:sz="4" w:space="0" w:color="auto"/>
              <w:right w:val="single" w:sz="4" w:space="0" w:color="auto"/>
            </w:tcBorders>
            <w:hideMark/>
          </w:tcPr>
          <w:p w14:paraId="24E8E5F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7</w:t>
            </w:r>
          </w:p>
        </w:tc>
        <w:tc>
          <w:tcPr>
            <w:tcW w:w="4603" w:type="dxa"/>
            <w:tcBorders>
              <w:top w:val="nil"/>
              <w:left w:val="nil"/>
              <w:bottom w:val="single" w:sz="4" w:space="0" w:color="auto"/>
              <w:right w:val="single" w:sz="4" w:space="0" w:color="auto"/>
            </w:tcBorders>
            <w:hideMark/>
          </w:tcPr>
          <w:p w14:paraId="15CAE31D"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其他调整项</w:t>
            </w:r>
          </w:p>
        </w:tc>
        <w:tc>
          <w:tcPr>
            <w:tcW w:w="2160" w:type="dxa"/>
            <w:tcBorders>
              <w:top w:val="nil"/>
              <w:left w:val="nil"/>
              <w:bottom w:val="single" w:sz="4" w:space="0" w:color="auto"/>
              <w:right w:val="single" w:sz="4" w:space="0" w:color="auto"/>
            </w:tcBorders>
            <w:hideMark/>
          </w:tcPr>
          <w:p w14:paraId="237793B9"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5754BAEB" w14:textId="77777777">
        <w:trPr>
          <w:jc w:val="center"/>
        </w:trPr>
        <w:tc>
          <w:tcPr>
            <w:tcW w:w="977" w:type="dxa"/>
            <w:tcBorders>
              <w:top w:val="nil"/>
              <w:left w:val="single" w:sz="4" w:space="0" w:color="auto"/>
              <w:bottom w:val="single" w:sz="4" w:space="0" w:color="auto"/>
              <w:right w:val="single" w:sz="4" w:space="0" w:color="auto"/>
            </w:tcBorders>
            <w:hideMark/>
          </w:tcPr>
          <w:p w14:paraId="47F6DED9"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8</w:t>
            </w:r>
          </w:p>
        </w:tc>
        <w:tc>
          <w:tcPr>
            <w:tcW w:w="4603" w:type="dxa"/>
            <w:tcBorders>
              <w:top w:val="nil"/>
              <w:left w:val="nil"/>
              <w:bottom w:val="single" w:sz="4" w:space="0" w:color="auto"/>
              <w:right w:val="single" w:sz="4" w:space="0" w:color="auto"/>
            </w:tcBorders>
            <w:hideMark/>
          </w:tcPr>
          <w:p w14:paraId="64CFFFE0"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调整后的表内外资产余额</w:t>
            </w:r>
          </w:p>
        </w:tc>
        <w:tc>
          <w:tcPr>
            <w:tcW w:w="2160" w:type="dxa"/>
            <w:tcBorders>
              <w:top w:val="nil"/>
              <w:left w:val="nil"/>
              <w:bottom w:val="single" w:sz="4" w:space="0" w:color="auto"/>
              <w:right w:val="single" w:sz="4" w:space="0" w:color="auto"/>
            </w:tcBorders>
            <w:shd w:val="clear" w:color="auto" w:fill="C0C0C0"/>
            <w:hideMark/>
          </w:tcPr>
          <w:p w14:paraId="1A981470" w14:textId="77777777" w:rsidR="00D8272E" w:rsidRPr="00D8272E" w:rsidRDefault="00D8272E" w:rsidP="00D8272E">
            <w:pPr>
              <w:spacing w:after="0" w:line="240" w:lineRule="auto"/>
              <w:rPr>
                <w:rFonts w:ascii="宋体" w:eastAsia="宋体" w:hAnsi="宋体" w:cs="宋体"/>
                <w:sz w:val="24"/>
                <w:szCs w:val="24"/>
                <w:lang w:eastAsia="zh-CN"/>
              </w:rPr>
            </w:pPr>
          </w:p>
        </w:tc>
      </w:tr>
    </w:tbl>
    <w:p w14:paraId="6893A5FB"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注：空白部分为填报区域，阴影部分为自动计算区域。</w:t>
      </w:r>
    </w:p>
    <w:p w14:paraId="03537B82"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（二）模板一中各项目定义如下：</w:t>
      </w:r>
    </w:p>
    <w:tbl>
      <w:tblPr>
        <w:tblW w:w="0" w:type="auto"/>
        <w:tblInd w:w="288" w:type="dxa"/>
        <w:tblCellMar>
          <w:left w:w="0" w:type="dxa"/>
          <w:right w:w="0" w:type="dxa"/>
        </w:tblCellMar>
        <w:tblLook w:val="04A0" w:firstRow="1" w:lastRow="0" w:firstColumn="1" w:lastColumn="0" w:noHBand="0" w:noVBand="1"/>
      </w:tblPr>
      <w:tblGrid>
        <w:gridCol w:w="900"/>
        <w:gridCol w:w="7200"/>
      </w:tblGrid>
      <w:tr w:rsidR="00D8272E" w:rsidRPr="00D8272E" w14:paraId="6E867F70" w14:textId="77777777">
        <w:tc>
          <w:tcPr>
            <w:tcW w:w="900" w:type="dxa"/>
            <w:tcBorders>
              <w:top w:val="single" w:sz="4" w:space="0" w:color="000000"/>
              <w:left w:val="single" w:sz="4" w:space="0" w:color="000000"/>
              <w:bottom w:val="single" w:sz="4" w:space="0" w:color="000000"/>
              <w:right w:val="single" w:sz="4" w:space="0" w:color="000000"/>
            </w:tcBorders>
            <w:hideMark/>
          </w:tcPr>
          <w:p w14:paraId="34B5DE3A"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序号</w:t>
            </w:r>
          </w:p>
        </w:tc>
        <w:tc>
          <w:tcPr>
            <w:tcW w:w="7200" w:type="dxa"/>
            <w:tcBorders>
              <w:top w:val="single" w:sz="4" w:space="0" w:color="auto"/>
              <w:left w:val="nil"/>
              <w:bottom w:val="single" w:sz="4" w:space="0" w:color="auto"/>
              <w:right w:val="single" w:sz="4" w:space="0" w:color="auto"/>
            </w:tcBorders>
            <w:hideMark/>
          </w:tcPr>
          <w:p w14:paraId="401B3329"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填报说明</w:t>
            </w:r>
          </w:p>
        </w:tc>
      </w:tr>
      <w:tr w:rsidR="00D8272E" w:rsidRPr="00D8272E" w14:paraId="0C32673E" w14:textId="77777777">
        <w:tc>
          <w:tcPr>
            <w:tcW w:w="900" w:type="dxa"/>
            <w:tcBorders>
              <w:top w:val="nil"/>
              <w:left w:val="single" w:sz="4" w:space="0" w:color="auto"/>
              <w:bottom w:val="single" w:sz="4" w:space="0" w:color="auto"/>
              <w:right w:val="single" w:sz="4" w:space="0" w:color="auto"/>
            </w:tcBorders>
            <w:vAlign w:val="center"/>
            <w:hideMark/>
          </w:tcPr>
          <w:p w14:paraId="38D3D9D5"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p>
        </w:tc>
        <w:tc>
          <w:tcPr>
            <w:tcW w:w="7200" w:type="dxa"/>
            <w:tcBorders>
              <w:top w:val="nil"/>
              <w:left w:val="nil"/>
              <w:bottom w:val="single" w:sz="4" w:space="0" w:color="auto"/>
              <w:right w:val="single" w:sz="4" w:space="0" w:color="auto"/>
            </w:tcBorders>
            <w:hideMark/>
          </w:tcPr>
          <w:p w14:paraId="32589AAB"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并表总资产是指按照财务会计准则计算的并表总资产。</w:t>
            </w:r>
          </w:p>
        </w:tc>
      </w:tr>
      <w:tr w:rsidR="00D8272E" w:rsidRPr="00D8272E" w14:paraId="2B7BCAA2" w14:textId="77777777">
        <w:tc>
          <w:tcPr>
            <w:tcW w:w="900" w:type="dxa"/>
            <w:tcBorders>
              <w:top w:val="nil"/>
              <w:left w:val="single" w:sz="4" w:space="0" w:color="auto"/>
              <w:bottom w:val="single" w:sz="4" w:space="0" w:color="auto"/>
              <w:right w:val="single" w:sz="4" w:space="0" w:color="auto"/>
            </w:tcBorders>
            <w:vAlign w:val="center"/>
            <w:hideMark/>
          </w:tcPr>
          <w:p w14:paraId="04AF7631"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p>
        </w:tc>
        <w:tc>
          <w:tcPr>
            <w:tcW w:w="7200" w:type="dxa"/>
            <w:tcBorders>
              <w:top w:val="nil"/>
              <w:left w:val="nil"/>
              <w:bottom w:val="single" w:sz="4" w:space="0" w:color="auto"/>
              <w:right w:val="single" w:sz="4" w:space="0" w:color="auto"/>
            </w:tcBorders>
            <w:hideMark/>
          </w:tcPr>
          <w:p w14:paraId="5A55DFE9"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并表调整项是指在监管并表范围外，但在会计并表范围内的商业银行对金融机构或企业的投资。</w:t>
            </w:r>
          </w:p>
        </w:tc>
      </w:tr>
      <w:tr w:rsidR="00D8272E" w:rsidRPr="00D8272E" w14:paraId="292A298A" w14:textId="77777777">
        <w:tc>
          <w:tcPr>
            <w:tcW w:w="900" w:type="dxa"/>
            <w:tcBorders>
              <w:top w:val="nil"/>
              <w:left w:val="single" w:sz="4" w:space="0" w:color="auto"/>
              <w:bottom w:val="single" w:sz="4" w:space="0" w:color="auto"/>
              <w:right w:val="single" w:sz="4" w:space="0" w:color="auto"/>
            </w:tcBorders>
            <w:vAlign w:val="center"/>
            <w:hideMark/>
          </w:tcPr>
          <w:p w14:paraId="47196C49"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3</w:t>
            </w:r>
          </w:p>
        </w:tc>
        <w:tc>
          <w:tcPr>
            <w:tcW w:w="7200" w:type="dxa"/>
            <w:tcBorders>
              <w:top w:val="nil"/>
              <w:left w:val="nil"/>
              <w:bottom w:val="single" w:sz="4" w:space="0" w:color="auto"/>
              <w:right w:val="single" w:sz="4" w:space="0" w:color="auto"/>
            </w:tcBorders>
            <w:hideMark/>
          </w:tcPr>
          <w:p w14:paraId="355C18A4"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客户资产调整项是指客户委托商业银行代为管理的资产，如按照当地财务会计准则应当计入商业银行资产负债表，但按照国际会计准则不计入银行资产负债表的，在计算调整后的表内资产余额时，可将相关资产扣除。</w:t>
            </w:r>
          </w:p>
        </w:tc>
      </w:tr>
      <w:tr w:rsidR="00D8272E" w:rsidRPr="00D8272E" w14:paraId="21D1C9D8" w14:textId="77777777">
        <w:tc>
          <w:tcPr>
            <w:tcW w:w="900" w:type="dxa"/>
            <w:tcBorders>
              <w:top w:val="nil"/>
              <w:left w:val="single" w:sz="4" w:space="0" w:color="auto"/>
              <w:bottom w:val="single" w:sz="4" w:space="0" w:color="auto"/>
              <w:right w:val="single" w:sz="4" w:space="0" w:color="auto"/>
            </w:tcBorders>
            <w:vAlign w:val="center"/>
            <w:hideMark/>
          </w:tcPr>
          <w:p w14:paraId="5188646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4</w:t>
            </w:r>
          </w:p>
        </w:tc>
        <w:tc>
          <w:tcPr>
            <w:tcW w:w="7200" w:type="dxa"/>
            <w:tcBorders>
              <w:top w:val="nil"/>
              <w:left w:val="nil"/>
              <w:bottom w:val="single" w:sz="4" w:space="0" w:color="auto"/>
              <w:right w:val="single" w:sz="4" w:space="0" w:color="auto"/>
            </w:tcBorders>
            <w:hideMark/>
          </w:tcPr>
          <w:p w14:paraId="7881ACDE"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衍生产品调整项是指按本办法计算的衍生产品</w:t>
            </w:r>
            <w:r w:rsidRPr="00D8272E">
              <w:rPr>
                <w:rFonts w:ascii="仿宋_GB2312" w:eastAsia="仿宋_GB2312" w:hAnsi="宋体" w:cs="宋体"/>
                <w:sz w:val="24"/>
                <w:szCs w:val="24"/>
                <w:bdr w:val="none" w:sz="0" w:space="0" w:color="auto" w:frame="1"/>
                <w:lang w:eastAsia="zh-CN"/>
              </w:rPr>
              <w:t>资产</w:t>
            </w:r>
            <w:r w:rsidRPr="00D8272E">
              <w:rPr>
                <w:rFonts w:ascii="Times New Roman" w:eastAsia="宋体" w:hAnsi="Times New Roman" w:cs="Times New Roman"/>
                <w:sz w:val="24"/>
                <w:szCs w:val="24"/>
                <w:bdr w:val="none" w:sz="0" w:space="0" w:color="auto" w:frame="1"/>
                <w:lang w:eastAsia="zh-CN"/>
              </w:rPr>
              <w:t>余额与计入资产负债表的衍生金融资产余额的差额。</w:t>
            </w:r>
          </w:p>
        </w:tc>
      </w:tr>
      <w:tr w:rsidR="00D8272E" w:rsidRPr="00D8272E" w14:paraId="03AA5216" w14:textId="77777777">
        <w:tc>
          <w:tcPr>
            <w:tcW w:w="900" w:type="dxa"/>
            <w:tcBorders>
              <w:top w:val="nil"/>
              <w:left w:val="single" w:sz="4" w:space="0" w:color="auto"/>
              <w:bottom w:val="single" w:sz="4" w:space="0" w:color="auto"/>
              <w:right w:val="single" w:sz="4" w:space="0" w:color="auto"/>
            </w:tcBorders>
            <w:vAlign w:val="center"/>
            <w:hideMark/>
          </w:tcPr>
          <w:p w14:paraId="08392D6D"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5</w:t>
            </w:r>
          </w:p>
        </w:tc>
        <w:tc>
          <w:tcPr>
            <w:tcW w:w="7200" w:type="dxa"/>
            <w:tcBorders>
              <w:top w:val="nil"/>
              <w:left w:val="nil"/>
              <w:bottom w:val="single" w:sz="4" w:space="0" w:color="auto"/>
              <w:right w:val="single" w:sz="4" w:space="0" w:color="auto"/>
            </w:tcBorders>
            <w:hideMark/>
          </w:tcPr>
          <w:p w14:paraId="14906CCB"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证券融资交易调整项是指按本办法计算的证券融资交易资产余额与计入资产负债表的证券融资交易资产余额的差额。</w:t>
            </w:r>
          </w:p>
        </w:tc>
      </w:tr>
      <w:tr w:rsidR="00D8272E" w:rsidRPr="00D8272E" w14:paraId="496252FA" w14:textId="77777777">
        <w:tc>
          <w:tcPr>
            <w:tcW w:w="900" w:type="dxa"/>
            <w:tcBorders>
              <w:top w:val="nil"/>
              <w:left w:val="single" w:sz="4" w:space="0" w:color="auto"/>
              <w:bottom w:val="single" w:sz="4" w:space="0" w:color="auto"/>
              <w:right w:val="single" w:sz="4" w:space="0" w:color="auto"/>
            </w:tcBorders>
            <w:vAlign w:val="center"/>
            <w:hideMark/>
          </w:tcPr>
          <w:p w14:paraId="381BBB28"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6</w:t>
            </w:r>
          </w:p>
        </w:tc>
        <w:tc>
          <w:tcPr>
            <w:tcW w:w="7200" w:type="dxa"/>
            <w:tcBorders>
              <w:top w:val="nil"/>
              <w:left w:val="nil"/>
              <w:bottom w:val="single" w:sz="4" w:space="0" w:color="auto"/>
              <w:right w:val="single" w:sz="4" w:space="0" w:color="auto"/>
            </w:tcBorders>
            <w:hideMark/>
          </w:tcPr>
          <w:p w14:paraId="1AE7CAF8"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表外项目调整项是指按本办法计算的信用转换后的表外项目余额。</w:t>
            </w:r>
          </w:p>
        </w:tc>
      </w:tr>
      <w:tr w:rsidR="00D8272E" w:rsidRPr="00D8272E" w14:paraId="1A4DADF9" w14:textId="77777777">
        <w:tc>
          <w:tcPr>
            <w:tcW w:w="900" w:type="dxa"/>
            <w:tcBorders>
              <w:top w:val="nil"/>
              <w:left w:val="single" w:sz="4" w:space="0" w:color="auto"/>
              <w:bottom w:val="single" w:sz="4" w:space="0" w:color="auto"/>
              <w:right w:val="single" w:sz="4" w:space="0" w:color="auto"/>
            </w:tcBorders>
            <w:vAlign w:val="center"/>
            <w:hideMark/>
          </w:tcPr>
          <w:p w14:paraId="5C16143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7</w:t>
            </w:r>
          </w:p>
        </w:tc>
        <w:tc>
          <w:tcPr>
            <w:tcW w:w="7200" w:type="dxa"/>
            <w:tcBorders>
              <w:top w:val="nil"/>
              <w:left w:val="nil"/>
              <w:bottom w:val="single" w:sz="4" w:space="0" w:color="auto"/>
              <w:right w:val="single" w:sz="4" w:space="0" w:color="auto"/>
            </w:tcBorders>
            <w:hideMark/>
          </w:tcPr>
          <w:p w14:paraId="56126230"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其他调整项是指除上述调整项之外的其他调整项。</w:t>
            </w:r>
          </w:p>
        </w:tc>
      </w:tr>
      <w:tr w:rsidR="00D8272E" w:rsidRPr="00D8272E" w14:paraId="0EEA4583" w14:textId="77777777">
        <w:tc>
          <w:tcPr>
            <w:tcW w:w="900" w:type="dxa"/>
            <w:tcBorders>
              <w:top w:val="nil"/>
              <w:left w:val="single" w:sz="4" w:space="0" w:color="auto"/>
              <w:bottom w:val="single" w:sz="4" w:space="0" w:color="auto"/>
              <w:right w:val="single" w:sz="4" w:space="0" w:color="auto"/>
            </w:tcBorders>
            <w:vAlign w:val="center"/>
            <w:hideMark/>
          </w:tcPr>
          <w:p w14:paraId="3117D77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8</w:t>
            </w:r>
          </w:p>
        </w:tc>
        <w:tc>
          <w:tcPr>
            <w:tcW w:w="7200" w:type="dxa"/>
            <w:tcBorders>
              <w:top w:val="nil"/>
              <w:left w:val="nil"/>
              <w:bottom w:val="single" w:sz="4" w:space="0" w:color="auto"/>
              <w:right w:val="single" w:sz="4" w:space="0" w:color="auto"/>
            </w:tcBorders>
            <w:hideMark/>
          </w:tcPr>
          <w:p w14:paraId="7AB1B7EF"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调整后表内外资产余额是指按照本办法计算的，作为杠杆率分母的调整后的表内外资产余额。</w:t>
            </w:r>
          </w:p>
        </w:tc>
      </w:tr>
    </w:tbl>
    <w:p w14:paraId="4C796577"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三、模板二</w:t>
      </w:r>
    </w:p>
    <w:p w14:paraId="68366CE1"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模板二披露杠杆率</w:t>
      </w:r>
      <w:r w:rsidRPr="00D8272E">
        <w:rPr>
          <w:rFonts w:ascii="仿宋_GB2312" w:eastAsia="仿宋_GB2312" w:hAnsi="微软雅黑" w:cs="宋体"/>
          <w:color w:val="404040"/>
          <w:sz w:val="30"/>
          <w:szCs w:val="30"/>
          <w:bdr w:val="none" w:sz="0" w:space="0" w:color="auto" w:frame="1"/>
          <w:lang w:eastAsia="zh-CN"/>
        </w:rPr>
        <w:t>水平</w:t>
      </w:r>
      <w:r w:rsidRPr="00D8272E">
        <w:rPr>
          <w:rFonts w:ascii="Times New Roman" w:eastAsia="微软雅黑" w:hAnsi="Times New Roman" w:cs="Times New Roman"/>
          <w:color w:val="404040"/>
          <w:sz w:val="30"/>
          <w:szCs w:val="30"/>
          <w:bdr w:val="none" w:sz="0" w:space="0" w:color="auto" w:frame="1"/>
          <w:lang w:eastAsia="zh-CN"/>
        </w:rPr>
        <w:t>、</w:t>
      </w:r>
      <w:r w:rsidRPr="00D8272E">
        <w:rPr>
          <w:rFonts w:ascii="仿宋_GB2312" w:eastAsia="仿宋_GB2312" w:hAnsi="微软雅黑" w:cs="宋体"/>
          <w:color w:val="404040"/>
          <w:sz w:val="30"/>
          <w:szCs w:val="30"/>
          <w:bdr w:val="none" w:sz="0" w:space="0" w:color="auto" w:frame="1"/>
          <w:lang w:eastAsia="zh-CN"/>
        </w:rPr>
        <w:t>一级资本净额</w:t>
      </w:r>
      <w:r w:rsidRPr="00D8272E">
        <w:rPr>
          <w:rFonts w:ascii="Times New Roman" w:eastAsia="微软雅黑" w:hAnsi="Times New Roman" w:cs="Times New Roman"/>
          <w:color w:val="404040"/>
          <w:sz w:val="30"/>
          <w:szCs w:val="30"/>
          <w:bdr w:val="none" w:sz="0" w:space="0" w:color="auto" w:frame="1"/>
          <w:lang w:eastAsia="zh-CN"/>
        </w:rPr>
        <w:t>、调整后的表内外资产及相关明细项目信息。</w:t>
      </w:r>
    </w:p>
    <w:p w14:paraId="0AFBEE1A"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（一）模板二如下表所示：</w:t>
      </w:r>
    </w:p>
    <w:tbl>
      <w:tblPr>
        <w:tblW w:w="0" w:type="auto"/>
        <w:tblInd w:w="288" w:type="dxa"/>
        <w:tblCellMar>
          <w:left w:w="0" w:type="dxa"/>
          <w:right w:w="0" w:type="dxa"/>
        </w:tblCellMar>
        <w:tblLook w:val="04A0" w:firstRow="1" w:lastRow="0" w:firstColumn="1" w:lastColumn="0" w:noHBand="0" w:noVBand="1"/>
      </w:tblPr>
      <w:tblGrid>
        <w:gridCol w:w="900"/>
        <w:gridCol w:w="6300"/>
        <w:gridCol w:w="900"/>
      </w:tblGrid>
      <w:tr w:rsidR="00D8272E" w:rsidRPr="00D8272E" w14:paraId="00CDAE8B"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7DEA004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序号</w:t>
            </w:r>
          </w:p>
        </w:tc>
        <w:tc>
          <w:tcPr>
            <w:tcW w:w="6300" w:type="dxa"/>
            <w:tcBorders>
              <w:top w:val="single" w:sz="8" w:space="0" w:color="auto"/>
              <w:left w:val="nil"/>
              <w:bottom w:val="single" w:sz="2" w:space="0" w:color="auto"/>
              <w:right w:val="single" w:sz="2" w:space="0" w:color="auto"/>
            </w:tcBorders>
            <w:vAlign w:val="center"/>
            <w:hideMark/>
          </w:tcPr>
          <w:p w14:paraId="151ABEA1"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项目</w:t>
            </w:r>
          </w:p>
        </w:tc>
        <w:tc>
          <w:tcPr>
            <w:tcW w:w="900" w:type="dxa"/>
            <w:tcBorders>
              <w:top w:val="single" w:sz="8" w:space="0" w:color="auto"/>
              <w:left w:val="nil"/>
              <w:bottom w:val="single" w:sz="2" w:space="0" w:color="auto"/>
              <w:right w:val="single" w:sz="2" w:space="0" w:color="auto"/>
            </w:tcBorders>
            <w:vAlign w:val="center"/>
            <w:hideMark/>
          </w:tcPr>
          <w:p w14:paraId="3E0FD791"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余额</w:t>
            </w:r>
          </w:p>
        </w:tc>
      </w:tr>
      <w:tr w:rsidR="00D8272E" w:rsidRPr="00D8272E" w14:paraId="47EE71C0"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6DADCE4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1</w:t>
            </w:r>
          </w:p>
        </w:tc>
        <w:tc>
          <w:tcPr>
            <w:tcW w:w="6300" w:type="dxa"/>
            <w:tcBorders>
              <w:top w:val="single" w:sz="8" w:space="0" w:color="auto"/>
              <w:left w:val="nil"/>
              <w:bottom w:val="single" w:sz="2" w:space="0" w:color="auto"/>
              <w:right w:val="single" w:sz="2" w:space="0" w:color="auto"/>
            </w:tcBorders>
            <w:vAlign w:val="center"/>
            <w:hideMark/>
          </w:tcPr>
          <w:p w14:paraId="3FD06EF0"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表内资产（除衍生产品和证券融资交易外）</w:t>
            </w:r>
          </w:p>
        </w:tc>
        <w:tc>
          <w:tcPr>
            <w:tcW w:w="900" w:type="dxa"/>
            <w:tcBorders>
              <w:top w:val="single" w:sz="8" w:space="0" w:color="auto"/>
              <w:left w:val="nil"/>
              <w:bottom w:val="single" w:sz="2" w:space="0" w:color="auto"/>
              <w:right w:val="single" w:sz="2" w:space="0" w:color="auto"/>
            </w:tcBorders>
            <w:hideMark/>
          </w:tcPr>
          <w:p w14:paraId="3A3CC215"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4D2E1ABC"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218EAF9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2</w:t>
            </w:r>
          </w:p>
        </w:tc>
        <w:tc>
          <w:tcPr>
            <w:tcW w:w="6300" w:type="dxa"/>
            <w:tcBorders>
              <w:top w:val="single" w:sz="8" w:space="0" w:color="auto"/>
              <w:left w:val="nil"/>
              <w:bottom w:val="single" w:sz="2" w:space="0" w:color="auto"/>
              <w:right w:val="single" w:sz="2" w:space="0" w:color="auto"/>
            </w:tcBorders>
            <w:vAlign w:val="bottom"/>
            <w:hideMark/>
          </w:tcPr>
          <w:p w14:paraId="79F2E95A"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减：一级资本扣减项</w:t>
            </w:r>
          </w:p>
        </w:tc>
        <w:tc>
          <w:tcPr>
            <w:tcW w:w="900" w:type="dxa"/>
            <w:tcBorders>
              <w:top w:val="single" w:sz="8" w:space="0" w:color="auto"/>
              <w:left w:val="nil"/>
              <w:bottom w:val="single" w:sz="2" w:space="0" w:color="auto"/>
              <w:right w:val="single" w:sz="2" w:space="0" w:color="auto"/>
            </w:tcBorders>
            <w:hideMark/>
          </w:tcPr>
          <w:p w14:paraId="76EF160E"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60C71B49"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7CC47DAD"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3</w:t>
            </w:r>
          </w:p>
        </w:tc>
        <w:tc>
          <w:tcPr>
            <w:tcW w:w="6300" w:type="dxa"/>
            <w:tcBorders>
              <w:top w:val="single" w:sz="8" w:space="0" w:color="auto"/>
              <w:left w:val="nil"/>
              <w:bottom w:val="single" w:sz="2" w:space="0" w:color="auto"/>
              <w:right w:val="single" w:sz="2" w:space="0" w:color="auto"/>
            </w:tcBorders>
            <w:vAlign w:val="center"/>
            <w:hideMark/>
          </w:tcPr>
          <w:p w14:paraId="19165ED2"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b/>
                <w:bCs/>
                <w:sz w:val="24"/>
                <w:szCs w:val="24"/>
                <w:bdr w:val="none" w:sz="0" w:space="0" w:color="auto" w:frame="1"/>
                <w:lang w:eastAsia="zh-CN"/>
              </w:rPr>
              <w:t>调整后的</w:t>
            </w:r>
            <w:r w:rsidRPr="00D8272E">
              <w:rPr>
                <w:rFonts w:ascii="Times New Roman" w:eastAsia="宋体" w:hAnsi="Times New Roman" w:cs="Times New Roman"/>
                <w:b/>
                <w:bCs/>
                <w:sz w:val="24"/>
                <w:szCs w:val="24"/>
                <w:bdr w:val="none" w:sz="0" w:space="0" w:color="auto" w:frame="1"/>
                <w:lang w:eastAsia="zh-CN"/>
              </w:rPr>
              <w:t>表内资产余额（衍生产品和证券融资交易除外）</w:t>
            </w:r>
          </w:p>
        </w:tc>
        <w:tc>
          <w:tcPr>
            <w:tcW w:w="900" w:type="dxa"/>
            <w:tcBorders>
              <w:top w:val="nil"/>
              <w:left w:val="nil"/>
              <w:bottom w:val="single" w:sz="2" w:space="0" w:color="auto"/>
              <w:right w:val="single" w:sz="2" w:space="0" w:color="auto"/>
            </w:tcBorders>
            <w:shd w:val="clear" w:color="auto" w:fill="C0C0C0"/>
            <w:hideMark/>
          </w:tcPr>
          <w:p w14:paraId="0A405344"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1628D197" w14:textId="77777777">
        <w:trPr>
          <w:trHeight w:val="215"/>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516EB994"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lastRenderedPageBreak/>
              <w:t>4</w:t>
            </w:r>
          </w:p>
        </w:tc>
        <w:tc>
          <w:tcPr>
            <w:tcW w:w="6300" w:type="dxa"/>
            <w:tcBorders>
              <w:top w:val="single" w:sz="8" w:space="0" w:color="auto"/>
              <w:left w:val="nil"/>
              <w:bottom w:val="single" w:sz="2" w:space="0" w:color="auto"/>
              <w:right w:val="single" w:sz="2" w:space="0" w:color="auto"/>
            </w:tcBorders>
            <w:vAlign w:val="center"/>
            <w:hideMark/>
          </w:tcPr>
          <w:p w14:paraId="1FD2387C"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各类衍生产品的重置成本（扣除合格保证金）</w:t>
            </w:r>
          </w:p>
        </w:tc>
        <w:tc>
          <w:tcPr>
            <w:tcW w:w="900" w:type="dxa"/>
            <w:tcBorders>
              <w:top w:val="single" w:sz="8" w:space="0" w:color="auto"/>
              <w:left w:val="nil"/>
              <w:bottom w:val="single" w:sz="2" w:space="0" w:color="auto"/>
              <w:right w:val="single" w:sz="2" w:space="0" w:color="auto"/>
            </w:tcBorders>
            <w:hideMark/>
          </w:tcPr>
          <w:p w14:paraId="5ECDBF18"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27AA9AE4" w14:textId="77777777">
        <w:trPr>
          <w:trHeight w:val="281"/>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36FD477A"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5</w:t>
            </w:r>
          </w:p>
        </w:tc>
        <w:tc>
          <w:tcPr>
            <w:tcW w:w="6300" w:type="dxa"/>
            <w:tcBorders>
              <w:top w:val="single" w:sz="8" w:space="0" w:color="auto"/>
              <w:left w:val="nil"/>
              <w:bottom w:val="single" w:sz="2" w:space="0" w:color="auto"/>
              <w:right w:val="single" w:sz="2" w:space="0" w:color="auto"/>
            </w:tcBorders>
            <w:vAlign w:val="center"/>
            <w:hideMark/>
          </w:tcPr>
          <w:p w14:paraId="2DABE0F3"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各类衍生产品的潜在风险暴露</w:t>
            </w:r>
          </w:p>
        </w:tc>
        <w:tc>
          <w:tcPr>
            <w:tcW w:w="900" w:type="dxa"/>
            <w:tcBorders>
              <w:top w:val="single" w:sz="8" w:space="0" w:color="auto"/>
              <w:left w:val="nil"/>
              <w:bottom w:val="single" w:sz="2" w:space="0" w:color="auto"/>
              <w:right w:val="single" w:sz="2" w:space="0" w:color="auto"/>
            </w:tcBorders>
            <w:hideMark/>
          </w:tcPr>
          <w:p w14:paraId="35E184A6"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56652826"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5704D459"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6</w:t>
            </w:r>
          </w:p>
        </w:tc>
        <w:tc>
          <w:tcPr>
            <w:tcW w:w="6300" w:type="dxa"/>
            <w:tcBorders>
              <w:top w:val="single" w:sz="8" w:space="0" w:color="auto"/>
              <w:left w:val="nil"/>
              <w:bottom w:val="single" w:sz="2" w:space="0" w:color="auto"/>
              <w:right w:val="single" w:sz="2" w:space="0" w:color="auto"/>
            </w:tcBorders>
            <w:vAlign w:val="center"/>
            <w:hideMark/>
          </w:tcPr>
          <w:p w14:paraId="6F534B06"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已从资产负债表中扣除的抵质押品总和</w:t>
            </w:r>
          </w:p>
        </w:tc>
        <w:tc>
          <w:tcPr>
            <w:tcW w:w="900" w:type="dxa"/>
            <w:tcBorders>
              <w:top w:val="single" w:sz="8" w:space="0" w:color="auto"/>
              <w:left w:val="nil"/>
              <w:bottom w:val="single" w:sz="2" w:space="0" w:color="auto"/>
              <w:right w:val="single" w:sz="2" w:space="0" w:color="auto"/>
            </w:tcBorders>
            <w:hideMark/>
          </w:tcPr>
          <w:p w14:paraId="69720636"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7A8CBE03"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01C20E2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7</w:t>
            </w:r>
          </w:p>
        </w:tc>
        <w:tc>
          <w:tcPr>
            <w:tcW w:w="6300" w:type="dxa"/>
            <w:tcBorders>
              <w:top w:val="single" w:sz="8" w:space="0" w:color="auto"/>
              <w:left w:val="nil"/>
              <w:bottom w:val="single" w:sz="2" w:space="0" w:color="auto"/>
              <w:right w:val="single" w:sz="2" w:space="0" w:color="auto"/>
            </w:tcBorders>
            <w:vAlign w:val="center"/>
            <w:hideMark/>
          </w:tcPr>
          <w:p w14:paraId="0CA69C0F"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减：因提供合格保证金形成的应收资产</w:t>
            </w:r>
          </w:p>
        </w:tc>
        <w:tc>
          <w:tcPr>
            <w:tcW w:w="900" w:type="dxa"/>
            <w:tcBorders>
              <w:top w:val="single" w:sz="8" w:space="0" w:color="auto"/>
              <w:left w:val="nil"/>
              <w:bottom w:val="single" w:sz="2" w:space="0" w:color="auto"/>
              <w:right w:val="single" w:sz="2" w:space="0" w:color="auto"/>
            </w:tcBorders>
            <w:hideMark/>
          </w:tcPr>
          <w:p w14:paraId="6EBD9868"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4A0B5CBB"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04626DC2"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8</w:t>
            </w:r>
          </w:p>
        </w:tc>
        <w:tc>
          <w:tcPr>
            <w:tcW w:w="6300" w:type="dxa"/>
            <w:tcBorders>
              <w:top w:val="single" w:sz="8" w:space="0" w:color="auto"/>
              <w:left w:val="nil"/>
              <w:bottom w:val="single" w:sz="2" w:space="0" w:color="auto"/>
              <w:right w:val="single" w:sz="2" w:space="0" w:color="auto"/>
            </w:tcBorders>
            <w:vAlign w:val="center"/>
            <w:hideMark/>
          </w:tcPr>
          <w:p w14:paraId="4F1957E9"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减：为客户提供清算服务时与中央交易对手交易形成的衍生产品</w:t>
            </w:r>
            <w:r w:rsidRPr="00D8272E">
              <w:rPr>
                <w:rFonts w:ascii="仿宋_GB2312" w:eastAsia="仿宋_GB2312" w:hAnsi="宋体" w:cs="宋体"/>
                <w:sz w:val="24"/>
                <w:szCs w:val="24"/>
                <w:bdr w:val="none" w:sz="0" w:space="0" w:color="auto" w:frame="1"/>
                <w:lang w:eastAsia="zh-CN"/>
              </w:rPr>
              <w:t>资产</w:t>
            </w:r>
            <w:r w:rsidRPr="00D8272E">
              <w:rPr>
                <w:rFonts w:ascii="Times New Roman" w:eastAsia="宋体" w:hAnsi="Times New Roman" w:cs="Times New Roman"/>
                <w:sz w:val="24"/>
                <w:szCs w:val="24"/>
                <w:bdr w:val="none" w:sz="0" w:space="0" w:color="auto" w:frame="1"/>
                <w:lang w:eastAsia="zh-CN"/>
              </w:rPr>
              <w:t>余额</w:t>
            </w:r>
          </w:p>
        </w:tc>
        <w:tc>
          <w:tcPr>
            <w:tcW w:w="900" w:type="dxa"/>
            <w:tcBorders>
              <w:top w:val="single" w:sz="8" w:space="0" w:color="auto"/>
              <w:left w:val="nil"/>
              <w:bottom w:val="single" w:sz="2" w:space="0" w:color="auto"/>
              <w:right w:val="single" w:sz="2" w:space="0" w:color="auto"/>
            </w:tcBorders>
            <w:hideMark/>
          </w:tcPr>
          <w:p w14:paraId="1A4E5479"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1598FF8F"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30F1434F"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9</w:t>
            </w:r>
          </w:p>
        </w:tc>
        <w:tc>
          <w:tcPr>
            <w:tcW w:w="6300" w:type="dxa"/>
            <w:tcBorders>
              <w:top w:val="single" w:sz="8" w:space="0" w:color="auto"/>
              <w:left w:val="nil"/>
              <w:bottom w:val="single" w:sz="2" w:space="0" w:color="auto"/>
              <w:right w:val="single" w:sz="2" w:space="0" w:color="auto"/>
            </w:tcBorders>
            <w:vAlign w:val="center"/>
            <w:hideMark/>
          </w:tcPr>
          <w:p w14:paraId="32AFEB37"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卖出</w:t>
            </w:r>
            <w:r w:rsidRPr="00D8272E">
              <w:rPr>
                <w:rFonts w:ascii="Times New Roman" w:eastAsia="宋体" w:hAnsi="Times New Roman" w:cs="Times New Roman"/>
                <w:sz w:val="24"/>
                <w:szCs w:val="24"/>
                <w:bdr w:val="none" w:sz="0" w:space="0" w:color="auto" w:frame="1"/>
                <w:lang w:eastAsia="zh-CN"/>
              </w:rPr>
              <w:t>信用衍生产品的名义本金</w:t>
            </w:r>
          </w:p>
        </w:tc>
        <w:tc>
          <w:tcPr>
            <w:tcW w:w="900" w:type="dxa"/>
            <w:tcBorders>
              <w:top w:val="single" w:sz="8" w:space="0" w:color="auto"/>
              <w:left w:val="nil"/>
              <w:bottom w:val="single" w:sz="2" w:space="0" w:color="auto"/>
              <w:right w:val="single" w:sz="2" w:space="0" w:color="auto"/>
            </w:tcBorders>
            <w:hideMark/>
          </w:tcPr>
          <w:p w14:paraId="21DF7BB1"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4B322A56"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2990C4A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0</w:t>
            </w:r>
          </w:p>
        </w:tc>
        <w:tc>
          <w:tcPr>
            <w:tcW w:w="6300" w:type="dxa"/>
            <w:tcBorders>
              <w:top w:val="single" w:sz="8" w:space="0" w:color="auto"/>
              <w:left w:val="nil"/>
              <w:bottom w:val="single" w:sz="2" w:space="0" w:color="auto"/>
              <w:right w:val="single" w:sz="2" w:space="0" w:color="auto"/>
            </w:tcBorders>
            <w:vAlign w:val="center"/>
            <w:hideMark/>
          </w:tcPr>
          <w:p w14:paraId="31D4FAE2"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减：可扣除的</w:t>
            </w:r>
            <w:r w:rsidRPr="00D8272E">
              <w:rPr>
                <w:rFonts w:ascii="仿宋_GB2312" w:eastAsia="仿宋_GB2312" w:hAnsi="宋体" w:cs="宋体"/>
                <w:sz w:val="24"/>
                <w:szCs w:val="24"/>
                <w:bdr w:val="none" w:sz="0" w:space="0" w:color="auto" w:frame="1"/>
                <w:lang w:eastAsia="zh-CN"/>
              </w:rPr>
              <w:t>卖出</w:t>
            </w:r>
            <w:r w:rsidRPr="00D8272E">
              <w:rPr>
                <w:rFonts w:ascii="Times New Roman" w:eastAsia="宋体" w:hAnsi="Times New Roman" w:cs="Times New Roman"/>
                <w:sz w:val="24"/>
                <w:szCs w:val="24"/>
                <w:bdr w:val="none" w:sz="0" w:space="0" w:color="auto" w:frame="1"/>
                <w:lang w:eastAsia="zh-CN"/>
              </w:rPr>
              <w:t>信用衍生产品</w:t>
            </w:r>
            <w:r w:rsidRPr="00D8272E">
              <w:rPr>
                <w:rFonts w:ascii="仿宋_GB2312" w:eastAsia="仿宋_GB2312" w:hAnsi="宋体" w:cs="宋体"/>
                <w:sz w:val="24"/>
                <w:szCs w:val="24"/>
                <w:bdr w:val="none" w:sz="0" w:space="0" w:color="auto" w:frame="1"/>
                <w:lang w:eastAsia="zh-CN"/>
              </w:rPr>
              <w:t>资产余额</w:t>
            </w:r>
          </w:p>
        </w:tc>
        <w:tc>
          <w:tcPr>
            <w:tcW w:w="900" w:type="dxa"/>
            <w:tcBorders>
              <w:top w:val="single" w:sz="8" w:space="0" w:color="auto"/>
              <w:left w:val="nil"/>
              <w:bottom w:val="single" w:sz="2" w:space="0" w:color="auto"/>
              <w:right w:val="single" w:sz="2" w:space="0" w:color="auto"/>
            </w:tcBorders>
            <w:hideMark/>
          </w:tcPr>
          <w:p w14:paraId="52A97D21"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7C1CF41D" w14:textId="77777777">
        <w:trPr>
          <w:trHeight w:val="215"/>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5E8F0CCB"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11</w:t>
            </w:r>
          </w:p>
        </w:tc>
        <w:tc>
          <w:tcPr>
            <w:tcW w:w="6300" w:type="dxa"/>
            <w:tcBorders>
              <w:top w:val="single" w:sz="8" w:space="0" w:color="auto"/>
              <w:left w:val="nil"/>
              <w:bottom w:val="single" w:sz="2" w:space="0" w:color="auto"/>
              <w:right w:val="single" w:sz="2" w:space="0" w:color="auto"/>
            </w:tcBorders>
            <w:vAlign w:val="center"/>
            <w:hideMark/>
          </w:tcPr>
          <w:p w14:paraId="30EAA2A3"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衍生产品资产余额</w:t>
            </w:r>
          </w:p>
        </w:tc>
        <w:tc>
          <w:tcPr>
            <w:tcW w:w="900" w:type="dxa"/>
            <w:tcBorders>
              <w:top w:val="nil"/>
              <w:left w:val="nil"/>
              <w:bottom w:val="single" w:sz="2" w:space="0" w:color="auto"/>
              <w:right w:val="single" w:sz="2" w:space="0" w:color="auto"/>
            </w:tcBorders>
            <w:shd w:val="clear" w:color="auto" w:fill="C0C0C0"/>
            <w:hideMark/>
          </w:tcPr>
          <w:p w14:paraId="346E075B"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4C1A11ED"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7DCDF65D"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2</w:t>
            </w:r>
          </w:p>
        </w:tc>
        <w:tc>
          <w:tcPr>
            <w:tcW w:w="6300" w:type="dxa"/>
            <w:tcBorders>
              <w:top w:val="single" w:sz="8" w:space="0" w:color="auto"/>
              <w:left w:val="nil"/>
              <w:bottom w:val="single" w:sz="2" w:space="0" w:color="auto"/>
              <w:right w:val="single" w:sz="2" w:space="0" w:color="auto"/>
            </w:tcBorders>
            <w:vAlign w:val="center"/>
            <w:hideMark/>
          </w:tcPr>
          <w:p w14:paraId="61715B53"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证券融资交易</w:t>
            </w:r>
            <w:r w:rsidRPr="00D8272E">
              <w:rPr>
                <w:rFonts w:ascii="仿宋_GB2312" w:eastAsia="仿宋_GB2312" w:hAnsi="宋体" w:cs="宋体"/>
                <w:sz w:val="24"/>
                <w:szCs w:val="24"/>
                <w:bdr w:val="none" w:sz="0" w:space="0" w:color="auto" w:frame="1"/>
                <w:lang w:eastAsia="zh-CN"/>
              </w:rPr>
              <w:t>的</w:t>
            </w:r>
            <w:r w:rsidRPr="00D8272E">
              <w:rPr>
                <w:rFonts w:ascii="Times New Roman" w:eastAsia="宋体" w:hAnsi="Times New Roman" w:cs="Times New Roman"/>
                <w:sz w:val="24"/>
                <w:szCs w:val="24"/>
                <w:bdr w:val="none" w:sz="0" w:space="0" w:color="auto" w:frame="1"/>
                <w:lang w:eastAsia="zh-CN"/>
              </w:rPr>
              <w:t>会计资产</w:t>
            </w:r>
            <w:r w:rsidRPr="00D8272E">
              <w:rPr>
                <w:rFonts w:ascii="仿宋_GB2312" w:eastAsia="仿宋_GB2312" w:hAnsi="宋体" w:cs="宋体"/>
                <w:sz w:val="24"/>
                <w:szCs w:val="24"/>
                <w:bdr w:val="none" w:sz="0" w:space="0" w:color="auto" w:frame="1"/>
                <w:lang w:eastAsia="zh-CN"/>
              </w:rPr>
              <w:t>余额</w:t>
            </w:r>
          </w:p>
        </w:tc>
        <w:tc>
          <w:tcPr>
            <w:tcW w:w="900" w:type="dxa"/>
            <w:tcBorders>
              <w:top w:val="single" w:sz="8" w:space="0" w:color="auto"/>
              <w:left w:val="nil"/>
              <w:bottom w:val="single" w:sz="2" w:space="0" w:color="auto"/>
              <w:right w:val="single" w:sz="2" w:space="0" w:color="auto"/>
            </w:tcBorders>
            <w:hideMark/>
          </w:tcPr>
          <w:p w14:paraId="54C95DA3"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3C86145A"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1F2E978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3</w:t>
            </w:r>
          </w:p>
        </w:tc>
        <w:tc>
          <w:tcPr>
            <w:tcW w:w="6300" w:type="dxa"/>
            <w:tcBorders>
              <w:top w:val="single" w:sz="8" w:space="0" w:color="auto"/>
              <w:left w:val="nil"/>
              <w:bottom w:val="single" w:sz="2" w:space="0" w:color="auto"/>
              <w:right w:val="single" w:sz="2" w:space="0" w:color="auto"/>
            </w:tcBorders>
            <w:vAlign w:val="center"/>
            <w:hideMark/>
          </w:tcPr>
          <w:p w14:paraId="5977D522"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减：</w:t>
            </w:r>
            <w:r w:rsidRPr="00D8272E">
              <w:rPr>
                <w:rFonts w:ascii="仿宋_GB2312" w:eastAsia="仿宋_GB2312" w:hAnsi="宋体" w:cs="宋体"/>
                <w:sz w:val="24"/>
                <w:szCs w:val="24"/>
                <w:bdr w:val="none" w:sz="0" w:space="0" w:color="auto" w:frame="1"/>
                <w:lang w:eastAsia="zh-CN"/>
              </w:rPr>
              <w:t>可以扣除的证券融资交易资产余额</w:t>
            </w:r>
          </w:p>
        </w:tc>
        <w:tc>
          <w:tcPr>
            <w:tcW w:w="900" w:type="dxa"/>
            <w:tcBorders>
              <w:top w:val="single" w:sz="8" w:space="0" w:color="auto"/>
              <w:left w:val="nil"/>
              <w:bottom w:val="single" w:sz="2" w:space="0" w:color="auto"/>
              <w:right w:val="single" w:sz="2" w:space="0" w:color="auto"/>
            </w:tcBorders>
            <w:hideMark/>
          </w:tcPr>
          <w:p w14:paraId="653850F1"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6FEB1E2C"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7EC7A2A0"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4</w:t>
            </w:r>
          </w:p>
        </w:tc>
        <w:tc>
          <w:tcPr>
            <w:tcW w:w="6300" w:type="dxa"/>
            <w:tcBorders>
              <w:top w:val="single" w:sz="8" w:space="0" w:color="auto"/>
              <w:left w:val="nil"/>
              <w:bottom w:val="single" w:sz="2" w:space="0" w:color="auto"/>
              <w:right w:val="single" w:sz="2" w:space="0" w:color="auto"/>
            </w:tcBorders>
            <w:vAlign w:val="center"/>
            <w:hideMark/>
          </w:tcPr>
          <w:p w14:paraId="4BB6BD79"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证券融资交易的交易对手信用风险暴露</w:t>
            </w:r>
          </w:p>
        </w:tc>
        <w:tc>
          <w:tcPr>
            <w:tcW w:w="900" w:type="dxa"/>
            <w:tcBorders>
              <w:top w:val="single" w:sz="8" w:space="0" w:color="auto"/>
              <w:left w:val="nil"/>
              <w:bottom w:val="single" w:sz="2" w:space="0" w:color="auto"/>
              <w:right w:val="single" w:sz="2" w:space="0" w:color="auto"/>
            </w:tcBorders>
            <w:hideMark/>
          </w:tcPr>
          <w:p w14:paraId="3C8FB3A2"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27637F3B"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29F1736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5</w:t>
            </w:r>
          </w:p>
        </w:tc>
        <w:tc>
          <w:tcPr>
            <w:tcW w:w="6300" w:type="dxa"/>
            <w:tcBorders>
              <w:top w:val="single" w:sz="8" w:space="0" w:color="auto"/>
              <w:left w:val="nil"/>
              <w:bottom w:val="single" w:sz="2" w:space="0" w:color="auto"/>
              <w:right w:val="single" w:sz="2" w:space="0" w:color="auto"/>
            </w:tcBorders>
            <w:vAlign w:val="center"/>
            <w:hideMark/>
          </w:tcPr>
          <w:p w14:paraId="2EE4DBCF"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代理证券融资交易形成的证券融资交易资产余额</w:t>
            </w:r>
          </w:p>
        </w:tc>
        <w:tc>
          <w:tcPr>
            <w:tcW w:w="900" w:type="dxa"/>
            <w:tcBorders>
              <w:top w:val="single" w:sz="8" w:space="0" w:color="auto"/>
              <w:left w:val="nil"/>
              <w:bottom w:val="single" w:sz="2" w:space="0" w:color="auto"/>
              <w:right w:val="single" w:sz="2" w:space="0" w:color="auto"/>
            </w:tcBorders>
            <w:hideMark/>
          </w:tcPr>
          <w:p w14:paraId="1CD1602E"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5AF3D292"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2F14CEF4"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6</w:t>
            </w:r>
          </w:p>
        </w:tc>
        <w:tc>
          <w:tcPr>
            <w:tcW w:w="6300" w:type="dxa"/>
            <w:tcBorders>
              <w:top w:val="single" w:sz="8" w:space="0" w:color="auto"/>
              <w:left w:val="nil"/>
              <w:bottom w:val="single" w:sz="2" w:space="0" w:color="auto"/>
              <w:right w:val="single" w:sz="2" w:space="0" w:color="auto"/>
            </w:tcBorders>
            <w:vAlign w:val="center"/>
            <w:hideMark/>
          </w:tcPr>
          <w:p w14:paraId="4C543C49"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证券融资交易资产余额</w:t>
            </w:r>
          </w:p>
        </w:tc>
        <w:tc>
          <w:tcPr>
            <w:tcW w:w="900" w:type="dxa"/>
            <w:tcBorders>
              <w:top w:val="nil"/>
              <w:left w:val="nil"/>
              <w:bottom w:val="single" w:sz="2" w:space="0" w:color="auto"/>
              <w:right w:val="single" w:sz="2" w:space="0" w:color="auto"/>
            </w:tcBorders>
            <w:shd w:val="clear" w:color="auto" w:fill="C0C0C0"/>
            <w:hideMark/>
          </w:tcPr>
          <w:p w14:paraId="56998799"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2BCE3B9C"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56E20AA6"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7</w:t>
            </w:r>
          </w:p>
        </w:tc>
        <w:tc>
          <w:tcPr>
            <w:tcW w:w="6300" w:type="dxa"/>
            <w:tcBorders>
              <w:top w:val="single" w:sz="8" w:space="0" w:color="auto"/>
              <w:left w:val="nil"/>
              <w:bottom w:val="single" w:sz="2" w:space="0" w:color="auto"/>
              <w:right w:val="single" w:sz="2" w:space="0" w:color="auto"/>
            </w:tcBorders>
            <w:vAlign w:val="center"/>
            <w:hideMark/>
          </w:tcPr>
          <w:p w14:paraId="38BF5374"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表外项目</w:t>
            </w:r>
            <w:r w:rsidRPr="00D8272E">
              <w:rPr>
                <w:rFonts w:ascii="仿宋_GB2312" w:eastAsia="仿宋_GB2312" w:hAnsi="宋体" w:cs="宋体"/>
                <w:sz w:val="24"/>
                <w:szCs w:val="24"/>
                <w:bdr w:val="none" w:sz="0" w:space="0" w:color="auto" w:frame="1"/>
                <w:lang w:eastAsia="zh-CN"/>
              </w:rPr>
              <w:t>余</w:t>
            </w:r>
            <w:r w:rsidRPr="00D8272E">
              <w:rPr>
                <w:rFonts w:ascii="Times New Roman" w:eastAsia="宋体" w:hAnsi="Times New Roman" w:cs="Times New Roman"/>
                <w:sz w:val="24"/>
                <w:szCs w:val="24"/>
                <w:bdr w:val="none" w:sz="0" w:space="0" w:color="auto" w:frame="1"/>
                <w:lang w:eastAsia="zh-CN"/>
              </w:rPr>
              <w:t>额</w:t>
            </w:r>
          </w:p>
        </w:tc>
        <w:tc>
          <w:tcPr>
            <w:tcW w:w="900" w:type="dxa"/>
            <w:tcBorders>
              <w:top w:val="single" w:sz="8" w:space="0" w:color="auto"/>
              <w:left w:val="nil"/>
              <w:bottom w:val="single" w:sz="2" w:space="0" w:color="auto"/>
              <w:right w:val="single" w:sz="2" w:space="0" w:color="auto"/>
            </w:tcBorders>
            <w:hideMark/>
          </w:tcPr>
          <w:p w14:paraId="1EF1581E"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473305F1"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21D198C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8</w:t>
            </w:r>
          </w:p>
        </w:tc>
        <w:tc>
          <w:tcPr>
            <w:tcW w:w="6300" w:type="dxa"/>
            <w:tcBorders>
              <w:top w:val="single" w:sz="8" w:space="0" w:color="auto"/>
              <w:left w:val="nil"/>
              <w:bottom w:val="single" w:sz="2" w:space="0" w:color="auto"/>
              <w:right w:val="single" w:sz="2" w:space="0" w:color="auto"/>
            </w:tcBorders>
            <w:vAlign w:val="center"/>
            <w:hideMark/>
          </w:tcPr>
          <w:p w14:paraId="00DFD51B"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减：因信用转换减少的表外项目余额</w:t>
            </w:r>
          </w:p>
        </w:tc>
        <w:tc>
          <w:tcPr>
            <w:tcW w:w="900" w:type="dxa"/>
            <w:tcBorders>
              <w:top w:val="single" w:sz="8" w:space="0" w:color="auto"/>
              <w:left w:val="nil"/>
              <w:bottom w:val="single" w:sz="2" w:space="0" w:color="auto"/>
              <w:right w:val="single" w:sz="2" w:space="0" w:color="auto"/>
            </w:tcBorders>
            <w:hideMark/>
          </w:tcPr>
          <w:p w14:paraId="25FF1E1D"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1EB02C5F" w14:textId="77777777">
        <w:trPr>
          <w:trHeight w:val="57"/>
        </w:trPr>
        <w:tc>
          <w:tcPr>
            <w:tcW w:w="900" w:type="dxa"/>
            <w:tcBorders>
              <w:top w:val="single" w:sz="8" w:space="0" w:color="000000"/>
              <w:left w:val="single" w:sz="2" w:space="0" w:color="000000"/>
              <w:bottom w:val="single" w:sz="2" w:space="0" w:color="000000"/>
              <w:right w:val="single" w:sz="2" w:space="0" w:color="000000"/>
            </w:tcBorders>
            <w:vAlign w:val="center"/>
            <w:hideMark/>
          </w:tcPr>
          <w:p w14:paraId="0B77D7D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9</w:t>
            </w:r>
          </w:p>
        </w:tc>
        <w:tc>
          <w:tcPr>
            <w:tcW w:w="6300" w:type="dxa"/>
            <w:tcBorders>
              <w:top w:val="single" w:sz="8" w:space="0" w:color="auto"/>
              <w:left w:val="nil"/>
              <w:bottom w:val="single" w:sz="2" w:space="0" w:color="auto"/>
              <w:right w:val="single" w:sz="2" w:space="0" w:color="auto"/>
            </w:tcBorders>
            <w:vAlign w:val="center"/>
            <w:hideMark/>
          </w:tcPr>
          <w:p w14:paraId="0FA10B56"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调整后的表外项目余额</w:t>
            </w:r>
          </w:p>
        </w:tc>
        <w:tc>
          <w:tcPr>
            <w:tcW w:w="900" w:type="dxa"/>
            <w:tcBorders>
              <w:top w:val="nil"/>
              <w:left w:val="nil"/>
              <w:bottom w:val="single" w:sz="2" w:space="0" w:color="auto"/>
              <w:right w:val="single" w:sz="2" w:space="0" w:color="auto"/>
            </w:tcBorders>
            <w:shd w:val="clear" w:color="auto" w:fill="C0C0C0"/>
            <w:hideMark/>
          </w:tcPr>
          <w:p w14:paraId="303C91BF"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0149D650" w14:textId="77777777">
        <w:trPr>
          <w:trHeight w:val="219"/>
        </w:trPr>
        <w:tc>
          <w:tcPr>
            <w:tcW w:w="900" w:type="dxa"/>
            <w:tcBorders>
              <w:top w:val="nil"/>
              <w:left w:val="single" w:sz="2" w:space="0" w:color="auto"/>
              <w:bottom w:val="single" w:sz="2" w:space="0" w:color="auto"/>
              <w:right w:val="single" w:sz="2" w:space="0" w:color="auto"/>
            </w:tcBorders>
            <w:hideMark/>
          </w:tcPr>
          <w:p w14:paraId="67A30623"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0</w:t>
            </w:r>
          </w:p>
        </w:tc>
        <w:tc>
          <w:tcPr>
            <w:tcW w:w="6300" w:type="dxa"/>
            <w:tcBorders>
              <w:top w:val="nil"/>
              <w:left w:val="nil"/>
              <w:bottom w:val="single" w:sz="2" w:space="0" w:color="auto"/>
              <w:right w:val="single" w:sz="2" w:space="0" w:color="auto"/>
            </w:tcBorders>
            <w:vAlign w:val="center"/>
            <w:hideMark/>
          </w:tcPr>
          <w:p w14:paraId="742F4D72"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一级资本净额</w:t>
            </w:r>
          </w:p>
        </w:tc>
        <w:tc>
          <w:tcPr>
            <w:tcW w:w="900" w:type="dxa"/>
            <w:tcBorders>
              <w:top w:val="nil"/>
              <w:left w:val="nil"/>
              <w:bottom w:val="single" w:sz="2" w:space="0" w:color="auto"/>
              <w:right w:val="single" w:sz="2" w:space="0" w:color="auto"/>
            </w:tcBorders>
            <w:hideMark/>
          </w:tcPr>
          <w:p w14:paraId="55BAFB5C"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7AB89681" w14:textId="77777777">
        <w:trPr>
          <w:trHeight w:val="57"/>
        </w:trPr>
        <w:tc>
          <w:tcPr>
            <w:tcW w:w="900" w:type="dxa"/>
            <w:tcBorders>
              <w:top w:val="nil"/>
              <w:left w:val="single" w:sz="2" w:space="0" w:color="auto"/>
              <w:bottom w:val="single" w:sz="2" w:space="0" w:color="auto"/>
              <w:right w:val="single" w:sz="2" w:space="0" w:color="auto"/>
            </w:tcBorders>
            <w:hideMark/>
          </w:tcPr>
          <w:p w14:paraId="08AF5F08"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1</w:t>
            </w:r>
          </w:p>
        </w:tc>
        <w:tc>
          <w:tcPr>
            <w:tcW w:w="6300" w:type="dxa"/>
            <w:tcBorders>
              <w:top w:val="nil"/>
              <w:left w:val="nil"/>
              <w:bottom w:val="single" w:sz="2" w:space="0" w:color="auto"/>
              <w:right w:val="single" w:sz="2" w:space="0" w:color="auto"/>
            </w:tcBorders>
            <w:vAlign w:val="center"/>
            <w:hideMark/>
          </w:tcPr>
          <w:p w14:paraId="4ADD7093"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调整后的表内外资产余额</w:t>
            </w:r>
          </w:p>
        </w:tc>
        <w:tc>
          <w:tcPr>
            <w:tcW w:w="900" w:type="dxa"/>
            <w:tcBorders>
              <w:top w:val="nil"/>
              <w:left w:val="nil"/>
              <w:bottom w:val="single" w:sz="2" w:space="0" w:color="auto"/>
              <w:right w:val="single" w:sz="2" w:space="0" w:color="auto"/>
            </w:tcBorders>
            <w:hideMark/>
          </w:tcPr>
          <w:p w14:paraId="2C34A55C" w14:textId="77777777" w:rsidR="00D8272E" w:rsidRPr="00D8272E" w:rsidRDefault="00D8272E" w:rsidP="00D8272E">
            <w:pPr>
              <w:spacing w:after="0" w:line="240" w:lineRule="auto"/>
              <w:rPr>
                <w:rFonts w:ascii="宋体" w:eastAsia="宋体" w:hAnsi="宋体" w:cs="宋体"/>
                <w:sz w:val="24"/>
                <w:szCs w:val="24"/>
                <w:lang w:eastAsia="zh-CN"/>
              </w:rPr>
            </w:pPr>
          </w:p>
        </w:tc>
      </w:tr>
      <w:tr w:rsidR="00D8272E" w:rsidRPr="00D8272E" w14:paraId="4D658B77" w14:textId="77777777">
        <w:trPr>
          <w:trHeight w:val="69"/>
        </w:trPr>
        <w:tc>
          <w:tcPr>
            <w:tcW w:w="900" w:type="dxa"/>
            <w:tcBorders>
              <w:top w:val="nil"/>
              <w:left w:val="single" w:sz="2" w:space="0" w:color="auto"/>
              <w:bottom w:val="single" w:sz="2" w:space="0" w:color="auto"/>
              <w:right w:val="single" w:sz="2" w:space="0" w:color="auto"/>
            </w:tcBorders>
            <w:vAlign w:val="center"/>
            <w:hideMark/>
          </w:tcPr>
          <w:p w14:paraId="1672DC23"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2</w:t>
            </w:r>
          </w:p>
        </w:tc>
        <w:tc>
          <w:tcPr>
            <w:tcW w:w="6300" w:type="dxa"/>
            <w:tcBorders>
              <w:top w:val="nil"/>
              <w:left w:val="nil"/>
              <w:bottom w:val="single" w:sz="2" w:space="0" w:color="auto"/>
              <w:right w:val="single" w:sz="2" w:space="0" w:color="auto"/>
            </w:tcBorders>
            <w:vAlign w:val="center"/>
            <w:hideMark/>
          </w:tcPr>
          <w:p w14:paraId="4F73D533"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杠杆率</w:t>
            </w:r>
          </w:p>
        </w:tc>
        <w:tc>
          <w:tcPr>
            <w:tcW w:w="900" w:type="dxa"/>
            <w:tcBorders>
              <w:top w:val="nil"/>
              <w:left w:val="nil"/>
              <w:bottom w:val="single" w:sz="2" w:space="0" w:color="auto"/>
              <w:right w:val="single" w:sz="2" w:space="0" w:color="auto"/>
            </w:tcBorders>
            <w:shd w:val="clear" w:color="auto" w:fill="C0C0C0"/>
            <w:hideMark/>
          </w:tcPr>
          <w:p w14:paraId="29C6DEFE" w14:textId="77777777" w:rsidR="00D8272E" w:rsidRPr="00D8272E" w:rsidRDefault="00D8272E" w:rsidP="00D8272E">
            <w:pPr>
              <w:spacing w:after="0" w:line="240" w:lineRule="auto"/>
              <w:rPr>
                <w:rFonts w:ascii="宋体" w:eastAsia="宋体" w:hAnsi="宋体" w:cs="宋体"/>
                <w:sz w:val="24"/>
                <w:szCs w:val="24"/>
                <w:lang w:eastAsia="zh-CN"/>
              </w:rPr>
            </w:pPr>
          </w:p>
        </w:tc>
      </w:tr>
    </w:tbl>
    <w:p w14:paraId="4BA4423A"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注：空白部分为填报区域，阴影部分为自动计算区域。</w:t>
      </w:r>
    </w:p>
    <w:p w14:paraId="778D776B" w14:textId="77777777" w:rsidR="00D8272E" w:rsidRPr="00D8272E" w:rsidRDefault="00D8272E" w:rsidP="00D8272E">
      <w:pPr>
        <w:spacing w:after="0" w:line="240" w:lineRule="auto"/>
        <w:ind w:firstLine="285"/>
        <w:jc w:val="both"/>
        <w:rPr>
          <w:rFonts w:ascii="微软雅黑" w:eastAsia="微软雅黑" w:hAnsi="微软雅黑" w:cs="宋体"/>
          <w:color w:val="404040"/>
          <w:sz w:val="27"/>
          <w:szCs w:val="27"/>
          <w:lang w:eastAsia="zh-CN"/>
        </w:rPr>
      </w:pPr>
      <w:r w:rsidRPr="00D8272E">
        <w:rPr>
          <w:rFonts w:ascii="Times New Roman" w:eastAsia="微软雅黑" w:hAnsi="Times New Roman" w:cs="Times New Roman"/>
          <w:color w:val="404040"/>
          <w:sz w:val="30"/>
          <w:szCs w:val="30"/>
          <w:bdr w:val="none" w:sz="0" w:space="0" w:color="auto" w:frame="1"/>
          <w:lang w:eastAsia="zh-CN"/>
        </w:rPr>
        <w:t>（二）模板二中各项目定义如下：</w:t>
      </w:r>
    </w:p>
    <w:tbl>
      <w:tblPr>
        <w:tblW w:w="0" w:type="auto"/>
        <w:tblInd w:w="288" w:type="dxa"/>
        <w:tblCellMar>
          <w:left w:w="0" w:type="dxa"/>
          <w:right w:w="0" w:type="dxa"/>
        </w:tblCellMar>
        <w:tblLook w:val="04A0" w:firstRow="1" w:lastRow="0" w:firstColumn="1" w:lastColumn="0" w:noHBand="0" w:noVBand="1"/>
      </w:tblPr>
      <w:tblGrid>
        <w:gridCol w:w="900"/>
        <w:gridCol w:w="7200"/>
      </w:tblGrid>
      <w:tr w:rsidR="00D8272E" w:rsidRPr="00D8272E" w14:paraId="622977A7" w14:textId="77777777">
        <w:tc>
          <w:tcPr>
            <w:tcW w:w="900" w:type="dxa"/>
            <w:tcBorders>
              <w:top w:val="single" w:sz="4" w:space="0" w:color="000000"/>
              <w:left w:val="single" w:sz="4" w:space="0" w:color="000000"/>
              <w:bottom w:val="single" w:sz="4" w:space="0" w:color="000000"/>
              <w:right w:val="single" w:sz="4" w:space="0" w:color="000000"/>
            </w:tcBorders>
            <w:hideMark/>
          </w:tcPr>
          <w:p w14:paraId="092B4799"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序号</w:t>
            </w:r>
          </w:p>
        </w:tc>
        <w:tc>
          <w:tcPr>
            <w:tcW w:w="7200" w:type="dxa"/>
            <w:tcBorders>
              <w:top w:val="single" w:sz="4" w:space="0" w:color="auto"/>
              <w:left w:val="nil"/>
              <w:bottom w:val="single" w:sz="4" w:space="0" w:color="auto"/>
              <w:right w:val="single" w:sz="4" w:space="0" w:color="auto"/>
            </w:tcBorders>
            <w:hideMark/>
          </w:tcPr>
          <w:p w14:paraId="5C66787F" w14:textId="77777777" w:rsidR="00D8272E" w:rsidRPr="00D8272E" w:rsidRDefault="00D8272E" w:rsidP="00D8272E">
            <w:pPr>
              <w:spacing w:after="0" w:line="240" w:lineRule="auto"/>
              <w:ind w:firstLine="228"/>
              <w:rPr>
                <w:rFonts w:ascii="宋体" w:eastAsia="宋体" w:hAnsi="宋体" w:cs="宋体"/>
                <w:sz w:val="24"/>
                <w:szCs w:val="24"/>
                <w:lang w:eastAsia="zh-CN"/>
              </w:rPr>
            </w:pPr>
            <w:r w:rsidRPr="00D8272E">
              <w:rPr>
                <w:rFonts w:ascii="Times New Roman" w:eastAsia="宋体" w:hAnsi="Times New Roman" w:cs="Times New Roman"/>
                <w:b/>
                <w:bCs/>
                <w:sz w:val="24"/>
                <w:szCs w:val="24"/>
                <w:bdr w:val="none" w:sz="0" w:space="0" w:color="auto" w:frame="1"/>
                <w:lang w:eastAsia="zh-CN"/>
              </w:rPr>
              <w:t>填报说明</w:t>
            </w:r>
          </w:p>
        </w:tc>
      </w:tr>
      <w:tr w:rsidR="00D8272E" w:rsidRPr="00D8272E" w14:paraId="03183734" w14:textId="77777777">
        <w:tc>
          <w:tcPr>
            <w:tcW w:w="900" w:type="dxa"/>
            <w:tcBorders>
              <w:top w:val="nil"/>
              <w:left w:val="single" w:sz="4" w:space="0" w:color="auto"/>
              <w:bottom w:val="single" w:sz="4" w:space="0" w:color="auto"/>
              <w:right w:val="single" w:sz="4" w:space="0" w:color="auto"/>
            </w:tcBorders>
            <w:vAlign w:val="center"/>
            <w:hideMark/>
          </w:tcPr>
          <w:p w14:paraId="6BE02180"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1</w:t>
            </w:r>
          </w:p>
        </w:tc>
        <w:tc>
          <w:tcPr>
            <w:tcW w:w="7200" w:type="dxa"/>
            <w:tcBorders>
              <w:top w:val="nil"/>
              <w:left w:val="nil"/>
              <w:bottom w:val="single" w:sz="4" w:space="0" w:color="auto"/>
              <w:right w:val="single" w:sz="4" w:space="0" w:color="auto"/>
            </w:tcBorders>
            <w:hideMark/>
          </w:tcPr>
          <w:p w14:paraId="1072118E"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根据本办法第</w:t>
            </w:r>
            <w:r w:rsidRPr="00D8272E">
              <w:rPr>
                <w:rFonts w:ascii="Times New Roman" w:eastAsia="宋体" w:hAnsi="Times New Roman" w:cs="Times New Roman"/>
                <w:sz w:val="24"/>
                <w:szCs w:val="24"/>
                <w:bdr w:val="none" w:sz="0" w:space="0" w:color="auto" w:frame="1"/>
                <w:lang w:eastAsia="zh-CN"/>
              </w:rPr>
              <w:t>11</w:t>
            </w:r>
            <w:r w:rsidRPr="00D8272E">
              <w:rPr>
                <w:rFonts w:ascii="仿宋_GB2312" w:eastAsia="仿宋_GB2312" w:hAnsi="Times New Roman" w:cs="Times New Roman"/>
                <w:sz w:val="24"/>
                <w:szCs w:val="24"/>
                <w:bdr w:val="none" w:sz="0" w:space="0" w:color="auto" w:frame="1"/>
                <w:lang w:eastAsia="zh-CN"/>
              </w:rPr>
              <w:t>条计算的</w:t>
            </w:r>
            <w:r w:rsidRPr="00D8272E">
              <w:rPr>
                <w:rFonts w:ascii="仿宋_GB2312" w:eastAsia="仿宋_GB2312" w:hAnsi="宋体" w:cs="宋体"/>
                <w:sz w:val="24"/>
                <w:szCs w:val="24"/>
                <w:bdr w:val="none" w:sz="0" w:space="0" w:color="auto" w:frame="1"/>
                <w:lang w:eastAsia="zh-CN"/>
              </w:rPr>
              <w:t>调整后的</w:t>
            </w:r>
            <w:r w:rsidRPr="00D8272E">
              <w:rPr>
                <w:rFonts w:ascii="Times New Roman" w:eastAsia="宋体" w:hAnsi="Times New Roman" w:cs="Times New Roman"/>
                <w:sz w:val="24"/>
                <w:szCs w:val="24"/>
                <w:bdr w:val="none" w:sz="0" w:space="0" w:color="auto" w:frame="1"/>
                <w:lang w:eastAsia="zh-CN"/>
              </w:rPr>
              <w:t>表内资产</w:t>
            </w:r>
            <w:r w:rsidRPr="00D8272E">
              <w:rPr>
                <w:rFonts w:ascii="仿宋_GB2312" w:eastAsia="仿宋_GB2312" w:hAnsi="宋体" w:cs="宋体"/>
                <w:sz w:val="24"/>
                <w:szCs w:val="24"/>
                <w:bdr w:val="none" w:sz="0" w:space="0" w:color="auto" w:frame="1"/>
                <w:lang w:eastAsia="zh-CN"/>
              </w:rPr>
              <w:t>余</w:t>
            </w:r>
            <w:r w:rsidRPr="00D8272E">
              <w:rPr>
                <w:rFonts w:ascii="Times New Roman" w:eastAsia="宋体" w:hAnsi="Times New Roman" w:cs="Times New Roman"/>
                <w:sz w:val="24"/>
                <w:szCs w:val="24"/>
                <w:bdr w:val="none" w:sz="0" w:space="0" w:color="auto" w:frame="1"/>
                <w:lang w:eastAsia="zh-CN"/>
              </w:rPr>
              <w:t>额。</w:t>
            </w:r>
          </w:p>
        </w:tc>
      </w:tr>
      <w:tr w:rsidR="00D8272E" w:rsidRPr="00D8272E" w14:paraId="2459E3E0" w14:textId="77777777">
        <w:tc>
          <w:tcPr>
            <w:tcW w:w="900" w:type="dxa"/>
            <w:tcBorders>
              <w:top w:val="nil"/>
              <w:left w:val="single" w:sz="4" w:space="0" w:color="auto"/>
              <w:bottom w:val="single" w:sz="4" w:space="0" w:color="auto"/>
              <w:right w:val="single" w:sz="4" w:space="0" w:color="auto"/>
            </w:tcBorders>
            <w:vAlign w:val="center"/>
            <w:hideMark/>
          </w:tcPr>
          <w:p w14:paraId="530A655C"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2</w:t>
            </w:r>
          </w:p>
        </w:tc>
        <w:tc>
          <w:tcPr>
            <w:tcW w:w="7200" w:type="dxa"/>
            <w:tcBorders>
              <w:top w:val="nil"/>
              <w:left w:val="nil"/>
              <w:bottom w:val="single" w:sz="4" w:space="0" w:color="auto"/>
              <w:right w:val="single" w:sz="4" w:space="0" w:color="auto"/>
            </w:tcBorders>
            <w:hideMark/>
          </w:tcPr>
          <w:p w14:paraId="50DF5F5A"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根据本办法第</w:t>
            </w:r>
            <w:r w:rsidRPr="00D8272E">
              <w:rPr>
                <w:rFonts w:ascii="仿宋_GB2312" w:eastAsia="仿宋_GB2312" w:hAnsi="宋体" w:cs="宋体"/>
                <w:sz w:val="24"/>
                <w:szCs w:val="24"/>
                <w:bdr w:val="none" w:sz="0" w:space="0" w:color="auto" w:frame="1"/>
                <w:lang w:eastAsia="zh-CN"/>
              </w:rPr>
              <w:t>9</w:t>
            </w:r>
            <w:r w:rsidRPr="00D8272E">
              <w:rPr>
                <w:rFonts w:ascii="Times New Roman" w:eastAsia="宋体" w:hAnsi="Times New Roman" w:cs="Times New Roman"/>
                <w:sz w:val="24"/>
                <w:szCs w:val="24"/>
                <w:bdr w:val="none" w:sz="0" w:space="0" w:color="auto" w:frame="1"/>
                <w:lang w:eastAsia="zh-CN"/>
              </w:rPr>
              <w:t>条从</w:t>
            </w:r>
            <w:r w:rsidRPr="00D8272E">
              <w:rPr>
                <w:rFonts w:ascii="仿宋_GB2312" w:eastAsia="仿宋_GB2312" w:hAnsi="宋体" w:cs="宋体"/>
                <w:sz w:val="24"/>
                <w:szCs w:val="24"/>
                <w:bdr w:val="none" w:sz="0" w:space="0" w:color="auto" w:frame="1"/>
                <w:lang w:eastAsia="zh-CN"/>
              </w:rPr>
              <w:t>调整后的表内外资产余额</w:t>
            </w:r>
            <w:r w:rsidRPr="00D8272E">
              <w:rPr>
                <w:rFonts w:ascii="Times New Roman" w:eastAsia="宋体" w:hAnsi="Times New Roman" w:cs="Times New Roman"/>
                <w:sz w:val="24"/>
                <w:szCs w:val="24"/>
                <w:bdr w:val="none" w:sz="0" w:space="0" w:color="auto" w:frame="1"/>
                <w:lang w:eastAsia="zh-CN"/>
              </w:rPr>
              <w:t>中扣除的一级资本扣减项，以负数形式表示。</w:t>
            </w:r>
          </w:p>
        </w:tc>
      </w:tr>
      <w:tr w:rsidR="00D8272E" w:rsidRPr="00D8272E" w14:paraId="3CEFBF42" w14:textId="77777777">
        <w:tc>
          <w:tcPr>
            <w:tcW w:w="900" w:type="dxa"/>
            <w:tcBorders>
              <w:top w:val="nil"/>
              <w:left w:val="single" w:sz="4" w:space="0" w:color="auto"/>
              <w:bottom w:val="single" w:sz="4" w:space="0" w:color="auto"/>
              <w:right w:val="single" w:sz="4" w:space="0" w:color="auto"/>
            </w:tcBorders>
            <w:vAlign w:val="center"/>
            <w:hideMark/>
          </w:tcPr>
          <w:p w14:paraId="2787DC99"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3</w:t>
            </w:r>
          </w:p>
        </w:tc>
        <w:tc>
          <w:tcPr>
            <w:tcW w:w="7200" w:type="dxa"/>
            <w:tcBorders>
              <w:top w:val="nil"/>
              <w:left w:val="nil"/>
              <w:bottom w:val="single" w:sz="4" w:space="0" w:color="auto"/>
              <w:right w:val="single" w:sz="4" w:space="0" w:color="auto"/>
            </w:tcBorders>
            <w:hideMark/>
          </w:tcPr>
          <w:p w14:paraId="2226935B"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第</w:t>
            </w:r>
            <w:r w:rsidRPr="00D8272E">
              <w:rPr>
                <w:rFonts w:ascii="Times New Roman" w:eastAsia="仿宋_GB2312"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行</w:t>
            </w:r>
            <w:r w:rsidRPr="00D8272E">
              <w:rPr>
                <w:rFonts w:ascii="Times New Roman" w:eastAsia="宋体" w:hAnsi="Times New Roman" w:cs="Times New Roman"/>
                <w:sz w:val="24"/>
                <w:szCs w:val="24"/>
                <w:bdr w:val="none" w:sz="0" w:space="0" w:color="auto" w:frame="1"/>
                <w:lang w:eastAsia="zh-CN"/>
              </w:rPr>
              <w:t>和</w:t>
            </w:r>
            <w:r w:rsidRPr="00D8272E">
              <w:rPr>
                <w:rFonts w:ascii="仿宋_GB2312" w:eastAsia="仿宋_GB2312" w:hAnsi="宋体" w:cs="宋体"/>
                <w:sz w:val="24"/>
                <w:szCs w:val="24"/>
                <w:bdr w:val="none" w:sz="0" w:space="0" w:color="auto" w:frame="1"/>
                <w:lang w:eastAsia="zh-CN"/>
              </w:rPr>
              <w:t>第</w:t>
            </w:r>
            <w:r w:rsidRPr="00D8272E">
              <w:rPr>
                <w:rFonts w:ascii="Times New Roman" w:eastAsia="仿宋_GB2312"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行</w:t>
            </w:r>
            <w:r w:rsidRPr="00D8272E">
              <w:rPr>
                <w:rFonts w:ascii="Times New Roman" w:eastAsia="宋体" w:hAnsi="Times New Roman" w:cs="Times New Roman"/>
                <w:sz w:val="24"/>
                <w:szCs w:val="24"/>
                <w:bdr w:val="none" w:sz="0" w:space="0" w:color="auto" w:frame="1"/>
                <w:lang w:eastAsia="zh-CN"/>
              </w:rPr>
              <w:t>之和。</w:t>
            </w:r>
          </w:p>
        </w:tc>
      </w:tr>
      <w:tr w:rsidR="00D8272E" w:rsidRPr="00D8272E" w14:paraId="42B52BF1" w14:textId="77777777">
        <w:tc>
          <w:tcPr>
            <w:tcW w:w="900" w:type="dxa"/>
            <w:tcBorders>
              <w:top w:val="nil"/>
              <w:left w:val="single" w:sz="4" w:space="0" w:color="auto"/>
              <w:bottom w:val="single" w:sz="4" w:space="0" w:color="auto"/>
              <w:right w:val="single" w:sz="4" w:space="0" w:color="auto"/>
            </w:tcBorders>
            <w:vAlign w:val="center"/>
            <w:hideMark/>
          </w:tcPr>
          <w:p w14:paraId="54891F7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4</w:t>
            </w:r>
          </w:p>
        </w:tc>
        <w:tc>
          <w:tcPr>
            <w:tcW w:w="7200" w:type="dxa"/>
            <w:tcBorders>
              <w:top w:val="nil"/>
              <w:left w:val="nil"/>
              <w:bottom w:val="single" w:sz="4" w:space="0" w:color="auto"/>
              <w:right w:val="single" w:sz="4" w:space="0" w:color="auto"/>
            </w:tcBorders>
            <w:hideMark/>
          </w:tcPr>
          <w:p w14:paraId="2B8905ED"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现期风险暴露法计算的所有衍生产品的重置成本，扣除符合附件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规定的可扣减合格保证金。</w:t>
            </w:r>
          </w:p>
        </w:tc>
      </w:tr>
      <w:tr w:rsidR="00D8272E" w:rsidRPr="00D8272E" w14:paraId="1C461E2E" w14:textId="77777777">
        <w:tc>
          <w:tcPr>
            <w:tcW w:w="900" w:type="dxa"/>
            <w:tcBorders>
              <w:top w:val="nil"/>
              <w:left w:val="single" w:sz="4" w:space="0" w:color="auto"/>
              <w:bottom w:val="single" w:sz="4" w:space="0" w:color="auto"/>
              <w:right w:val="single" w:sz="4" w:space="0" w:color="auto"/>
            </w:tcBorders>
            <w:vAlign w:val="center"/>
            <w:hideMark/>
          </w:tcPr>
          <w:p w14:paraId="3B638408"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lastRenderedPageBreak/>
              <w:t>5</w:t>
            </w:r>
          </w:p>
        </w:tc>
        <w:tc>
          <w:tcPr>
            <w:tcW w:w="7200" w:type="dxa"/>
            <w:tcBorders>
              <w:top w:val="nil"/>
              <w:left w:val="nil"/>
              <w:bottom w:val="single" w:sz="4" w:space="0" w:color="auto"/>
              <w:right w:val="single" w:sz="4" w:space="0" w:color="auto"/>
            </w:tcBorders>
            <w:hideMark/>
          </w:tcPr>
          <w:p w14:paraId="73CD0BAF"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现期风险暴露法计算的所有衍生产品的潜在风险暴露。</w:t>
            </w:r>
          </w:p>
        </w:tc>
      </w:tr>
      <w:tr w:rsidR="00D8272E" w:rsidRPr="00D8272E" w14:paraId="4D199781" w14:textId="77777777">
        <w:tc>
          <w:tcPr>
            <w:tcW w:w="900" w:type="dxa"/>
            <w:tcBorders>
              <w:top w:val="nil"/>
              <w:left w:val="single" w:sz="4" w:space="0" w:color="auto"/>
              <w:bottom w:val="single" w:sz="4" w:space="0" w:color="auto"/>
              <w:right w:val="single" w:sz="4" w:space="0" w:color="auto"/>
            </w:tcBorders>
            <w:vAlign w:val="center"/>
            <w:hideMark/>
          </w:tcPr>
          <w:p w14:paraId="490089E0"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6</w:t>
            </w:r>
          </w:p>
        </w:tc>
        <w:tc>
          <w:tcPr>
            <w:tcW w:w="7200" w:type="dxa"/>
            <w:tcBorders>
              <w:top w:val="nil"/>
              <w:left w:val="nil"/>
              <w:bottom w:val="single" w:sz="4" w:space="0" w:color="auto"/>
              <w:right w:val="single" w:sz="4" w:space="0" w:color="auto"/>
            </w:tcBorders>
            <w:hideMark/>
          </w:tcPr>
          <w:p w14:paraId="34B634EF"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规定，已从资产负债表中扣除的、为衍生产品合约提供的抵质押品总和。</w:t>
            </w:r>
          </w:p>
        </w:tc>
      </w:tr>
      <w:tr w:rsidR="00D8272E" w:rsidRPr="00D8272E" w14:paraId="626CCCD8" w14:textId="77777777">
        <w:tc>
          <w:tcPr>
            <w:tcW w:w="900" w:type="dxa"/>
            <w:tcBorders>
              <w:top w:val="nil"/>
              <w:left w:val="single" w:sz="4" w:space="0" w:color="auto"/>
              <w:bottom w:val="single" w:sz="4" w:space="0" w:color="auto"/>
              <w:right w:val="single" w:sz="4" w:space="0" w:color="auto"/>
            </w:tcBorders>
            <w:vAlign w:val="center"/>
            <w:hideMark/>
          </w:tcPr>
          <w:p w14:paraId="69D6122B"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7</w:t>
            </w:r>
          </w:p>
        </w:tc>
        <w:tc>
          <w:tcPr>
            <w:tcW w:w="7200" w:type="dxa"/>
            <w:tcBorders>
              <w:top w:val="nil"/>
              <w:left w:val="nil"/>
              <w:bottom w:val="single" w:sz="4" w:space="0" w:color="auto"/>
              <w:right w:val="single" w:sz="4" w:space="0" w:color="auto"/>
            </w:tcBorders>
            <w:hideMark/>
          </w:tcPr>
          <w:p w14:paraId="5483E173"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规定</w:t>
            </w:r>
            <w:r w:rsidRPr="00D8272E">
              <w:rPr>
                <w:rFonts w:ascii="仿宋_GB2312" w:eastAsia="仿宋_GB2312" w:hAnsi="宋体" w:cs="宋体"/>
                <w:sz w:val="24"/>
                <w:szCs w:val="24"/>
                <w:bdr w:val="none" w:sz="0" w:space="0" w:color="auto" w:frame="1"/>
                <w:lang w:eastAsia="zh-CN"/>
              </w:rPr>
              <w:t>，</w:t>
            </w:r>
            <w:r w:rsidRPr="00D8272E">
              <w:rPr>
                <w:rFonts w:ascii="Times New Roman" w:eastAsia="宋体" w:hAnsi="Times New Roman" w:cs="Times New Roman"/>
                <w:sz w:val="24"/>
                <w:szCs w:val="24"/>
                <w:bdr w:val="none" w:sz="0" w:space="0" w:color="auto" w:frame="1"/>
                <w:lang w:eastAsia="zh-CN"/>
              </w:rPr>
              <w:t>因提供合格保证金形成的应收</w:t>
            </w:r>
            <w:r w:rsidRPr="00D8272E">
              <w:rPr>
                <w:rFonts w:ascii="仿宋_GB2312" w:eastAsia="仿宋_GB2312" w:hAnsi="宋体" w:cs="宋体"/>
                <w:sz w:val="24"/>
                <w:szCs w:val="24"/>
                <w:bdr w:val="none" w:sz="0" w:space="0" w:color="auto" w:frame="1"/>
                <w:lang w:eastAsia="zh-CN"/>
              </w:rPr>
              <w:t>账款</w:t>
            </w:r>
            <w:r w:rsidRPr="00D8272E">
              <w:rPr>
                <w:rFonts w:ascii="Times New Roman" w:eastAsia="宋体" w:hAnsi="Times New Roman" w:cs="Times New Roman"/>
                <w:sz w:val="24"/>
                <w:szCs w:val="24"/>
                <w:bdr w:val="none" w:sz="0" w:space="0" w:color="auto" w:frame="1"/>
                <w:lang w:eastAsia="zh-CN"/>
              </w:rPr>
              <w:t>，以负数形式表示。</w:t>
            </w:r>
          </w:p>
        </w:tc>
      </w:tr>
      <w:tr w:rsidR="00D8272E" w:rsidRPr="00D8272E" w14:paraId="491EA913" w14:textId="77777777">
        <w:tc>
          <w:tcPr>
            <w:tcW w:w="900" w:type="dxa"/>
            <w:tcBorders>
              <w:top w:val="nil"/>
              <w:left w:val="single" w:sz="4" w:space="0" w:color="auto"/>
              <w:bottom w:val="single" w:sz="4" w:space="0" w:color="auto"/>
              <w:right w:val="single" w:sz="4" w:space="0" w:color="auto"/>
            </w:tcBorders>
            <w:vAlign w:val="center"/>
            <w:hideMark/>
          </w:tcPr>
          <w:p w14:paraId="02FB7308"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8</w:t>
            </w:r>
          </w:p>
        </w:tc>
        <w:tc>
          <w:tcPr>
            <w:tcW w:w="7200" w:type="dxa"/>
            <w:tcBorders>
              <w:top w:val="nil"/>
              <w:left w:val="nil"/>
              <w:bottom w:val="single" w:sz="4" w:space="0" w:color="auto"/>
              <w:right w:val="single" w:sz="4" w:space="0" w:color="auto"/>
            </w:tcBorders>
            <w:hideMark/>
          </w:tcPr>
          <w:p w14:paraId="0378B75A"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规定</w:t>
            </w:r>
            <w:r w:rsidRPr="00D8272E">
              <w:rPr>
                <w:rFonts w:ascii="仿宋_GB2312" w:eastAsia="仿宋_GB2312" w:hAnsi="宋体" w:cs="宋体"/>
                <w:sz w:val="24"/>
                <w:szCs w:val="24"/>
                <w:bdr w:val="none" w:sz="0" w:space="0" w:color="auto" w:frame="1"/>
                <w:lang w:eastAsia="zh-CN"/>
              </w:rPr>
              <w:t>，</w:t>
            </w:r>
            <w:r w:rsidRPr="00D8272E">
              <w:rPr>
                <w:rFonts w:ascii="Times New Roman" w:eastAsia="宋体" w:hAnsi="Times New Roman" w:cs="Times New Roman"/>
                <w:sz w:val="24"/>
                <w:szCs w:val="24"/>
                <w:bdr w:val="none" w:sz="0" w:space="0" w:color="auto" w:frame="1"/>
                <w:lang w:eastAsia="zh-CN"/>
              </w:rPr>
              <w:t>可以从衍生产品资产余额中扣除的与中央交易对手交易形成的衍生产品资产余额，以负数形式表示。</w:t>
            </w:r>
          </w:p>
        </w:tc>
      </w:tr>
      <w:tr w:rsidR="00D8272E" w:rsidRPr="00D8272E" w14:paraId="39F8399F" w14:textId="77777777">
        <w:tc>
          <w:tcPr>
            <w:tcW w:w="900" w:type="dxa"/>
            <w:tcBorders>
              <w:top w:val="nil"/>
              <w:left w:val="single" w:sz="4" w:space="0" w:color="auto"/>
              <w:bottom w:val="single" w:sz="4" w:space="0" w:color="auto"/>
              <w:right w:val="single" w:sz="4" w:space="0" w:color="auto"/>
            </w:tcBorders>
            <w:vAlign w:val="center"/>
            <w:hideMark/>
          </w:tcPr>
          <w:p w14:paraId="38492347"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9</w:t>
            </w:r>
          </w:p>
        </w:tc>
        <w:tc>
          <w:tcPr>
            <w:tcW w:w="7200" w:type="dxa"/>
            <w:tcBorders>
              <w:top w:val="nil"/>
              <w:left w:val="nil"/>
              <w:bottom w:val="single" w:sz="4" w:space="0" w:color="auto"/>
              <w:right w:val="single" w:sz="4" w:space="0" w:color="auto"/>
            </w:tcBorders>
            <w:hideMark/>
          </w:tcPr>
          <w:p w14:paraId="68DB23C5"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计算的卖出信用衍生产品的有效名义本金。</w:t>
            </w:r>
          </w:p>
        </w:tc>
      </w:tr>
      <w:tr w:rsidR="00D8272E" w:rsidRPr="00D8272E" w14:paraId="2F5A2AEF" w14:textId="77777777">
        <w:tc>
          <w:tcPr>
            <w:tcW w:w="900" w:type="dxa"/>
            <w:tcBorders>
              <w:top w:val="nil"/>
              <w:left w:val="single" w:sz="4" w:space="0" w:color="auto"/>
              <w:bottom w:val="single" w:sz="4" w:space="0" w:color="auto"/>
              <w:right w:val="single" w:sz="4" w:space="0" w:color="auto"/>
            </w:tcBorders>
            <w:vAlign w:val="center"/>
            <w:hideMark/>
          </w:tcPr>
          <w:p w14:paraId="02C768AD"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0</w:t>
            </w:r>
          </w:p>
        </w:tc>
        <w:tc>
          <w:tcPr>
            <w:tcW w:w="7200" w:type="dxa"/>
            <w:tcBorders>
              <w:top w:val="nil"/>
              <w:left w:val="nil"/>
              <w:bottom w:val="single" w:sz="4" w:space="0" w:color="auto"/>
              <w:right w:val="single" w:sz="4" w:space="0" w:color="auto"/>
            </w:tcBorders>
            <w:hideMark/>
          </w:tcPr>
          <w:p w14:paraId="37075525"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Times New Roman" w:cs="Times New Roman"/>
                <w:sz w:val="24"/>
                <w:szCs w:val="24"/>
                <w:bdr w:val="none" w:sz="0" w:space="0" w:color="auto" w:frame="1"/>
                <w:lang w:eastAsia="zh-CN"/>
              </w:rPr>
              <w:t>计算的可从衍生产品资产余额中扣除的符合条件的信用衍生产品有效名义</w:t>
            </w:r>
            <w:r w:rsidRPr="00D8272E">
              <w:rPr>
                <w:rFonts w:ascii="仿宋_GB2312" w:eastAsia="仿宋_GB2312" w:hAnsi="宋体" w:cs="宋体"/>
                <w:sz w:val="24"/>
                <w:szCs w:val="24"/>
                <w:bdr w:val="none" w:sz="0" w:space="0" w:color="auto" w:frame="1"/>
                <w:lang w:eastAsia="zh-CN"/>
              </w:rPr>
              <w:t>本金和潜在风险暴露</w:t>
            </w:r>
            <w:r w:rsidRPr="00D8272E">
              <w:rPr>
                <w:rFonts w:ascii="Times New Roman" w:eastAsia="宋体" w:hAnsi="Times New Roman" w:cs="Times New Roman"/>
                <w:sz w:val="24"/>
                <w:szCs w:val="24"/>
                <w:bdr w:val="none" w:sz="0" w:space="0" w:color="auto" w:frame="1"/>
                <w:lang w:eastAsia="zh-CN"/>
              </w:rPr>
              <w:t>，以负数形式表示。</w:t>
            </w:r>
          </w:p>
        </w:tc>
      </w:tr>
      <w:tr w:rsidR="00D8272E" w:rsidRPr="00D8272E" w14:paraId="21D37D6F" w14:textId="77777777">
        <w:tc>
          <w:tcPr>
            <w:tcW w:w="900" w:type="dxa"/>
            <w:tcBorders>
              <w:top w:val="nil"/>
              <w:left w:val="single" w:sz="4" w:space="0" w:color="auto"/>
              <w:bottom w:val="single" w:sz="4" w:space="0" w:color="auto"/>
              <w:right w:val="single" w:sz="4" w:space="0" w:color="auto"/>
            </w:tcBorders>
            <w:vAlign w:val="center"/>
            <w:hideMark/>
          </w:tcPr>
          <w:p w14:paraId="312DF009"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11</w:t>
            </w:r>
          </w:p>
        </w:tc>
        <w:tc>
          <w:tcPr>
            <w:tcW w:w="7200" w:type="dxa"/>
            <w:tcBorders>
              <w:top w:val="nil"/>
              <w:left w:val="nil"/>
              <w:bottom w:val="single" w:sz="4" w:space="0" w:color="auto"/>
              <w:right w:val="single" w:sz="4" w:space="0" w:color="auto"/>
            </w:tcBorders>
            <w:hideMark/>
          </w:tcPr>
          <w:p w14:paraId="4A5E619C"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第</w:t>
            </w:r>
            <w:r w:rsidRPr="00D8272E">
              <w:rPr>
                <w:rFonts w:ascii="Times New Roman" w:eastAsia="仿宋_GB2312" w:hAnsi="Times New Roman" w:cs="Times New Roman"/>
                <w:sz w:val="24"/>
                <w:szCs w:val="24"/>
                <w:bdr w:val="none" w:sz="0" w:space="0" w:color="auto" w:frame="1"/>
                <w:lang w:eastAsia="zh-CN"/>
              </w:rPr>
              <w:t>4</w:t>
            </w:r>
            <w:r w:rsidRPr="00D8272E">
              <w:rPr>
                <w:rFonts w:ascii="仿宋_GB2312" w:eastAsia="仿宋_GB2312" w:hAnsi="宋体" w:cs="宋体"/>
                <w:sz w:val="24"/>
                <w:szCs w:val="24"/>
                <w:bdr w:val="none" w:sz="0" w:space="0" w:color="auto" w:frame="1"/>
                <w:lang w:eastAsia="zh-CN"/>
              </w:rPr>
              <w:t>行</w:t>
            </w:r>
            <w:r w:rsidRPr="00D8272E">
              <w:rPr>
                <w:rFonts w:ascii="Times New Roman" w:eastAsia="宋体" w:hAnsi="Times New Roman" w:cs="Times New Roman"/>
                <w:sz w:val="24"/>
                <w:szCs w:val="24"/>
                <w:bdr w:val="none" w:sz="0" w:space="0" w:color="auto" w:frame="1"/>
                <w:lang w:eastAsia="zh-CN"/>
              </w:rPr>
              <w:t>至第</w:t>
            </w:r>
            <w:r w:rsidRPr="00D8272E">
              <w:rPr>
                <w:rFonts w:ascii="仿宋_GB2312" w:eastAsia="仿宋_GB2312" w:hAnsi="宋体" w:cs="宋体"/>
                <w:sz w:val="24"/>
                <w:szCs w:val="24"/>
                <w:bdr w:val="none" w:sz="0" w:space="0" w:color="auto" w:frame="1"/>
                <w:lang w:eastAsia="zh-CN"/>
              </w:rPr>
              <w:t>10行</w:t>
            </w:r>
            <w:r w:rsidRPr="00D8272E">
              <w:rPr>
                <w:rFonts w:ascii="Times New Roman" w:eastAsia="宋体" w:hAnsi="Times New Roman" w:cs="Times New Roman"/>
                <w:sz w:val="24"/>
                <w:szCs w:val="24"/>
                <w:bdr w:val="none" w:sz="0" w:space="0" w:color="auto" w:frame="1"/>
                <w:lang w:eastAsia="zh-CN"/>
              </w:rPr>
              <w:t>之和。</w:t>
            </w:r>
          </w:p>
        </w:tc>
      </w:tr>
      <w:tr w:rsidR="00D8272E" w:rsidRPr="00D8272E" w14:paraId="5E32A92D" w14:textId="77777777">
        <w:tc>
          <w:tcPr>
            <w:tcW w:w="900" w:type="dxa"/>
            <w:tcBorders>
              <w:top w:val="nil"/>
              <w:left w:val="single" w:sz="4" w:space="0" w:color="auto"/>
              <w:bottom w:val="single" w:sz="4" w:space="0" w:color="auto"/>
              <w:right w:val="single" w:sz="4" w:space="0" w:color="auto"/>
            </w:tcBorders>
            <w:vAlign w:val="center"/>
            <w:hideMark/>
          </w:tcPr>
          <w:p w14:paraId="497FC40B"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2</w:t>
            </w:r>
          </w:p>
        </w:tc>
        <w:tc>
          <w:tcPr>
            <w:tcW w:w="7200" w:type="dxa"/>
            <w:tcBorders>
              <w:top w:val="nil"/>
              <w:left w:val="nil"/>
              <w:bottom w:val="single" w:sz="4" w:space="0" w:color="auto"/>
              <w:right w:val="single" w:sz="4" w:space="0" w:color="auto"/>
            </w:tcBorders>
            <w:hideMark/>
          </w:tcPr>
          <w:p w14:paraId="4590C717"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Times New Roman" w:cs="Times New Roman"/>
                <w:sz w:val="24"/>
                <w:szCs w:val="24"/>
                <w:bdr w:val="none" w:sz="0" w:space="0" w:color="auto" w:frame="1"/>
                <w:lang w:eastAsia="zh-CN"/>
              </w:rPr>
              <w:t>规定，</w:t>
            </w:r>
            <w:r w:rsidRPr="00D8272E">
              <w:rPr>
                <w:rFonts w:ascii="仿宋_GB2312" w:eastAsia="仿宋_GB2312" w:hAnsi="宋体" w:cs="宋体"/>
                <w:sz w:val="24"/>
                <w:szCs w:val="24"/>
                <w:bdr w:val="none" w:sz="0" w:space="0" w:color="auto" w:frame="1"/>
                <w:lang w:eastAsia="zh-CN"/>
              </w:rPr>
              <w:t>未</w:t>
            </w:r>
            <w:r w:rsidRPr="00D8272E">
              <w:rPr>
                <w:rFonts w:ascii="Times New Roman" w:eastAsia="宋体" w:hAnsi="Times New Roman" w:cs="Times New Roman"/>
                <w:sz w:val="24"/>
                <w:szCs w:val="24"/>
                <w:bdr w:val="none" w:sz="0" w:space="0" w:color="auto" w:frame="1"/>
                <w:lang w:eastAsia="zh-CN"/>
              </w:rPr>
              <w:t>进行净额结算的证券融资交易会计资产总额，包括按照财务会计准则可出表但按附件</w:t>
            </w: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Times New Roman" w:cs="Times New Roman"/>
                <w:sz w:val="24"/>
                <w:szCs w:val="24"/>
                <w:bdr w:val="none" w:sz="0" w:space="0" w:color="auto" w:frame="1"/>
                <w:lang w:eastAsia="zh-CN"/>
              </w:rPr>
              <w:t>规定应当加回的证券融资交易会计资产。</w:t>
            </w:r>
          </w:p>
        </w:tc>
      </w:tr>
      <w:tr w:rsidR="00D8272E" w:rsidRPr="00D8272E" w14:paraId="410A703E" w14:textId="77777777">
        <w:tc>
          <w:tcPr>
            <w:tcW w:w="900" w:type="dxa"/>
            <w:tcBorders>
              <w:top w:val="nil"/>
              <w:left w:val="single" w:sz="4" w:space="0" w:color="auto"/>
              <w:bottom w:val="single" w:sz="4" w:space="0" w:color="auto"/>
              <w:right w:val="single" w:sz="4" w:space="0" w:color="auto"/>
            </w:tcBorders>
            <w:vAlign w:val="center"/>
            <w:hideMark/>
          </w:tcPr>
          <w:p w14:paraId="58910BCC"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3</w:t>
            </w:r>
          </w:p>
        </w:tc>
        <w:tc>
          <w:tcPr>
            <w:tcW w:w="7200" w:type="dxa"/>
            <w:tcBorders>
              <w:top w:val="nil"/>
              <w:left w:val="nil"/>
              <w:bottom w:val="single" w:sz="4" w:space="0" w:color="auto"/>
              <w:right w:val="single" w:sz="4" w:space="0" w:color="auto"/>
            </w:tcBorders>
            <w:hideMark/>
          </w:tcPr>
          <w:p w14:paraId="4F7E72E4"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规定，可以根据净额结算规则扣除的证券融资交易资产余额，以负数形式表示</w:t>
            </w:r>
            <w:r w:rsidRPr="00D8272E">
              <w:rPr>
                <w:rFonts w:ascii="Times New Roman" w:eastAsia="宋体" w:hAnsi="Times New Roman" w:cs="Times New Roman"/>
                <w:sz w:val="24"/>
                <w:szCs w:val="24"/>
                <w:bdr w:val="none" w:sz="0" w:space="0" w:color="auto" w:frame="1"/>
                <w:lang w:eastAsia="zh-CN"/>
              </w:rPr>
              <w:t>。</w:t>
            </w:r>
          </w:p>
        </w:tc>
      </w:tr>
      <w:tr w:rsidR="00D8272E" w:rsidRPr="00D8272E" w14:paraId="420A9133" w14:textId="77777777">
        <w:tc>
          <w:tcPr>
            <w:tcW w:w="900" w:type="dxa"/>
            <w:tcBorders>
              <w:top w:val="nil"/>
              <w:left w:val="single" w:sz="4" w:space="0" w:color="auto"/>
              <w:bottom w:val="single" w:sz="4" w:space="0" w:color="auto"/>
              <w:right w:val="single" w:sz="4" w:space="0" w:color="auto"/>
            </w:tcBorders>
            <w:vAlign w:val="center"/>
            <w:hideMark/>
          </w:tcPr>
          <w:p w14:paraId="4880C514"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4</w:t>
            </w:r>
          </w:p>
        </w:tc>
        <w:tc>
          <w:tcPr>
            <w:tcW w:w="7200" w:type="dxa"/>
            <w:tcBorders>
              <w:top w:val="nil"/>
              <w:left w:val="nil"/>
              <w:bottom w:val="single" w:sz="4" w:space="0" w:color="auto"/>
              <w:right w:val="single" w:sz="4" w:space="0" w:color="auto"/>
            </w:tcBorders>
            <w:hideMark/>
          </w:tcPr>
          <w:p w14:paraId="0F155FD8"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Times New Roman" w:cs="Times New Roman"/>
                <w:sz w:val="24"/>
                <w:szCs w:val="24"/>
                <w:bdr w:val="none" w:sz="0" w:space="0" w:color="auto" w:frame="1"/>
                <w:lang w:eastAsia="zh-CN"/>
              </w:rPr>
              <w:t>计算的证券融资交易的交易对手信用风险暴露。</w:t>
            </w:r>
          </w:p>
        </w:tc>
      </w:tr>
      <w:tr w:rsidR="00D8272E" w:rsidRPr="00D8272E" w14:paraId="5B4D8A30" w14:textId="77777777">
        <w:tc>
          <w:tcPr>
            <w:tcW w:w="900" w:type="dxa"/>
            <w:tcBorders>
              <w:top w:val="nil"/>
              <w:left w:val="single" w:sz="4" w:space="0" w:color="auto"/>
              <w:bottom w:val="single" w:sz="4" w:space="0" w:color="auto"/>
              <w:right w:val="single" w:sz="4" w:space="0" w:color="auto"/>
            </w:tcBorders>
            <w:vAlign w:val="center"/>
            <w:hideMark/>
          </w:tcPr>
          <w:p w14:paraId="2A71200E"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5</w:t>
            </w:r>
          </w:p>
        </w:tc>
        <w:tc>
          <w:tcPr>
            <w:tcW w:w="7200" w:type="dxa"/>
            <w:tcBorders>
              <w:top w:val="nil"/>
              <w:left w:val="nil"/>
              <w:bottom w:val="single" w:sz="4" w:space="0" w:color="auto"/>
              <w:right w:val="single" w:sz="4" w:space="0" w:color="auto"/>
            </w:tcBorders>
            <w:hideMark/>
          </w:tcPr>
          <w:p w14:paraId="50E77A59"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根据本办法附件</w:t>
            </w: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Times New Roman" w:cs="Times New Roman"/>
                <w:sz w:val="24"/>
                <w:szCs w:val="24"/>
                <w:bdr w:val="none" w:sz="0" w:space="0" w:color="auto" w:frame="1"/>
                <w:lang w:eastAsia="zh-CN"/>
              </w:rPr>
              <w:t>计算的代理证券融资交易形成的证券融资交易资产余额。</w:t>
            </w:r>
          </w:p>
        </w:tc>
      </w:tr>
      <w:tr w:rsidR="00D8272E" w:rsidRPr="00D8272E" w14:paraId="678CAC27" w14:textId="77777777">
        <w:tc>
          <w:tcPr>
            <w:tcW w:w="900" w:type="dxa"/>
            <w:tcBorders>
              <w:top w:val="nil"/>
              <w:left w:val="single" w:sz="4" w:space="0" w:color="auto"/>
              <w:bottom w:val="single" w:sz="4" w:space="0" w:color="auto"/>
              <w:right w:val="single" w:sz="4" w:space="0" w:color="auto"/>
            </w:tcBorders>
            <w:vAlign w:val="center"/>
            <w:hideMark/>
          </w:tcPr>
          <w:p w14:paraId="48BB35D1"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6</w:t>
            </w:r>
          </w:p>
        </w:tc>
        <w:tc>
          <w:tcPr>
            <w:tcW w:w="7200" w:type="dxa"/>
            <w:tcBorders>
              <w:top w:val="nil"/>
              <w:left w:val="nil"/>
              <w:bottom w:val="single" w:sz="4" w:space="0" w:color="auto"/>
              <w:right w:val="single" w:sz="4" w:space="0" w:color="auto"/>
            </w:tcBorders>
            <w:hideMark/>
          </w:tcPr>
          <w:p w14:paraId="510C7FB9"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第</w:t>
            </w:r>
            <w:r w:rsidRPr="00D8272E">
              <w:rPr>
                <w:rFonts w:ascii="Times New Roman" w:eastAsia="仿宋_GB2312" w:hAnsi="Times New Roman" w:cs="Times New Roman"/>
                <w:sz w:val="24"/>
                <w:szCs w:val="24"/>
                <w:bdr w:val="none" w:sz="0" w:space="0" w:color="auto" w:frame="1"/>
                <w:lang w:eastAsia="zh-CN"/>
              </w:rPr>
              <w:t>12</w:t>
            </w:r>
            <w:r w:rsidRPr="00D8272E">
              <w:rPr>
                <w:rFonts w:ascii="仿宋_GB2312" w:eastAsia="仿宋_GB2312" w:hAnsi="宋体" w:cs="宋体"/>
                <w:sz w:val="24"/>
                <w:szCs w:val="24"/>
                <w:bdr w:val="none" w:sz="0" w:space="0" w:color="auto" w:frame="1"/>
                <w:lang w:eastAsia="zh-CN"/>
              </w:rPr>
              <w:t>行</w:t>
            </w:r>
            <w:r w:rsidRPr="00D8272E">
              <w:rPr>
                <w:rFonts w:ascii="Times New Roman" w:eastAsia="宋体" w:hAnsi="Times New Roman" w:cs="Times New Roman"/>
                <w:sz w:val="24"/>
                <w:szCs w:val="24"/>
                <w:bdr w:val="none" w:sz="0" w:space="0" w:color="auto" w:frame="1"/>
                <w:lang w:eastAsia="zh-CN"/>
              </w:rPr>
              <w:t>至第</w:t>
            </w:r>
            <w:r w:rsidRPr="00D8272E">
              <w:rPr>
                <w:rFonts w:ascii="仿宋_GB2312" w:eastAsia="仿宋_GB2312" w:hAnsi="宋体" w:cs="宋体"/>
                <w:sz w:val="24"/>
                <w:szCs w:val="24"/>
                <w:bdr w:val="none" w:sz="0" w:space="0" w:color="auto" w:frame="1"/>
                <w:lang w:eastAsia="zh-CN"/>
              </w:rPr>
              <w:t>15行</w:t>
            </w:r>
            <w:r w:rsidRPr="00D8272E">
              <w:rPr>
                <w:rFonts w:ascii="Times New Roman" w:eastAsia="宋体" w:hAnsi="Times New Roman" w:cs="Times New Roman"/>
                <w:sz w:val="24"/>
                <w:szCs w:val="24"/>
                <w:bdr w:val="none" w:sz="0" w:space="0" w:color="auto" w:frame="1"/>
                <w:lang w:eastAsia="zh-CN"/>
              </w:rPr>
              <w:t>之和。</w:t>
            </w:r>
          </w:p>
        </w:tc>
      </w:tr>
      <w:tr w:rsidR="00D8272E" w:rsidRPr="00D8272E" w14:paraId="32B0CF12" w14:textId="77777777">
        <w:tc>
          <w:tcPr>
            <w:tcW w:w="900" w:type="dxa"/>
            <w:tcBorders>
              <w:top w:val="nil"/>
              <w:left w:val="single" w:sz="4" w:space="0" w:color="auto"/>
              <w:bottom w:val="single" w:sz="4" w:space="0" w:color="auto"/>
              <w:right w:val="single" w:sz="4" w:space="0" w:color="auto"/>
            </w:tcBorders>
            <w:vAlign w:val="center"/>
            <w:hideMark/>
          </w:tcPr>
          <w:p w14:paraId="1AB54D1B"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7</w:t>
            </w:r>
          </w:p>
        </w:tc>
        <w:tc>
          <w:tcPr>
            <w:tcW w:w="7200" w:type="dxa"/>
            <w:tcBorders>
              <w:top w:val="nil"/>
              <w:left w:val="nil"/>
              <w:bottom w:val="single" w:sz="4" w:space="0" w:color="auto"/>
              <w:right w:val="single" w:sz="4" w:space="0" w:color="auto"/>
            </w:tcBorders>
            <w:hideMark/>
          </w:tcPr>
          <w:p w14:paraId="385BBEBB"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所有表外项目的总金额。</w:t>
            </w:r>
          </w:p>
        </w:tc>
      </w:tr>
      <w:tr w:rsidR="00D8272E" w:rsidRPr="00D8272E" w14:paraId="4A037B07" w14:textId="77777777">
        <w:tc>
          <w:tcPr>
            <w:tcW w:w="900" w:type="dxa"/>
            <w:tcBorders>
              <w:top w:val="nil"/>
              <w:left w:val="single" w:sz="4" w:space="0" w:color="auto"/>
              <w:bottom w:val="single" w:sz="4" w:space="0" w:color="auto"/>
              <w:right w:val="single" w:sz="4" w:space="0" w:color="auto"/>
            </w:tcBorders>
            <w:vAlign w:val="center"/>
            <w:hideMark/>
          </w:tcPr>
          <w:p w14:paraId="4404B5CA"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8</w:t>
            </w:r>
          </w:p>
        </w:tc>
        <w:tc>
          <w:tcPr>
            <w:tcW w:w="7200" w:type="dxa"/>
            <w:tcBorders>
              <w:top w:val="nil"/>
              <w:left w:val="nil"/>
              <w:bottom w:val="single" w:sz="4" w:space="0" w:color="auto"/>
              <w:right w:val="single" w:sz="4" w:space="0" w:color="auto"/>
            </w:tcBorders>
            <w:hideMark/>
          </w:tcPr>
          <w:p w14:paraId="03BECE78"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根据本办法第</w:t>
            </w: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4</w:t>
            </w:r>
            <w:r w:rsidRPr="00D8272E">
              <w:rPr>
                <w:rFonts w:ascii="Times New Roman" w:eastAsia="宋体" w:hAnsi="Times New Roman" w:cs="Times New Roman"/>
                <w:sz w:val="24"/>
                <w:szCs w:val="24"/>
                <w:bdr w:val="none" w:sz="0" w:space="0" w:color="auto" w:frame="1"/>
                <w:lang w:eastAsia="zh-CN"/>
              </w:rPr>
              <w:t>条规定</w:t>
            </w:r>
            <w:r w:rsidRPr="00D8272E">
              <w:rPr>
                <w:rFonts w:ascii="仿宋_GB2312" w:eastAsia="仿宋_GB2312" w:hAnsi="宋体" w:cs="宋体"/>
                <w:sz w:val="24"/>
                <w:szCs w:val="24"/>
                <w:bdr w:val="none" w:sz="0" w:space="0" w:color="auto" w:frame="1"/>
                <w:lang w:eastAsia="zh-CN"/>
              </w:rPr>
              <w:t>，</w:t>
            </w:r>
            <w:r w:rsidRPr="00D8272E">
              <w:rPr>
                <w:rFonts w:ascii="Times New Roman" w:eastAsia="宋体" w:hAnsi="Times New Roman" w:cs="Times New Roman"/>
                <w:sz w:val="24"/>
                <w:szCs w:val="24"/>
                <w:bdr w:val="none" w:sz="0" w:space="0" w:color="auto" w:frame="1"/>
                <w:lang w:eastAsia="zh-CN"/>
              </w:rPr>
              <w:t>信用转换后导致表外项目</w:t>
            </w:r>
            <w:r w:rsidRPr="00D8272E">
              <w:rPr>
                <w:rFonts w:ascii="仿宋_GB2312" w:eastAsia="仿宋_GB2312" w:hAnsi="宋体" w:cs="宋体"/>
                <w:sz w:val="24"/>
                <w:szCs w:val="24"/>
                <w:bdr w:val="none" w:sz="0" w:space="0" w:color="auto" w:frame="1"/>
                <w:lang w:eastAsia="zh-CN"/>
              </w:rPr>
              <w:t>余额</w:t>
            </w:r>
            <w:r w:rsidRPr="00D8272E">
              <w:rPr>
                <w:rFonts w:ascii="Times New Roman" w:eastAsia="宋体" w:hAnsi="Times New Roman" w:cs="Times New Roman"/>
                <w:sz w:val="24"/>
                <w:szCs w:val="24"/>
                <w:bdr w:val="none" w:sz="0" w:space="0" w:color="auto" w:frame="1"/>
                <w:lang w:eastAsia="zh-CN"/>
              </w:rPr>
              <w:t>减少的总额，以负数形式表示。</w:t>
            </w:r>
          </w:p>
        </w:tc>
      </w:tr>
      <w:tr w:rsidR="00D8272E" w:rsidRPr="00D8272E" w14:paraId="5418E9C8" w14:textId="77777777">
        <w:tc>
          <w:tcPr>
            <w:tcW w:w="900" w:type="dxa"/>
            <w:tcBorders>
              <w:top w:val="nil"/>
              <w:left w:val="single" w:sz="4" w:space="0" w:color="auto"/>
              <w:bottom w:val="single" w:sz="4" w:space="0" w:color="auto"/>
              <w:right w:val="single" w:sz="4" w:space="0" w:color="auto"/>
            </w:tcBorders>
            <w:vAlign w:val="center"/>
            <w:hideMark/>
          </w:tcPr>
          <w:p w14:paraId="0293A68B"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1</w:t>
            </w:r>
            <w:r w:rsidRPr="00D8272E">
              <w:rPr>
                <w:rFonts w:ascii="仿宋_GB2312" w:eastAsia="仿宋_GB2312" w:hAnsi="宋体" w:cs="宋体"/>
                <w:sz w:val="24"/>
                <w:szCs w:val="24"/>
                <w:bdr w:val="none" w:sz="0" w:space="0" w:color="auto" w:frame="1"/>
                <w:lang w:eastAsia="zh-CN"/>
              </w:rPr>
              <w:t>9</w:t>
            </w:r>
          </w:p>
        </w:tc>
        <w:tc>
          <w:tcPr>
            <w:tcW w:w="7200" w:type="dxa"/>
            <w:tcBorders>
              <w:top w:val="nil"/>
              <w:left w:val="nil"/>
              <w:bottom w:val="single" w:sz="4" w:space="0" w:color="auto"/>
              <w:right w:val="single" w:sz="4" w:space="0" w:color="auto"/>
            </w:tcBorders>
            <w:hideMark/>
          </w:tcPr>
          <w:p w14:paraId="7568E4A8"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第</w:t>
            </w:r>
            <w:r w:rsidRPr="00D8272E">
              <w:rPr>
                <w:rFonts w:ascii="Times New Roman" w:eastAsia="仿宋_GB2312" w:hAnsi="Times New Roman" w:cs="Times New Roman"/>
                <w:sz w:val="24"/>
                <w:szCs w:val="24"/>
                <w:bdr w:val="none" w:sz="0" w:space="0" w:color="auto" w:frame="1"/>
                <w:lang w:eastAsia="zh-CN"/>
              </w:rPr>
              <w:t>17</w:t>
            </w:r>
            <w:r w:rsidRPr="00D8272E">
              <w:rPr>
                <w:rFonts w:ascii="仿宋_GB2312" w:eastAsia="仿宋_GB2312" w:hAnsi="宋体" w:cs="宋体"/>
                <w:sz w:val="24"/>
                <w:szCs w:val="24"/>
                <w:bdr w:val="none" w:sz="0" w:space="0" w:color="auto" w:frame="1"/>
                <w:lang w:eastAsia="zh-CN"/>
              </w:rPr>
              <w:t>行和</w:t>
            </w:r>
            <w:r w:rsidRPr="00D8272E">
              <w:rPr>
                <w:rFonts w:ascii="Times New Roman" w:eastAsia="宋体" w:hAnsi="Times New Roman" w:cs="Times New Roman"/>
                <w:sz w:val="24"/>
                <w:szCs w:val="24"/>
                <w:bdr w:val="none" w:sz="0" w:space="0" w:color="auto" w:frame="1"/>
                <w:lang w:eastAsia="zh-CN"/>
              </w:rPr>
              <w:t>第</w:t>
            </w:r>
            <w:r w:rsidRPr="00D8272E">
              <w:rPr>
                <w:rFonts w:ascii="仿宋_GB2312" w:eastAsia="仿宋_GB2312" w:hAnsi="宋体" w:cs="宋体"/>
                <w:sz w:val="24"/>
                <w:szCs w:val="24"/>
                <w:bdr w:val="none" w:sz="0" w:space="0" w:color="auto" w:frame="1"/>
                <w:lang w:eastAsia="zh-CN"/>
              </w:rPr>
              <w:t>18行</w:t>
            </w:r>
            <w:r w:rsidRPr="00D8272E">
              <w:rPr>
                <w:rFonts w:ascii="Times New Roman" w:eastAsia="宋体" w:hAnsi="Times New Roman" w:cs="Times New Roman"/>
                <w:sz w:val="24"/>
                <w:szCs w:val="24"/>
                <w:bdr w:val="none" w:sz="0" w:space="0" w:color="auto" w:frame="1"/>
                <w:lang w:eastAsia="zh-CN"/>
              </w:rPr>
              <w:t>之和。</w:t>
            </w:r>
          </w:p>
        </w:tc>
      </w:tr>
      <w:tr w:rsidR="00D8272E" w:rsidRPr="00D8272E" w14:paraId="1FF1A4DA" w14:textId="77777777">
        <w:tc>
          <w:tcPr>
            <w:tcW w:w="900" w:type="dxa"/>
            <w:tcBorders>
              <w:top w:val="nil"/>
              <w:left w:val="single" w:sz="4" w:space="0" w:color="auto"/>
              <w:bottom w:val="single" w:sz="4" w:space="0" w:color="auto"/>
              <w:right w:val="single" w:sz="4" w:space="0" w:color="auto"/>
            </w:tcBorders>
            <w:vAlign w:val="center"/>
            <w:hideMark/>
          </w:tcPr>
          <w:p w14:paraId="5ACD8BE0"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0</w:t>
            </w:r>
          </w:p>
        </w:tc>
        <w:tc>
          <w:tcPr>
            <w:tcW w:w="7200" w:type="dxa"/>
            <w:tcBorders>
              <w:top w:val="nil"/>
              <w:left w:val="nil"/>
              <w:bottom w:val="single" w:sz="4" w:space="0" w:color="auto"/>
              <w:right w:val="single" w:sz="4" w:space="0" w:color="auto"/>
            </w:tcBorders>
            <w:hideMark/>
          </w:tcPr>
          <w:p w14:paraId="1A7BF1A2"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根据本办法第</w:t>
            </w:r>
            <w:r w:rsidRPr="00D8272E">
              <w:rPr>
                <w:rFonts w:ascii="Times New Roman" w:eastAsia="宋体" w:hAnsi="Times New Roman" w:cs="Times New Roman"/>
                <w:sz w:val="24"/>
                <w:szCs w:val="24"/>
                <w:bdr w:val="none" w:sz="0" w:space="0" w:color="auto" w:frame="1"/>
                <w:lang w:eastAsia="zh-CN"/>
              </w:rPr>
              <w:t>8</w:t>
            </w:r>
            <w:r w:rsidRPr="00D8272E">
              <w:rPr>
                <w:rFonts w:ascii="仿宋_GB2312" w:eastAsia="仿宋_GB2312" w:hAnsi="Times New Roman" w:cs="Times New Roman"/>
                <w:sz w:val="24"/>
                <w:szCs w:val="24"/>
                <w:bdr w:val="none" w:sz="0" w:space="0" w:color="auto" w:frame="1"/>
                <w:lang w:eastAsia="zh-CN"/>
              </w:rPr>
              <w:t>条定义的一级资本减去一级资本扣减项。</w:t>
            </w:r>
          </w:p>
        </w:tc>
      </w:tr>
      <w:tr w:rsidR="00D8272E" w:rsidRPr="00D8272E" w14:paraId="354DF022" w14:textId="77777777">
        <w:tc>
          <w:tcPr>
            <w:tcW w:w="900" w:type="dxa"/>
            <w:tcBorders>
              <w:top w:val="nil"/>
              <w:left w:val="single" w:sz="4" w:space="0" w:color="auto"/>
              <w:bottom w:val="single" w:sz="4" w:space="0" w:color="auto"/>
              <w:right w:val="single" w:sz="4" w:space="0" w:color="auto"/>
            </w:tcBorders>
            <w:vAlign w:val="center"/>
            <w:hideMark/>
          </w:tcPr>
          <w:p w14:paraId="144E003C"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1</w:t>
            </w:r>
          </w:p>
        </w:tc>
        <w:tc>
          <w:tcPr>
            <w:tcW w:w="7200" w:type="dxa"/>
            <w:tcBorders>
              <w:top w:val="nil"/>
              <w:left w:val="nil"/>
              <w:bottom w:val="single" w:sz="4" w:space="0" w:color="auto"/>
              <w:right w:val="single" w:sz="4" w:space="0" w:color="auto"/>
            </w:tcBorders>
            <w:hideMark/>
          </w:tcPr>
          <w:p w14:paraId="0F6BCAC0"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根据本办法第</w:t>
            </w:r>
            <w:r w:rsidRPr="00D8272E">
              <w:rPr>
                <w:rFonts w:ascii="Times New Roman" w:eastAsia="宋体" w:hAnsi="Times New Roman" w:cs="Times New Roman"/>
                <w:sz w:val="24"/>
                <w:szCs w:val="24"/>
                <w:bdr w:val="none" w:sz="0" w:space="0" w:color="auto" w:frame="1"/>
                <w:lang w:eastAsia="zh-CN"/>
              </w:rPr>
              <w:t>9</w:t>
            </w:r>
            <w:r w:rsidRPr="00D8272E">
              <w:rPr>
                <w:rFonts w:ascii="仿宋_GB2312" w:eastAsia="仿宋_GB2312" w:hAnsi="Times New Roman" w:cs="Times New Roman"/>
                <w:sz w:val="24"/>
                <w:szCs w:val="24"/>
                <w:bdr w:val="none" w:sz="0" w:space="0" w:color="auto" w:frame="1"/>
                <w:lang w:eastAsia="zh-CN"/>
              </w:rPr>
              <w:t>条定义的调整后的表内外资产余额。</w:t>
            </w:r>
          </w:p>
        </w:tc>
      </w:tr>
      <w:tr w:rsidR="00D8272E" w:rsidRPr="00D8272E" w14:paraId="34F13C4E" w14:textId="77777777">
        <w:tc>
          <w:tcPr>
            <w:tcW w:w="900" w:type="dxa"/>
            <w:tcBorders>
              <w:top w:val="nil"/>
              <w:left w:val="single" w:sz="4" w:space="0" w:color="auto"/>
              <w:bottom w:val="single" w:sz="4" w:space="0" w:color="auto"/>
              <w:right w:val="single" w:sz="4" w:space="0" w:color="auto"/>
            </w:tcBorders>
            <w:vAlign w:val="center"/>
            <w:hideMark/>
          </w:tcPr>
          <w:p w14:paraId="0A020DAA" w14:textId="77777777" w:rsidR="00D8272E" w:rsidRPr="00D8272E" w:rsidRDefault="00D8272E" w:rsidP="00D8272E">
            <w:pPr>
              <w:spacing w:after="0" w:line="240" w:lineRule="auto"/>
              <w:ind w:firstLine="228"/>
              <w:jc w:val="center"/>
              <w:rPr>
                <w:rFonts w:ascii="宋体" w:eastAsia="宋体" w:hAnsi="宋体" w:cs="宋体"/>
                <w:sz w:val="24"/>
                <w:szCs w:val="24"/>
                <w:lang w:eastAsia="zh-CN"/>
              </w:rPr>
            </w:pPr>
            <w:r w:rsidRPr="00D8272E">
              <w:rPr>
                <w:rFonts w:ascii="Times New Roman" w:eastAsia="宋体" w:hAnsi="Times New Roman" w:cs="Times New Roman"/>
                <w:sz w:val="24"/>
                <w:szCs w:val="24"/>
                <w:bdr w:val="none" w:sz="0" w:space="0" w:color="auto" w:frame="1"/>
                <w:lang w:eastAsia="zh-CN"/>
              </w:rPr>
              <w:t>2</w:t>
            </w:r>
            <w:r w:rsidRPr="00D8272E">
              <w:rPr>
                <w:rFonts w:ascii="仿宋_GB2312" w:eastAsia="仿宋_GB2312" w:hAnsi="宋体" w:cs="宋体"/>
                <w:sz w:val="24"/>
                <w:szCs w:val="24"/>
                <w:bdr w:val="none" w:sz="0" w:space="0" w:color="auto" w:frame="1"/>
                <w:lang w:eastAsia="zh-CN"/>
              </w:rPr>
              <w:t>2</w:t>
            </w:r>
          </w:p>
        </w:tc>
        <w:tc>
          <w:tcPr>
            <w:tcW w:w="7200" w:type="dxa"/>
            <w:tcBorders>
              <w:top w:val="nil"/>
              <w:left w:val="nil"/>
              <w:bottom w:val="single" w:sz="4" w:space="0" w:color="auto"/>
              <w:right w:val="single" w:sz="4" w:space="0" w:color="auto"/>
            </w:tcBorders>
            <w:hideMark/>
          </w:tcPr>
          <w:p w14:paraId="0BD2E6E9" w14:textId="77777777" w:rsidR="00D8272E" w:rsidRPr="00D8272E" w:rsidRDefault="00D8272E" w:rsidP="00D8272E">
            <w:pPr>
              <w:spacing w:after="0" w:line="240" w:lineRule="auto"/>
              <w:ind w:firstLine="228"/>
              <w:jc w:val="both"/>
              <w:rPr>
                <w:rFonts w:ascii="宋体" w:eastAsia="宋体" w:hAnsi="宋体" w:cs="宋体"/>
                <w:sz w:val="24"/>
                <w:szCs w:val="24"/>
                <w:lang w:eastAsia="zh-CN"/>
              </w:rPr>
            </w:pPr>
            <w:r w:rsidRPr="00D8272E">
              <w:rPr>
                <w:rFonts w:ascii="仿宋_GB2312" w:eastAsia="仿宋_GB2312" w:hAnsi="宋体" w:cs="宋体"/>
                <w:sz w:val="24"/>
                <w:szCs w:val="24"/>
                <w:bdr w:val="none" w:sz="0" w:space="0" w:color="auto" w:frame="1"/>
                <w:lang w:eastAsia="zh-CN"/>
              </w:rPr>
              <w:t>第</w:t>
            </w:r>
            <w:r w:rsidRPr="00D8272E">
              <w:rPr>
                <w:rFonts w:ascii="Times New Roman" w:eastAsia="仿宋_GB2312" w:hAnsi="Times New Roman" w:cs="Times New Roman"/>
                <w:sz w:val="24"/>
                <w:szCs w:val="24"/>
                <w:bdr w:val="none" w:sz="0" w:space="0" w:color="auto" w:frame="1"/>
                <w:lang w:eastAsia="zh-CN"/>
              </w:rPr>
              <w:t>20</w:t>
            </w:r>
            <w:r w:rsidRPr="00D8272E">
              <w:rPr>
                <w:rFonts w:ascii="仿宋_GB2312" w:eastAsia="仿宋_GB2312" w:hAnsi="宋体" w:cs="宋体"/>
                <w:sz w:val="24"/>
                <w:szCs w:val="24"/>
                <w:bdr w:val="none" w:sz="0" w:space="0" w:color="auto" w:frame="1"/>
                <w:lang w:eastAsia="zh-CN"/>
              </w:rPr>
              <w:t>行除以第</w:t>
            </w:r>
            <w:r w:rsidRPr="00D8272E">
              <w:rPr>
                <w:rFonts w:ascii="Times New Roman" w:eastAsia="仿宋_GB2312" w:hAnsi="Times New Roman" w:cs="Times New Roman"/>
                <w:sz w:val="24"/>
                <w:szCs w:val="24"/>
                <w:bdr w:val="none" w:sz="0" w:space="0" w:color="auto" w:frame="1"/>
                <w:lang w:eastAsia="zh-CN"/>
              </w:rPr>
              <w:t>21</w:t>
            </w:r>
            <w:r w:rsidRPr="00D8272E">
              <w:rPr>
                <w:rFonts w:ascii="仿宋_GB2312" w:eastAsia="仿宋_GB2312" w:hAnsi="宋体" w:cs="宋体"/>
                <w:sz w:val="24"/>
                <w:szCs w:val="24"/>
                <w:bdr w:val="none" w:sz="0" w:space="0" w:color="auto" w:frame="1"/>
                <w:lang w:eastAsia="zh-CN"/>
              </w:rPr>
              <w:t>行。</w:t>
            </w:r>
          </w:p>
        </w:tc>
      </w:tr>
    </w:tbl>
    <w:p w14:paraId="25A35700" w14:textId="77777777" w:rsidR="00D8272E" w:rsidRPr="00D8272E" w:rsidRDefault="00D8272E" w:rsidP="00D8272E">
      <w:pPr>
        <w:spacing w:after="0" w:line="240" w:lineRule="auto"/>
        <w:rPr>
          <w:rFonts w:ascii="宋体" w:eastAsia="宋体" w:hAnsi="宋体" w:cs="宋体"/>
          <w:sz w:val="24"/>
          <w:szCs w:val="24"/>
          <w:lang w:eastAsia="zh-CN"/>
        </w:rPr>
      </w:pPr>
    </w:p>
    <w:p w14:paraId="2C078E63" w14:textId="77777777" w:rsidR="00581BFA" w:rsidRDefault="00581BFA"/>
    <w:sectPr w:rsidR="00581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Arial Unicode MS"/>
    <w:panose1 w:val="020B0604020202020204"/>
    <w:charset w:val="86"/>
    <w:family w:val="auto"/>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BFA"/>
    <w:rsid w:val="00581BFA"/>
    <w:rsid w:val="006D70F8"/>
    <w:rsid w:val="00D82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D8272E"/>
    <w:pPr>
      <w:spacing w:before="100" w:beforeAutospacing="1" w:after="100" w:afterAutospacing="1" w:line="240" w:lineRule="auto"/>
    </w:pPr>
    <w:rPr>
      <w:rFonts w:ascii="宋体" w:eastAsia="宋体" w:hAnsi="宋体" w:cs="宋体"/>
      <w:sz w:val="24"/>
      <w:szCs w:val="24"/>
      <w:lang w:eastAsia="zh-CN"/>
    </w:rPr>
  </w:style>
  <w:style w:type="paragraph" w:customStyle="1" w:styleId="p18">
    <w:name w:val="p18"/>
    <w:basedOn w:val="a"/>
    <w:rsid w:val="00D8272E"/>
    <w:pPr>
      <w:spacing w:before="100" w:beforeAutospacing="1" w:after="100" w:afterAutospacing="1" w:line="240" w:lineRule="auto"/>
    </w:pPr>
    <w:rPr>
      <w:rFonts w:ascii="宋体" w:eastAsia="宋体" w:hAnsi="宋体" w:cs="宋体"/>
      <w:sz w:val="24"/>
      <w:szCs w:val="24"/>
      <w:lang w:eastAsia="zh-CN"/>
    </w:rPr>
  </w:style>
  <w:style w:type="paragraph" w:customStyle="1" w:styleId="contentarticle">
    <w:name w:val="contentarticle"/>
    <w:basedOn w:val="a"/>
    <w:rsid w:val="00D8272E"/>
    <w:pPr>
      <w:spacing w:before="100" w:beforeAutospacing="1" w:after="100" w:afterAutospacing="1" w:line="240" w:lineRule="auto"/>
    </w:pPr>
    <w:rPr>
      <w:rFonts w:ascii="宋体" w:eastAsia="宋体" w:hAnsi="宋体" w:cs="宋体"/>
      <w:sz w:val="24"/>
      <w:szCs w:val="24"/>
      <w:lang w:eastAsia="zh-CN"/>
    </w:rPr>
  </w:style>
  <w:style w:type="paragraph" w:customStyle="1" w:styleId="p0">
    <w:name w:val="p0"/>
    <w:basedOn w:val="a"/>
    <w:rsid w:val="00D8272E"/>
    <w:pPr>
      <w:spacing w:before="100" w:beforeAutospacing="1" w:after="100" w:afterAutospacing="1" w:line="240" w:lineRule="auto"/>
    </w:pPr>
    <w:rPr>
      <w:rFonts w:ascii="宋体" w:eastAsia="宋体" w:hAnsi="宋体" w:cs="宋体"/>
      <w:sz w:val="24"/>
      <w:szCs w:val="24"/>
      <w:lang w:eastAsia="zh-CN"/>
    </w:rPr>
  </w:style>
  <w:style w:type="paragraph" w:customStyle="1" w:styleId="p20">
    <w:name w:val="p20"/>
    <w:basedOn w:val="a"/>
    <w:rsid w:val="00D8272E"/>
    <w:pPr>
      <w:spacing w:before="100" w:beforeAutospacing="1" w:after="100" w:afterAutospacing="1" w:line="240" w:lineRule="auto"/>
    </w:pPr>
    <w:rPr>
      <w:rFonts w:ascii="宋体" w:eastAsia="宋体" w:hAnsi="宋体" w:cs="宋体"/>
      <w:sz w:val="24"/>
      <w:szCs w:val="24"/>
      <w:lang w:eastAsia="zh-CN"/>
    </w:rPr>
  </w:style>
  <w:style w:type="paragraph" w:customStyle="1" w:styleId="p16">
    <w:name w:val="p16"/>
    <w:basedOn w:val="a"/>
    <w:rsid w:val="00D8272E"/>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2026-07-10T16:08:00Z</dcterms:modified>
</cp:coreProperties>
</file>