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DDE31" w14:textId="77777777" w:rsidR="00436AD4" w:rsidRPr="00436AD4" w:rsidRDefault="00436AD4" w:rsidP="00436AD4">
      <w:pPr>
        <w:shd w:val="clear" w:color="auto" w:fill="FFFFFF"/>
        <w:spacing w:after="0" w:line="300" w:lineRule="atLeast"/>
        <w:jc w:val="center"/>
        <w:rPr>
          <w:rFonts w:ascii="微软雅黑" w:eastAsia="微软雅黑" w:hAnsi="微软雅黑" w:cs="宋体"/>
          <w:color w:val="333333"/>
          <w:sz w:val="24"/>
          <w:szCs w:val="24"/>
          <w:lang w:eastAsia="zh-CN"/>
        </w:rPr>
      </w:pPr>
      <w:r w:rsidRPr="00436AD4">
        <w:rPr>
          <w:rFonts w:ascii="宋体" w:eastAsia="宋体" w:hAnsi="宋体" w:cs="宋体"/>
          <w:color w:val="333333"/>
          <w:sz w:val="24"/>
          <w:szCs w:val="24"/>
          <w:lang w:eastAsia="zh-CN"/>
        </w:rPr>
        <w:t>（协会第七届理事会第十次会议表决通过，2022年7月20日发布）</w:t>
      </w:r>
      <w:r w:rsidRPr="00436AD4">
        <w:rPr>
          <w:rFonts w:ascii="微软雅黑" w:eastAsia="微软雅黑" w:hAnsi="微软雅黑" w:cs="宋体"/>
          <w:color w:val="333333"/>
          <w:sz w:val="24"/>
          <w:szCs w:val="24"/>
          <w:lang w:eastAsia="zh-CN"/>
        </w:rPr>
        <w:t> </w:t>
      </w:r>
    </w:p>
    <w:p w14:paraId="29C1DADD"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第一条</w:t>
      </w:r>
      <w:r w:rsidRPr="00436AD4">
        <w:rPr>
          <w:rFonts w:ascii="宋体" w:eastAsia="宋体" w:hAnsi="宋体" w:cs="宋体"/>
          <w:color w:val="333333"/>
          <w:sz w:val="24"/>
          <w:szCs w:val="24"/>
          <w:lang w:eastAsia="zh-CN"/>
        </w:rPr>
        <w:t> 为规范证券公司对外发送交易结算及对账数据的行为，提高数据传输质量和效率，防范数据传输风险，根据《证券公司监督管理条例》《证券投资基金托管业务管理办法》等相关规定，制定本指引。</w:t>
      </w:r>
      <w:r w:rsidRPr="00436AD4">
        <w:rPr>
          <w:rFonts w:ascii="微软雅黑" w:eastAsia="微软雅黑" w:hAnsi="微软雅黑" w:cs="宋体"/>
          <w:color w:val="333333"/>
          <w:sz w:val="24"/>
          <w:szCs w:val="24"/>
          <w:lang w:eastAsia="zh-CN"/>
        </w:rPr>
        <w:t> </w:t>
      </w:r>
    </w:p>
    <w:p w14:paraId="0CF61AB1"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第二条</w:t>
      </w:r>
      <w:r w:rsidRPr="00436AD4">
        <w:rPr>
          <w:rFonts w:ascii="宋体" w:eastAsia="宋体" w:hAnsi="宋体" w:cs="宋体"/>
          <w:color w:val="333333"/>
          <w:sz w:val="24"/>
          <w:szCs w:val="24"/>
          <w:lang w:eastAsia="zh-CN"/>
        </w:rPr>
        <w:t> 本指引适用于为资产管理产品（以下简称“资管产品”）提供交易和结算服务的证券公司，因资管产品估值核算或其他业务管理的需要，根据有关合同协议，向资管产品的托管人、管理人、基金服务机构（以下统称“数据接收方”）发送与资管产品有关的交易结算数据及对账数据（以下简称“数据”）的行为管理。</w:t>
      </w:r>
      <w:r w:rsidRPr="00436AD4">
        <w:rPr>
          <w:rFonts w:ascii="微软雅黑" w:eastAsia="微软雅黑" w:hAnsi="微软雅黑" w:cs="宋体"/>
          <w:color w:val="333333"/>
          <w:sz w:val="24"/>
          <w:szCs w:val="24"/>
          <w:lang w:eastAsia="zh-CN"/>
        </w:rPr>
        <w:t> </w:t>
      </w:r>
    </w:p>
    <w:p w14:paraId="586AB9F0"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第三条</w:t>
      </w:r>
      <w:r w:rsidRPr="00436AD4">
        <w:rPr>
          <w:rFonts w:ascii="宋体" w:eastAsia="宋体" w:hAnsi="宋体" w:cs="宋体"/>
          <w:color w:val="333333"/>
          <w:sz w:val="24"/>
          <w:szCs w:val="24"/>
          <w:lang w:eastAsia="zh-CN"/>
        </w:rPr>
        <w:t> 本指引所称资管产品包括但不限于证券公司、期货公司、基金管理公司及其子公司、商业银行、保险公司、信托公司、财务公司等机构发行的资产管理产品。</w:t>
      </w:r>
      <w:r w:rsidRPr="00436AD4">
        <w:rPr>
          <w:rFonts w:ascii="微软雅黑" w:eastAsia="微软雅黑" w:hAnsi="微软雅黑" w:cs="宋体"/>
          <w:color w:val="333333"/>
          <w:sz w:val="24"/>
          <w:szCs w:val="24"/>
          <w:lang w:eastAsia="zh-CN"/>
        </w:rPr>
        <w:t> </w:t>
      </w:r>
    </w:p>
    <w:p w14:paraId="116C0A86"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第四条</w:t>
      </w:r>
      <w:r w:rsidRPr="00436AD4">
        <w:rPr>
          <w:rFonts w:ascii="宋体" w:eastAsia="宋体" w:hAnsi="宋体" w:cs="宋体"/>
          <w:color w:val="333333"/>
          <w:sz w:val="24"/>
          <w:szCs w:val="24"/>
          <w:lang w:eastAsia="zh-CN"/>
        </w:rPr>
        <w:t> 本指引所称交易结算数据是指从证券交易场所、证券登记结算机构等相关机构接收的与资管产品交易和结算有关的数据。</w:t>
      </w:r>
      <w:r w:rsidRPr="00436AD4">
        <w:rPr>
          <w:rFonts w:ascii="微软雅黑" w:eastAsia="微软雅黑" w:hAnsi="微软雅黑" w:cs="宋体"/>
          <w:color w:val="333333"/>
          <w:sz w:val="24"/>
          <w:szCs w:val="24"/>
          <w:lang w:eastAsia="zh-CN"/>
        </w:rPr>
        <w:t> </w:t>
      </w:r>
    </w:p>
    <w:p w14:paraId="78DC8474"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本指引所称对账数据是指证券公司内部交易结算系统为资管产品办理交易结算而形成的资金股份变动流水、资产余额等数据。</w:t>
      </w:r>
      <w:r w:rsidRPr="00436AD4">
        <w:rPr>
          <w:rFonts w:ascii="微软雅黑" w:eastAsia="微软雅黑" w:hAnsi="微软雅黑" w:cs="宋体"/>
          <w:color w:val="333333"/>
          <w:sz w:val="24"/>
          <w:szCs w:val="24"/>
          <w:lang w:eastAsia="zh-CN"/>
        </w:rPr>
        <w:t> </w:t>
      </w:r>
    </w:p>
    <w:p w14:paraId="3ED244CF"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第五条 </w:t>
      </w:r>
      <w:r w:rsidRPr="00436AD4">
        <w:rPr>
          <w:rFonts w:ascii="宋体" w:eastAsia="宋体" w:hAnsi="宋体" w:cs="宋体"/>
          <w:color w:val="333333"/>
          <w:sz w:val="24"/>
          <w:szCs w:val="24"/>
          <w:lang w:eastAsia="zh-CN"/>
        </w:rPr>
        <w:t>证券公司应建立健全数据发送管理机制，加强组织建设、制度建设和运营保障，建设数据发送与管理系统（以下简称“数据发送系统”），提升数据传输质量和效率。证券公司数据发送的日常运营和管理工作包括但不限于以下职责：</w:t>
      </w:r>
      <w:r w:rsidRPr="00436AD4">
        <w:rPr>
          <w:rFonts w:ascii="微软雅黑" w:eastAsia="微软雅黑" w:hAnsi="微软雅黑" w:cs="宋体"/>
          <w:color w:val="333333"/>
          <w:sz w:val="24"/>
          <w:szCs w:val="24"/>
          <w:lang w:eastAsia="zh-CN"/>
        </w:rPr>
        <w:t> </w:t>
      </w:r>
    </w:p>
    <w:p w14:paraId="23A69DFB"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（一）建立健全数据发送管理工作制度和机制，明确相应的工作要求、岗位职责、操作规程等；</w:t>
      </w:r>
      <w:r w:rsidRPr="00436AD4">
        <w:rPr>
          <w:rFonts w:ascii="微软雅黑" w:eastAsia="微软雅黑" w:hAnsi="微软雅黑" w:cs="宋体"/>
          <w:color w:val="333333"/>
          <w:sz w:val="24"/>
          <w:szCs w:val="24"/>
          <w:lang w:eastAsia="zh-CN"/>
        </w:rPr>
        <w:t> </w:t>
      </w:r>
    </w:p>
    <w:p w14:paraId="4A07656C"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（二）制定和审查合同协议中数据发送的相关内容；</w:t>
      </w:r>
      <w:r w:rsidRPr="00436AD4">
        <w:rPr>
          <w:rFonts w:ascii="微软雅黑" w:eastAsia="微软雅黑" w:hAnsi="微软雅黑" w:cs="宋体"/>
          <w:color w:val="333333"/>
          <w:sz w:val="24"/>
          <w:szCs w:val="24"/>
          <w:lang w:eastAsia="zh-CN"/>
        </w:rPr>
        <w:t> </w:t>
      </w:r>
    </w:p>
    <w:p w14:paraId="18CAC5C4"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（三）数据发送系统的搭建、开发及运行维护；</w:t>
      </w:r>
      <w:r w:rsidRPr="00436AD4">
        <w:rPr>
          <w:rFonts w:ascii="微软雅黑" w:eastAsia="微软雅黑" w:hAnsi="微软雅黑" w:cs="宋体"/>
          <w:color w:val="333333"/>
          <w:sz w:val="24"/>
          <w:szCs w:val="24"/>
          <w:lang w:eastAsia="zh-CN"/>
        </w:rPr>
        <w:t> </w:t>
      </w:r>
    </w:p>
    <w:p w14:paraId="3611A866"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（四）数据发送的日常运营管理以及应急保障等工作。</w:t>
      </w:r>
      <w:r w:rsidRPr="00436AD4">
        <w:rPr>
          <w:rFonts w:ascii="微软雅黑" w:eastAsia="微软雅黑" w:hAnsi="微软雅黑" w:cs="宋体"/>
          <w:color w:val="333333"/>
          <w:sz w:val="24"/>
          <w:szCs w:val="24"/>
          <w:lang w:eastAsia="zh-CN"/>
        </w:rPr>
        <w:t> </w:t>
      </w:r>
    </w:p>
    <w:p w14:paraId="5E7633BC"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第六条</w:t>
      </w:r>
      <w:r w:rsidRPr="00436AD4">
        <w:rPr>
          <w:rFonts w:ascii="宋体" w:eastAsia="宋体" w:hAnsi="宋体" w:cs="宋体"/>
          <w:color w:val="333333"/>
          <w:sz w:val="24"/>
          <w:szCs w:val="24"/>
          <w:lang w:eastAsia="zh-CN"/>
        </w:rPr>
        <w:t> 数据发送系统主要用于交易结算及对账数据的集中处理和发送管理等，系统应具备数据接收方信息登记、数据生成、数据准确性和完整性校验、数据发送及监控管理等功能。</w:t>
      </w:r>
      <w:r w:rsidRPr="00436AD4">
        <w:rPr>
          <w:rFonts w:ascii="微软雅黑" w:eastAsia="微软雅黑" w:hAnsi="微软雅黑" w:cs="宋体"/>
          <w:color w:val="333333"/>
          <w:sz w:val="24"/>
          <w:szCs w:val="24"/>
          <w:lang w:eastAsia="zh-CN"/>
        </w:rPr>
        <w:t> </w:t>
      </w:r>
    </w:p>
    <w:p w14:paraId="77AB959A"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第七条 </w:t>
      </w:r>
      <w:r w:rsidRPr="00436AD4">
        <w:rPr>
          <w:rFonts w:ascii="宋体" w:eastAsia="宋体" w:hAnsi="宋体" w:cs="宋体"/>
          <w:color w:val="333333"/>
          <w:sz w:val="24"/>
          <w:szCs w:val="24"/>
          <w:lang w:eastAsia="zh-CN"/>
        </w:rPr>
        <w:t>数据发送系统处理能力应与业务规模相匹配，能够满足数据范围扩展、数据量增长、个性化需求以及系统应急恢复等数据传输工作需要。</w:t>
      </w:r>
      <w:r w:rsidRPr="00436AD4">
        <w:rPr>
          <w:rFonts w:ascii="微软雅黑" w:eastAsia="微软雅黑" w:hAnsi="微软雅黑" w:cs="宋体"/>
          <w:color w:val="333333"/>
          <w:sz w:val="24"/>
          <w:szCs w:val="24"/>
          <w:lang w:eastAsia="zh-CN"/>
        </w:rPr>
        <w:t> </w:t>
      </w:r>
    </w:p>
    <w:p w14:paraId="0C971AC7"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第八条 </w:t>
      </w:r>
      <w:r w:rsidRPr="00436AD4">
        <w:rPr>
          <w:rFonts w:ascii="宋体" w:eastAsia="宋体" w:hAnsi="宋体" w:cs="宋体"/>
          <w:color w:val="333333"/>
          <w:sz w:val="24"/>
          <w:szCs w:val="24"/>
          <w:lang w:eastAsia="zh-CN"/>
        </w:rPr>
        <w:t>证券公司在数据发送前，应与数据接收方在相关合同协议中就数据发送有关事项作出明确约定，包括但不限于数据内容、数据接口规范、数据发送时间、数据传输方式、工作保障与应急安排等事项，明确约定双方的权利、义务和责任。</w:t>
      </w:r>
      <w:r w:rsidRPr="00436AD4">
        <w:rPr>
          <w:rFonts w:ascii="微软雅黑" w:eastAsia="微软雅黑" w:hAnsi="微软雅黑" w:cs="宋体"/>
          <w:color w:val="333333"/>
          <w:sz w:val="24"/>
          <w:szCs w:val="24"/>
          <w:lang w:eastAsia="zh-CN"/>
        </w:rPr>
        <w:t> </w:t>
      </w:r>
    </w:p>
    <w:p w14:paraId="1BEAF214"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第九条 </w:t>
      </w:r>
      <w:r w:rsidRPr="00436AD4">
        <w:rPr>
          <w:rFonts w:ascii="宋体" w:eastAsia="宋体" w:hAnsi="宋体" w:cs="宋体"/>
          <w:color w:val="333333"/>
          <w:sz w:val="24"/>
          <w:szCs w:val="24"/>
          <w:lang w:eastAsia="zh-CN"/>
        </w:rPr>
        <w:t>证券公司应结合资管产品需求，与数据接收方明确约定数据传输的具体内容，包括但不限于：</w:t>
      </w:r>
      <w:r w:rsidRPr="00436AD4">
        <w:rPr>
          <w:rFonts w:ascii="微软雅黑" w:eastAsia="微软雅黑" w:hAnsi="微软雅黑" w:cs="宋体"/>
          <w:color w:val="333333"/>
          <w:sz w:val="24"/>
          <w:szCs w:val="24"/>
          <w:lang w:eastAsia="zh-CN"/>
        </w:rPr>
        <w:t> </w:t>
      </w:r>
    </w:p>
    <w:p w14:paraId="1F559C12"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（一）从上海证券交易所、深圳证券交易所、全国中小企业股份转让系统、北京证券交易所、中国证券登记结算公司、中国证券金融股份有限公司等机构接收的场内交易结算数据；</w:t>
      </w:r>
      <w:r w:rsidRPr="00436AD4">
        <w:rPr>
          <w:rFonts w:ascii="微软雅黑" w:eastAsia="微软雅黑" w:hAnsi="微软雅黑" w:cs="宋体"/>
          <w:color w:val="333333"/>
          <w:sz w:val="24"/>
          <w:szCs w:val="24"/>
          <w:lang w:eastAsia="zh-CN"/>
        </w:rPr>
        <w:t> </w:t>
      </w:r>
    </w:p>
    <w:p w14:paraId="325117DC"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（二）基金管理公司等资产管理机构或其他登记结算机构的场外交易结算数据； </w:t>
      </w:r>
      <w:r w:rsidRPr="00436AD4">
        <w:rPr>
          <w:rFonts w:ascii="微软雅黑" w:eastAsia="微软雅黑" w:hAnsi="微软雅黑" w:cs="宋体"/>
          <w:color w:val="333333"/>
          <w:sz w:val="24"/>
          <w:szCs w:val="24"/>
          <w:lang w:eastAsia="zh-CN"/>
        </w:rPr>
        <w:t> </w:t>
      </w:r>
    </w:p>
    <w:p w14:paraId="6C0D2B09"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lastRenderedPageBreak/>
        <w:t xml:space="preserve">　　</w:t>
      </w:r>
      <w:r w:rsidRPr="00436AD4">
        <w:rPr>
          <w:rFonts w:ascii="宋体" w:eastAsia="宋体" w:hAnsi="宋体" w:cs="宋体"/>
          <w:color w:val="333333"/>
          <w:sz w:val="24"/>
          <w:szCs w:val="24"/>
          <w:lang w:eastAsia="zh-CN"/>
        </w:rPr>
        <w:t>（三）交易日日终，根据证券公司内部交易结算系统的业务处理结果所生成的对账数据等。</w:t>
      </w:r>
      <w:r w:rsidRPr="00436AD4">
        <w:rPr>
          <w:rFonts w:ascii="微软雅黑" w:eastAsia="微软雅黑" w:hAnsi="微软雅黑" w:cs="宋体"/>
          <w:color w:val="333333"/>
          <w:sz w:val="24"/>
          <w:szCs w:val="24"/>
          <w:lang w:eastAsia="zh-CN"/>
        </w:rPr>
        <w:t> </w:t>
      </w:r>
    </w:p>
    <w:p w14:paraId="5038E97C"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第十条 </w:t>
      </w:r>
      <w:r w:rsidRPr="00436AD4">
        <w:rPr>
          <w:rFonts w:ascii="宋体" w:eastAsia="宋体" w:hAnsi="宋体" w:cs="宋体"/>
          <w:color w:val="333333"/>
          <w:sz w:val="24"/>
          <w:szCs w:val="24"/>
          <w:lang w:eastAsia="zh-CN"/>
        </w:rPr>
        <w:t>证券公司应与数据接收方约定数据发送的截止时间、数据接收后的异常反馈截止时间等时限要求。</w:t>
      </w:r>
      <w:r w:rsidRPr="00436AD4">
        <w:rPr>
          <w:rFonts w:ascii="微软雅黑" w:eastAsia="微软雅黑" w:hAnsi="微软雅黑" w:cs="宋体"/>
          <w:color w:val="333333"/>
          <w:sz w:val="24"/>
          <w:szCs w:val="24"/>
          <w:lang w:eastAsia="zh-CN"/>
        </w:rPr>
        <w:t> </w:t>
      </w:r>
    </w:p>
    <w:p w14:paraId="32622592"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第十一条 </w:t>
      </w:r>
      <w:r w:rsidRPr="00436AD4">
        <w:rPr>
          <w:rFonts w:ascii="宋体" w:eastAsia="宋体" w:hAnsi="宋体" w:cs="宋体"/>
          <w:color w:val="333333"/>
          <w:sz w:val="24"/>
          <w:szCs w:val="24"/>
          <w:lang w:eastAsia="zh-CN"/>
        </w:rPr>
        <w:t>证券公司应与数据接收方约定在资管产品的资金账户和证券账户开立、变更、销户等关键环节的信息通知内容及通知方式，以供双方进行数据传输准备。</w:t>
      </w:r>
      <w:r w:rsidRPr="00436AD4">
        <w:rPr>
          <w:rFonts w:ascii="微软雅黑" w:eastAsia="微软雅黑" w:hAnsi="微软雅黑" w:cs="宋体"/>
          <w:color w:val="333333"/>
          <w:sz w:val="24"/>
          <w:szCs w:val="24"/>
          <w:lang w:eastAsia="zh-CN"/>
        </w:rPr>
        <w:t> </w:t>
      </w:r>
    </w:p>
    <w:p w14:paraId="7A481E9D"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第十二条 </w:t>
      </w:r>
      <w:r w:rsidRPr="00436AD4">
        <w:rPr>
          <w:rFonts w:ascii="宋体" w:eastAsia="宋体" w:hAnsi="宋体" w:cs="宋体"/>
          <w:color w:val="333333"/>
          <w:sz w:val="24"/>
          <w:szCs w:val="24"/>
          <w:lang w:eastAsia="zh-CN"/>
        </w:rPr>
        <w:t>证券公司应与数据接收方约定数据传输的具体方式、文件格式以及发生变更时的通知机制，包括但不限于文件是否压缩、文件命名格式、发送批次等内容，并采取有利于保障信息安全的方式进行数据传输。</w:t>
      </w:r>
      <w:r w:rsidRPr="00436AD4">
        <w:rPr>
          <w:rFonts w:ascii="微软雅黑" w:eastAsia="微软雅黑" w:hAnsi="微软雅黑" w:cs="宋体"/>
          <w:color w:val="333333"/>
          <w:sz w:val="24"/>
          <w:szCs w:val="24"/>
          <w:lang w:eastAsia="zh-CN"/>
        </w:rPr>
        <w:t> </w:t>
      </w:r>
    </w:p>
    <w:p w14:paraId="3BCB5F4D"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采取两种及两种以上数据传输方式的，应明确约定主要的数据传输方式。</w:t>
      </w:r>
      <w:r w:rsidRPr="00436AD4">
        <w:rPr>
          <w:rFonts w:ascii="微软雅黑" w:eastAsia="微软雅黑" w:hAnsi="微软雅黑" w:cs="宋体"/>
          <w:color w:val="333333"/>
          <w:sz w:val="24"/>
          <w:szCs w:val="24"/>
          <w:lang w:eastAsia="zh-CN"/>
        </w:rPr>
        <w:t> </w:t>
      </w:r>
    </w:p>
    <w:p w14:paraId="0413E6F7"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第十三条 </w:t>
      </w:r>
      <w:r w:rsidRPr="00436AD4">
        <w:rPr>
          <w:rFonts w:ascii="宋体" w:eastAsia="宋体" w:hAnsi="宋体" w:cs="宋体"/>
          <w:color w:val="333333"/>
          <w:sz w:val="24"/>
          <w:szCs w:val="24"/>
          <w:lang w:eastAsia="zh-CN"/>
        </w:rPr>
        <w:t>证券公司应与数据接收方约定双方数据传输工作联系人名单，包括但不限于协议签署、日常运营、数据发送和接收、应急处理等工作联系人信息，同时约定联系人信息变更的通知机制。</w:t>
      </w:r>
      <w:r w:rsidRPr="00436AD4">
        <w:rPr>
          <w:rFonts w:ascii="微软雅黑" w:eastAsia="微软雅黑" w:hAnsi="微软雅黑" w:cs="宋体"/>
          <w:color w:val="333333"/>
          <w:sz w:val="24"/>
          <w:szCs w:val="24"/>
          <w:lang w:eastAsia="zh-CN"/>
        </w:rPr>
        <w:t> </w:t>
      </w:r>
    </w:p>
    <w:p w14:paraId="0A904AFB"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第十四条 </w:t>
      </w:r>
      <w:r w:rsidRPr="00436AD4">
        <w:rPr>
          <w:rFonts w:ascii="宋体" w:eastAsia="宋体" w:hAnsi="宋体" w:cs="宋体"/>
          <w:color w:val="333333"/>
          <w:sz w:val="24"/>
          <w:szCs w:val="24"/>
          <w:lang w:eastAsia="zh-CN"/>
        </w:rPr>
        <w:t>证券公司应与数据接收方约定数据差错、数据发送和接收异常等紧急情况下的应急处理机制，包括但不限于紧急联系方式、数据重发方式等内容，以确保持续稳定开展数据传输工作。</w:t>
      </w:r>
      <w:r w:rsidRPr="00436AD4">
        <w:rPr>
          <w:rFonts w:ascii="微软雅黑" w:eastAsia="微软雅黑" w:hAnsi="微软雅黑" w:cs="宋体"/>
          <w:color w:val="333333"/>
          <w:sz w:val="24"/>
          <w:szCs w:val="24"/>
          <w:lang w:eastAsia="zh-CN"/>
        </w:rPr>
        <w:t> </w:t>
      </w:r>
    </w:p>
    <w:p w14:paraId="5C9929F7"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第十五条 </w:t>
      </w:r>
      <w:r w:rsidRPr="00436AD4">
        <w:rPr>
          <w:rFonts w:ascii="宋体" w:eastAsia="宋体" w:hAnsi="宋体" w:cs="宋体"/>
          <w:color w:val="333333"/>
          <w:sz w:val="24"/>
          <w:szCs w:val="24"/>
          <w:lang w:eastAsia="zh-CN"/>
        </w:rPr>
        <w:t>证券公司应按照与数据接收方的合同约定完成数据传输工作，保证发送数据的真实性、准确性、完整性和及时性。</w:t>
      </w:r>
      <w:r w:rsidRPr="00436AD4">
        <w:rPr>
          <w:rFonts w:ascii="微软雅黑" w:eastAsia="微软雅黑" w:hAnsi="微软雅黑" w:cs="宋体"/>
          <w:color w:val="333333"/>
          <w:sz w:val="24"/>
          <w:szCs w:val="24"/>
          <w:lang w:eastAsia="zh-CN"/>
        </w:rPr>
        <w:t> </w:t>
      </w:r>
    </w:p>
    <w:p w14:paraId="7AEBDE11"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第十六条 </w:t>
      </w:r>
      <w:r w:rsidRPr="00436AD4">
        <w:rPr>
          <w:rFonts w:ascii="宋体" w:eastAsia="宋体" w:hAnsi="宋体" w:cs="宋体"/>
          <w:color w:val="333333"/>
          <w:sz w:val="24"/>
          <w:szCs w:val="24"/>
          <w:lang w:eastAsia="zh-CN"/>
        </w:rPr>
        <w:t>证券公司应当慎重选择数据系统服务商，要求系统服务商根据监管规定、相关行业标准以及业务发展需要，提供对账数据接口规范并及时更新和修订。</w:t>
      </w:r>
      <w:r w:rsidRPr="00436AD4">
        <w:rPr>
          <w:rFonts w:ascii="微软雅黑" w:eastAsia="微软雅黑" w:hAnsi="微软雅黑" w:cs="宋体"/>
          <w:color w:val="333333"/>
          <w:sz w:val="24"/>
          <w:szCs w:val="24"/>
          <w:lang w:eastAsia="zh-CN"/>
        </w:rPr>
        <w:t> </w:t>
      </w:r>
    </w:p>
    <w:p w14:paraId="45B31D40"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color w:val="333333"/>
          <w:sz w:val="24"/>
          <w:szCs w:val="24"/>
          <w:lang w:eastAsia="zh-CN"/>
        </w:rPr>
        <w:t>对账数据接口规范由接口说明、文件命名规则、文件格式、接口规范具体内容、字典说明等部分构成。其中接口规范具体内容包括但不限于资金股份变动明细接口、资金余额对账接口、证券持仓及合约对账接口等。</w:t>
      </w:r>
      <w:r w:rsidRPr="00436AD4">
        <w:rPr>
          <w:rFonts w:ascii="微软雅黑" w:eastAsia="微软雅黑" w:hAnsi="微软雅黑" w:cs="宋体"/>
          <w:color w:val="333333"/>
          <w:sz w:val="24"/>
          <w:szCs w:val="24"/>
          <w:lang w:eastAsia="zh-CN"/>
        </w:rPr>
        <w:t> </w:t>
      </w:r>
    </w:p>
    <w:p w14:paraId="0375E975"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第十七条 </w:t>
      </w:r>
      <w:r w:rsidRPr="00436AD4">
        <w:rPr>
          <w:rFonts w:ascii="宋体" w:eastAsia="宋体" w:hAnsi="宋体" w:cs="宋体"/>
          <w:color w:val="333333"/>
          <w:sz w:val="24"/>
          <w:szCs w:val="24"/>
          <w:lang w:eastAsia="zh-CN"/>
        </w:rPr>
        <w:t>证券公司应与数据接收方建立有效的数据传输检查评估机制，不定期对数据传输工作进行评估，持续改进和提高数据传输能力。</w:t>
      </w:r>
      <w:r w:rsidRPr="00436AD4">
        <w:rPr>
          <w:rFonts w:ascii="微软雅黑" w:eastAsia="微软雅黑" w:hAnsi="微软雅黑" w:cs="宋体"/>
          <w:color w:val="333333"/>
          <w:sz w:val="24"/>
          <w:szCs w:val="24"/>
          <w:lang w:eastAsia="zh-CN"/>
        </w:rPr>
        <w:t> </w:t>
      </w:r>
    </w:p>
    <w:p w14:paraId="5D89F2BC"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第十八条 </w:t>
      </w:r>
      <w:r w:rsidRPr="00436AD4">
        <w:rPr>
          <w:rFonts w:ascii="宋体" w:eastAsia="宋体" w:hAnsi="宋体" w:cs="宋体"/>
          <w:color w:val="333333"/>
          <w:sz w:val="24"/>
          <w:szCs w:val="24"/>
          <w:lang w:eastAsia="zh-CN"/>
        </w:rPr>
        <w:t>中国证券业协会（以下简称“协会”）可以根据需要，对数据接口规范的有效性及适用性、证券公司的运营质量等进行评估。</w:t>
      </w:r>
      <w:r w:rsidRPr="00436AD4">
        <w:rPr>
          <w:rFonts w:ascii="微软雅黑" w:eastAsia="微软雅黑" w:hAnsi="微软雅黑" w:cs="宋体"/>
          <w:color w:val="333333"/>
          <w:sz w:val="24"/>
          <w:szCs w:val="24"/>
          <w:lang w:eastAsia="zh-CN"/>
        </w:rPr>
        <w:t> </w:t>
      </w:r>
    </w:p>
    <w:p w14:paraId="10321035"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第十九条</w:t>
      </w:r>
      <w:r w:rsidRPr="00436AD4">
        <w:rPr>
          <w:rFonts w:ascii="宋体" w:eastAsia="宋体" w:hAnsi="宋体" w:cs="宋体"/>
          <w:color w:val="333333"/>
          <w:sz w:val="24"/>
          <w:szCs w:val="24"/>
          <w:lang w:eastAsia="zh-CN"/>
        </w:rPr>
        <w:t> 协会对证券公司执行本指引的情况进行监督、检查，可视情节轻重对违反本指引的证券公司及相关责任人员按照有关规定采取自律措施。</w:t>
      </w:r>
      <w:r w:rsidRPr="00436AD4">
        <w:rPr>
          <w:rFonts w:ascii="微软雅黑" w:eastAsia="微软雅黑" w:hAnsi="微软雅黑" w:cs="宋体"/>
          <w:color w:val="333333"/>
          <w:sz w:val="24"/>
          <w:szCs w:val="24"/>
          <w:lang w:eastAsia="zh-CN"/>
        </w:rPr>
        <w:t> </w:t>
      </w:r>
    </w:p>
    <w:p w14:paraId="6BA48908"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第二十条 </w:t>
      </w:r>
      <w:r w:rsidRPr="00436AD4">
        <w:rPr>
          <w:rFonts w:ascii="宋体" w:eastAsia="宋体" w:hAnsi="宋体" w:cs="宋体"/>
          <w:color w:val="333333"/>
          <w:sz w:val="24"/>
          <w:szCs w:val="24"/>
          <w:lang w:eastAsia="zh-CN"/>
        </w:rPr>
        <w:t>本指引由中国证券业协会负责解释。</w:t>
      </w:r>
      <w:r w:rsidRPr="00436AD4">
        <w:rPr>
          <w:rFonts w:ascii="微软雅黑" w:eastAsia="微软雅黑" w:hAnsi="微软雅黑" w:cs="宋体"/>
          <w:color w:val="333333"/>
          <w:sz w:val="24"/>
          <w:szCs w:val="24"/>
          <w:lang w:eastAsia="zh-CN"/>
        </w:rPr>
        <w:t> </w:t>
      </w:r>
    </w:p>
    <w:p w14:paraId="2229F88F" w14:textId="77777777" w:rsidR="00436AD4" w:rsidRPr="00436AD4" w:rsidRDefault="00436AD4" w:rsidP="00436AD4">
      <w:pPr>
        <w:shd w:val="clear" w:color="auto" w:fill="FFFFFF"/>
        <w:spacing w:after="0" w:line="300" w:lineRule="atLeast"/>
        <w:jc w:val="both"/>
        <w:rPr>
          <w:rFonts w:ascii="微软雅黑" w:eastAsia="微软雅黑" w:hAnsi="微软雅黑" w:cs="宋体"/>
          <w:color w:val="333333"/>
          <w:sz w:val="24"/>
          <w:szCs w:val="24"/>
          <w:lang w:eastAsia="zh-CN"/>
        </w:rPr>
      </w:pPr>
      <w:r w:rsidRPr="00436AD4">
        <w:rPr>
          <w:rFonts w:ascii="微软雅黑" w:eastAsia="微软雅黑" w:hAnsi="微软雅黑" w:cs="宋体"/>
          <w:color w:val="333333"/>
          <w:sz w:val="24"/>
          <w:szCs w:val="24"/>
          <w:lang w:eastAsia="zh-CN"/>
        </w:rPr>
        <w:t xml:space="preserve">　　</w:t>
      </w:r>
      <w:r w:rsidRPr="00436AD4">
        <w:rPr>
          <w:rFonts w:ascii="宋体" w:eastAsia="宋体" w:hAnsi="宋体" w:cs="宋体"/>
          <w:b/>
          <w:bCs/>
          <w:color w:val="333333"/>
          <w:sz w:val="24"/>
          <w:szCs w:val="24"/>
          <w:lang w:eastAsia="zh-CN"/>
        </w:rPr>
        <w:t>第二十一条 </w:t>
      </w:r>
      <w:r w:rsidRPr="00436AD4">
        <w:rPr>
          <w:rFonts w:ascii="宋体" w:eastAsia="宋体" w:hAnsi="宋体" w:cs="宋体"/>
          <w:color w:val="333333"/>
          <w:sz w:val="24"/>
          <w:szCs w:val="24"/>
          <w:lang w:eastAsia="zh-CN"/>
        </w:rPr>
        <w:t>本指引自发布之日起施行。</w:t>
      </w:r>
      <w:r w:rsidRPr="00436AD4">
        <w:rPr>
          <w:rFonts w:ascii="微软雅黑" w:eastAsia="微软雅黑" w:hAnsi="微软雅黑" w:cs="宋体"/>
          <w:color w:val="333333"/>
          <w:sz w:val="24"/>
          <w:szCs w:val="24"/>
          <w:lang w:eastAsia="zh-CN"/>
        </w:rPr>
        <w:t> </w:t>
      </w:r>
    </w:p>
    <w:p w14:paraId="3F315B25" w14:textId="77777777" w:rsidR="00436AD4" w:rsidRPr="00436AD4" w:rsidRDefault="00436AD4" w:rsidP="00436AD4">
      <w:pPr>
        <w:spacing w:after="0" w:line="240" w:lineRule="auto"/>
        <w:rPr>
          <w:rFonts w:ascii="宋体" w:eastAsia="宋体" w:hAnsi="宋体" w:cs="宋体"/>
          <w:sz w:val="24"/>
          <w:szCs w:val="24"/>
          <w:lang w:eastAsia="zh-CN"/>
        </w:rPr>
      </w:pPr>
    </w:p>
    <w:p w14:paraId="2C078E63" w14:textId="77777777" w:rsidR="00C21BF9" w:rsidRDefault="00C21BF9"/>
    <w:sectPr w:rsidR="00C21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BF9"/>
    <w:rsid w:val="00436AD4"/>
    <w:rsid w:val="006D70F8"/>
    <w:rsid w:val="00C21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36AD4"/>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2026-07-10T05:55:00Z</dcterms:modified>
</cp:coreProperties>
</file>