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DF769C" w14:textId="77777777" w:rsidR="008C23C9" w:rsidRPr="008C23C9" w:rsidRDefault="008C23C9" w:rsidP="008C23C9">
      <w:pPr>
        <w:shd w:val="clear" w:color="auto" w:fill="FFFFFF"/>
        <w:spacing w:after="0" w:line="480" w:lineRule="atLeast"/>
        <w:jc w:val="center"/>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（协会第七届理事会第十六次会议审议通过，2023年7月23日修订发布并生效）</w:t>
      </w:r>
    </w:p>
    <w:p w14:paraId="64D6094C" w14:textId="77777777" w:rsidR="008C23C9" w:rsidRPr="008C23C9" w:rsidRDefault="008C23C9" w:rsidP="008C23C9">
      <w:pPr>
        <w:shd w:val="clear" w:color="auto" w:fill="FFFFFF"/>
        <w:spacing w:after="0" w:line="480" w:lineRule="atLeast"/>
        <w:ind w:firstLine="573"/>
        <w:jc w:val="center"/>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（中证协发〔2023〕137号）</w:t>
      </w:r>
    </w:p>
    <w:p w14:paraId="022FA585" w14:textId="77777777" w:rsidR="008C23C9" w:rsidRPr="008C23C9" w:rsidRDefault="008C23C9" w:rsidP="008C23C9">
      <w:pPr>
        <w:shd w:val="clear" w:color="auto" w:fill="FFFFFF"/>
        <w:spacing w:after="0" w:line="480" w:lineRule="atLeast"/>
        <w:ind w:firstLine="573"/>
        <w:jc w:val="center"/>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 </w:t>
      </w:r>
    </w:p>
    <w:p w14:paraId="78ED8AEC" w14:textId="77777777" w:rsidR="008C23C9" w:rsidRPr="008C23C9" w:rsidRDefault="008C23C9" w:rsidP="008C23C9">
      <w:pPr>
        <w:shd w:val="clear" w:color="auto" w:fill="FFFFFF"/>
        <w:spacing w:after="0" w:line="480" w:lineRule="atLeast"/>
        <w:ind w:firstLine="573"/>
        <w:jc w:val="center"/>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第一章 总则</w:t>
      </w:r>
    </w:p>
    <w:p w14:paraId="4BF77500"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第一条</w:t>
      </w:r>
      <w:r w:rsidRPr="008C23C9">
        <w:rPr>
          <w:rFonts w:ascii="微软雅黑" w:eastAsia="微软雅黑" w:hAnsi="微软雅黑" w:cs="宋体"/>
          <w:color w:val="333333"/>
          <w:sz w:val="24"/>
          <w:szCs w:val="24"/>
          <w:lang w:eastAsia="zh-CN"/>
        </w:rPr>
        <w:t>  为指导证券公司建立健全压力测试机制，提高风险管理水平，根据《中华人民共和国证券法》《证券公司监督管理条例》《证券公司风险控制指标管理办法》《证券公司全面风险管理规范》等法律法规和自律规则，制定本指引。</w:t>
      </w:r>
    </w:p>
    <w:p w14:paraId="6F5055BE"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第二条</w:t>
      </w:r>
      <w:r w:rsidRPr="008C23C9">
        <w:rPr>
          <w:rFonts w:ascii="微软雅黑" w:eastAsia="微软雅黑" w:hAnsi="微软雅黑" w:cs="宋体"/>
          <w:color w:val="333333"/>
          <w:sz w:val="24"/>
          <w:szCs w:val="24"/>
          <w:lang w:eastAsia="zh-CN"/>
        </w:rPr>
        <w:t> 证券公司应当建立压力测试机制，确保在压力情景下风险可测、可控、可承受，保障可持续经营。</w:t>
      </w:r>
    </w:p>
    <w:p w14:paraId="77F64492"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本指引所称压力测试，是指证券公司采用以定量分析为主的风险分析方法，测算压力情景下净资本和流动性等风险控制指标、财务指标、证券公司内部风险限额及业务指标的变化情况，评估风险承受能力，并采取必要应对措施的过程。</w:t>
      </w:r>
    </w:p>
    <w:p w14:paraId="3DB17A1E"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本指引所称压力情景包括证券公司内外部经营环境发生极端变化或出现突发事件，开展重大业务以及进行利润分配等情形。</w:t>
      </w:r>
    </w:p>
    <w:p w14:paraId="5CA6AC16"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第三条</w:t>
      </w:r>
      <w:r w:rsidRPr="008C23C9">
        <w:rPr>
          <w:rFonts w:ascii="微软雅黑" w:eastAsia="微软雅黑" w:hAnsi="微软雅黑" w:cs="宋体"/>
          <w:color w:val="333333"/>
          <w:sz w:val="24"/>
          <w:szCs w:val="24"/>
          <w:lang w:eastAsia="zh-CN"/>
        </w:rPr>
        <w:t> 证券公司开展压力测试，应当遵循以下原则：</w:t>
      </w:r>
    </w:p>
    <w:p w14:paraId="0124A402"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（一）全面性原则：证券公司压力测试应当全面覆盖公司各个业务领域、所有子公司以及比照子公司管理的各类孙公司（以下简称“子公司”）的各类风险，并充分考虑各类风险间的相关性。</w:t>
      </w:r>
    </w:p>
    <w:p w14:paraId="75B4964C"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（二）实践性原则：证券公司开展压力测试的流程与方法应当具备针对性和可操作性，与经营管理实践紧密结合，压力测试结果应当在风险管理和经营决策中得到有效应用。</w:t>
      </w:r>
    </w:p>
    <w:p w14:paraId="2BF6DCF2"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（三）审慎性原则：证券公司开展压力测试所选用的风险因素、数量模型、情景假设应当审慎合理，符合行业和公司实际，以利于科学分析各类风险的特征及其对各项业务的影响。</w:t>
      </w:r>
    </w:p>
    <w:p w14:paraId="3886EE2E"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（四）前瞻性原则：证券公司开展压力测试应当综合考虑宏观经济运行周期、行业发展变化趋势以及公司发展战略规划，合理预见各种可能出现的极端不利情况和风险。</w:t>
      </w:r>
    </w:p>
    <w:p w14:paraId="2B6C3261"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第四条</w:t>
      </w:r>
      <w:r w:rsidRPr="008C23C9">
        <w:rPr>
          <w:rFonts w:ascii="微软雅黑" w:eastAsia="微软雅黑" w:hAnsi="微软雅黑" w:cs="宋体"/>
          <w:color w:val="333333"/>
          <w:sz w:val="24"/>
          <w:szCs w:val="24"/>
          <w:lang w:eastAsia="zh-CN"/>
        </w:rPr>
        <w:t> 中国证券业协会（以下简称“协会”）组建压力测试专家组，专家组成员主要由协会风险管理相关专业委员会专家及来自监管机构、自律组织的专家组成，总人数不</w:t>
      </w:r>
      <w:r w:rsidRPr="008C23C9">
        <w:rPr>
          <w:rFonts w:ascii="微软雅黑" w:eastAsia="微软雅黑" w:hAnsi="微软雅黑" w:cs="宋体"/>
          <w:color w:val="333333"/>
          <w:sz w:val="24"/>
          <w:szCs w:val="24"/>
          <w:lang w:eastAsia="zh-CN"/>
        </w:rPr>
        <w:lastRenderedPageBreak/>
        <w:t>低于10人。专家组可以对行业压力测试工作方案提出建议，包括但不限于压力测试情景、参数指标和传导机制等；对压力测试结果做出综合研判，提出压力测试工作改进建议等。协会根据专家组意见建议提出综合压力测试或专项压力测试工作要求。</w:t>
      </w:r>
    </w:p>
    <w:p w14:paraId="70D57AA4" w14:textId="77777777" w:rsidR="008C23C9" w:rsidRPr="008C23C9" w:rsidRDefault="008C23C9" w:rsidP="008C23C9">
      <w:pPr>
        <w:shd w:val="clear" w:color="auto" w:fill="FFFFFF"/>
        <w:spacing w:after="0" w:line="480" w:lineRule="atLeast"/>
        <w:jc w:val="center"/>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第二章  压力测试的基本保障</w:t>
      </w:r>
    </w:p>
    <w:p w14:paraId="48CEE9C0"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第五条</w:t>
      </w:r>
      <w:r w:rsidRPr="008C23C9">
        <w:rPr>
          <w:rFonts w:ascii="微软雅黑" w:eastAsia="微软雅黑" w:hAnsi="微软雅黑" w:cs="宋体"/>
          <w:color w:val="333333"/>
          <w:sz w:val="24"/>
          <w:szCs w:val="24"/>
          <w:lang w:eastAsia="zh-CN"/>
        </w:rPr>
        <w:t> 证券公司董事会或者经理层应当高度重视并积极指导压力测试工作，确定压力测试的组织架构，指派公司高级管理人员分管压力测试工作，指定专门部门和专业人员负责实施压力测试。公司其他相关部门、分支机构和子公司应当积极配合，共同开展压力测试工作，或根据自身业务和管理需要自主开展压力测试工作。</w:t>
      </w:r>
    </w:p>
    <w:p w14:paraId="44EA5479"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第六条</w:t>
      </w:r>
      <w:r w:rsidRPr="008C23C9">
        <w:rPr>
          <w:rFonts w:ascii="微软雅黑" w:eastAsia="微软雅黑" w:hAnsi="微软雅黑" w:cs="宋体"/>
          <w:color w:val="333333"/>
          <w:sz w:val="24"/>
          <w:szCs w:val="24"/>
          <w:lang w:eastAsia="zh-CN"/>
        </w:rPr>
        <w:t> 证券公司应当建立和完善压力测试的相关制度，制度应当包括压力测试的职责分工、触发机制、实施流程及方法、报告路径、结果应用、检查评估等内容。</w:t>
      </w:r>
    </w:p>
    <w:p w14:paraId="6CB78B1C"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第七条 </w:t>
      </w:r>
      <w:r w:rsidRPr="008C23C9">
        <w:rPr>
          <w:rFonts w:ascii="微软雅黑" w:eastAsia="微软雅黑" w:hAnsi="微软雅黑" w:cs="宋体"/>
          <w:color w:val="333333"/>
          <w:sz w:val="24"/>
          <w:szCs w:val="24"/>
          <w:lang w:eastAsia="zh-CN"/>
        </w:rPr>
        <w:t>证券公司在压力测试中所使用的市场数据、财务数据、业务数据等各种内外部数据来源应当合法、真实、准确、完整。</w:t>
      </w:r>
    </w:p>
    <w:p w14:paraId="58609340"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第八条</w:t>
      </w:r>
      <w:r w:rsidRPr="008C23C9">
        <w:rPr>
          <w:rFonts w:ascii="微软雅黑" w:eastAsia="微软雅黑" w:hAnsi="微软雅黑" w:cs="宋体"/>
          <w:color w:val="333333"/>
          <w:sz w:val="24"/>
          <w:szCs w:val="24"/>
          <w:lang w:eastAsia="zh-CN"/>
        </w:rPr>
        <w:t> 证券公司压力测试应当选用适当的数量模型。数量模型应当采用科学合理的计量方法和估值技术，并具备理论基础和实务依据，考虑外部环境、行业现状及公司自身业务特点等要素，合理运用定性方法作为数量模型的补充，综合专家经验和判断，定期或不定期进行评估与验证，以提高数量模型的有效性。数量模型的建立和修改应当根据公司决策机制履行相关审批程序。</w:t>
      </w:r>
    </w:p>
    <w:p w14:paraId="0BFDF59D"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第九条 </w:t>
      </w:r>
      <w:r w:rsidRPr="008C23C9">
        <w:rPr>
          <w:rFonts w:ascii="微软雅黑" w:eastAsia="微软雅黑" w:hAnsi="微软雅黑" w:cs="宋体"/>
          <w:color w:val="333333"/>
          <w:sz w:val="24"/>
          <w:szCs w:val="24"/>
          <w:lang w:eastAsia="zh-CN"/>
        </w:rPr>
        <w:t>证券公司应当为压力测试工作提供必要的信息技术保障，在数据管理、模型开发、情景设置、测试实施、结果分析与报告等环节给予信息技术支持，结合自身情况逐步提升压力测试工作系统化水平，以提高压力测试的质量和效率。</w:t>
      </w:r>
    </w:p>
    <w:p w14:paraId="28C44913" w14:textId="77777777" w:rsidR="008C23C9" w:rsidRPr="008C23C9" w:rsidRDefault="008C23C9" w:rsidP="008C23C9">
      <w:pPr>
        <w:shd w:val="clear" w:color="auto" w:fill="FFFFFF"/>
        <w:spacing w:after="0" w:line="480" w:lineRule="atLeast"/>
        <w:jc w:val="center"/>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第三章  压力测试流程和方法</w:t>
      </w:r>
    </w:p>
    <w:p w14:paraId="0D342ADB"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第十条</w:t>
      </w:r>
      <w:r w:rsidRPr="008C23C9">
        <w:rPr>
          <w:rFonts w:ascii="微软雅黑" w:eastAsia="微软雅黑" w:hAnsi="微软雅黑" w:cs="宋体"/>
          <w:color w:val="333333"/>
          <w:sz w:val="24"/>
          <w:szCs w:val="24"/>
          <w:lang w:eastAsia="zh-CN"/>
        </w:rPr>
        <w:t> 证券公司开展压力测试一般包括以下主要步骤：</w:t>
      </w:r>
    </w:p>
    <w:p w14:paraId="255CDBF1"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（一）确定测试目的，选择测试对象；</w:t>
      </w:r>
    </w:p>
    <w:p w14:paraId="766E71DB"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（二）制定测试方案，确定测试方法；</w:t>
      </w:r>
    </w:p>
    <w:p w14:paraId="0612DF70"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（三）设置测试情景，确定风险因素；</w:t>
      </w:r>
    </w:p>
    <w:p w14:paraId="1D128F5A"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（四）明确传导模型，收集测试数据；</w:t>
      </w:r>
    </w:p>
    <w:p w14:paraId="6C1223FE"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（五）实施压力测试，分析报告测试结果；</w:t>
      </w:r>
    </w:p>
    <w:p w14:paraId="0EFBBF3D"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lastRenderedPageBreak/>
        <w:t>（六）制定和执行应对措施。</w:t>
      </w:r>
    </w:p>
    <w:p w14:paraId="6AE4334A"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第十一条</w:t>
      </w:r>
      <w:r w:rsidRPr="008C23C9">
        <w:rPr>
          <w:rFonts w:ascii="微软雅黑" w:eastAsia="微软雅黑" w:hAnsi="微软雅黑" w:cs="宋体"/>
          <w:color w:val="333333"/>
          <w:sz w:val="24"/>
          <w:szCs w:val="24"/>
          <w:lang w:eastAsia="zh-CN"/>
        </w:rPr>
        <w:t> 证券公司压力测试方案的制定应当充分与公司相关部门沟通，证券公司压力测试方案一般包括测试目的、测试对象、测试方法、压力情景、风险因素、传导模型、测试区间、测试数据、测试频率、参与部门等要素。</w:t>
      </w:r>
    </w:p>
    <w:p w14:paraId="4F909D8F"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第十二条 </w:t>
      </w:r>
      <w:r w:rsidRPr="008C23C9">
        <w:rPr>
          <w:rFonts w:ascii="微软雅黑" w:eastAsia="微软雅黑" w:hAnsi="微软雅黑" w:cs="宋体"/>
          <w:color w:val="333333"/>
          <w:sz w:val="24"/>
          <w:szCs w:val="24"/>
          <w:lang w:eastAsia="zh-CN"/>
        </w:rPr>
        <w:t>证券公司压力测试包括综合压力测试和专项压力测试。综合压力测试的对象包括但不限于净资本、流动性等风险控制指标和整体财务指标；专项压力测试的对象根据专项压力测试的目的予以选择。</w:t>
      </w:r>
    </w:p>
    <w:p w14:paraId="79F96491"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证券公司在压力测试过程中，可进一步运用反向压力测试方法对导致测试对象超限、预警或重大不利变动的因素进行分析，并研究应对措施。反向压力测试是从已知的压力测试结果出发，反向寻找公司资产质量、盈利、资本和流动性可能承受的极端压力情景，适于开展反向压力测试的领域包括高风险业务线、未经历过严重压力的新产品和新业务等。</w:t>
      </w:r>
    </w:p>
    <w:p w14:paraId="6F9404E9"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第十三条</w:t>
      </w:r>
      <w:r w:rsidRPr="008C23C9">
        <w:rPr>
          <w:rFonts w:ascii="微软雅黑" w:eastAsia="微软雅黑" w:hAnsi="微软雅黑" w:cs="宋体"/>
          <w:color w:val="333333"/>
          <w:sz w:val="24"/>
          <w:szCs w:val="24"/>
          <w:lang w:eastAsia="zh-CN"/>
        </w:rPr>
        <w:t> 证券公司压力测试根据不同的压力情景可采用敏感性分析和情景分析等方法。</w:t>
      </w:r>
    </w:p>
    <w:p w14:paraId="1C8D509D"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本指引所称敏感性分析是指测试单个重要风险因素或少数几项关系密切因素发生变化时的压力情景对证券公司的影响；情景分析是指测试多种风险因素同时变化或某些不利事件发生时的压力情景对证券公司的影响。</w:t>
      </w:r>
    </w:p>
    <w:p w14:paraId="745A5526"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第十四条 </w:t>
      </w:r>
      <w:r w:rsidRPr="008C23C9">
        <w:rPr>
          <w:rFonts w:ascii="微软雅黑" w:eastAsia="微软雅黑" w:hAnsi="微软雅黑" w:cs="宋体"/>
          <w:color w:val="333333"/>
          <w:sz w:val="24"/>
          <w:szCs w:val="24"/>
          <w:lang w:eastAsia="zh-CN"/>
        </w:rPr>
        <w:t>证券公司在设置压力情景时，可采取历史情景法、假设情景法或者二者相结合的方法。历史情景法是指模拟历史上重大风险事件或重大压力情景，假设情景法是指基于经验判断或数量模型模拟未来可预见的极端不利情况。证券公司可结合具体业务风险因子，采用数量模型及专家判断设置相关压力情景及参数。</w:t>
      </w:r>
    </w:p>
    <w:p w14:paraId="488182E6"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证券公司可根据风险因素的严重程度设置多个压力情景，一般包括轻度、中度和重度压力情景等。情景设置应定期或不定期进行检查回顾，若发现压力情景显著弱于市场或已实际发生的最不利情况，应重点分析并在未来压力测试情景设置中予以适当调整。</w:t>
      </w:r>
    </w:p>
    <w:p w14:paraId="2B878134"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第十五条</w:t>
      </w:r>
      <w:r w:rsidRPr="008C23C9">
        <w:rPr>
          <w:rFonts w:ascii="微软雅黑" w:eastAsia="微软雅黑" w:hAnsi="微软雅黑" w:cs="宋体"/>
          <w:color w:val="333333"/>
          <w:sz w:val="24"/>
          <w:szCs w:val="24"/>
          <w:lang w:eastAsia="zh-CN"/>
        </w:rPr>
        <w:t> 压力测试应当涵盖证券公司面临的主要风险，包括经营风险、市场风险、信用风险、操作风险、声誉风险、法律合规风险、流动性风险等风险类型。证券公司应当根据上述风险类型科学审慎地确定相应的风险因素，并考虑不同风险因素之间的相互作用和共同影响，风险因素的变化情况一般包括：</w:t>
      </w:r>
    </w:p>
    <w:p w14:paraId="087484F5"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lastRenderedPageBreak/>
        <w:t>（一）经营风险因素：证券交易量大幅下降、经纪业务佣金费率快速下滑、资产管理、投资银行、融资融券、股票质押等主要业务规模大幅变动等；</w:t>
      </w:r>
    </w:p>
    <w:p w14:paraId="791D4F0B"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（二）市场风险因素：利率或信用价差大幅变动、权益市场、汇率大幅波动、商品市场的大幅波动等，可参考资产价格在不同置信区间下的历史不利变动，并适度增加变动幅度；</w:t>
      </w:r>
    </w:p>
    <w:p w14:paraId="746E40FE"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（三）信用风险因素：违约事件发生、信用评级下调、信用类业务违约率或违约损失率上升等，并充分考虑违约资产以及担保品处置周期等特殊因素；</w:t>
      </w:r>
    </w:p>
    <w:p w14:paraId="44C054F9"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（四）操作风险因素：信息系统重大故障、业务流程设计失效、人员重大操作失误、外部事件造成重大损失等；</w:t>
      </w:r>
    </w:p>
    <w:p w14:paraId="2188A24F"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（五）声誉风险因素：发生重大负面声誉事件，造成证券公司重大损失、证券行业声誉损害等。</w:t>
      </w:r>
    </w:p>
    <w:p w14:paraId="11C77FFA"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（六）法律合规风险因素：发生违法违规事件、监管处罚导致部分业务资格暂停、诉讼案件或有赔偿等；</w:t>
      </w:r>
    </w:p>
    <w:p w14:paraId="2D85540B"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（七）流动性风险因素：融资成本持续高企、融资渠道受限、出现大额资金缺口、负债集中到期或赎回、金融资产变现困难以及可能导致流动性风险的其他因素。</w:t>
      </w:r>
    </w:p>
    <w:p w14:paraId="6EF5E2A4"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在考虑以上风险因素不利变动时，可同步考虑宏观经济风险因素的先导性作用，包括但不限于国际经济及政治不利因素、国内经济增速放缓，如国内生产总值（GDP）增速下降、失业率（UE）上升、居民消费价格指数（CPI）等指标出现大幅波动对证券公司经营、市场、信用等相关风险的传导及影响。</w:t>
      </w:r>
    </w:p>
    <w:p w14:paraId="6A0493B4"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第十六条 </w:t>
      </w:r>
      <w:r w:rsidRPr="008C23C9">
        <w:rPr>
          <w:rFonts w:ascii="微软雅黑" w:eastAsia="微软雅黑" w:hAnsi="微软雅黑" w:cs="宋体"/>
          <w:color w:val="333333"/>
          <w:sz w:val="24"/>
          <w:szCs w:val="24"/>
          <w:lang w:eastAsia="zh-CN"/>
        </w:rPr>
        <w:t>证券公司应当在审慎评估的基础上，根据风险及业务情况，充分分析利用内外部数据，采用科学合理的计量方法和估值技术，细化完善风险因子参数及传导模型，科学审慎设置压力情景及数据范围，充分反映对证券公司财务、风控指标的影响，提高对各类风险预测、预警、预防能力。</w:t>
      </w:r>
    </w:p>
    <w:p w14:paraId="4CA35068"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证券公司在设置及完善压力测试情景参数及传导模型时，可根据需要参考附件《证券公司压力测试案例参考》。</w:t>
      </w:r>
    </w:p>
    <w:p w14:paraId="305094D4"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第十七条 </w:t>
      </w:r>
      <w:r w:rsidRPr="008C23C9">
        <w:rPr>
          <w:rFonts w:ascii="微软雅黑" w:eastAsia="微软雅黑" w:hAnsi="微软雅黑" w:cs="宋体"/>
          <w:color w:val="333333"/>
          <w:sz w:val="24"/>
          <w:szCs w:val="24"/>
          <w:lang w:eastAsia="zh-CN"/>
        </w:rPr>
        <w:t>证券公司应当建立常态化的压力测试机制，健全压力测试触发机制，根据市场变化、业务规模和风险水平情况，定期或不定期开展综合压力测试和专项压力测试。</w:t>
      </w:r>
    </w:p>
    <w:p w14:paraId="1E6A43D6"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lastRenderedPageBreak/>
        <w:t>第十八条 </w:t>
      </w:r>
      <w:r w:rsidRPr="008C23C9">
        <w:rPr>
          <w:rFonts w:ascii="微软雅黑" w:eastAsia="微软雅黑" w:hAnsi="微软雅黑" w:cs="宋体"/>
          <w:color w:val="333333"/>
          <w:sz w:val="24"/>
          <w:szCs w:val="24"/>
          <w:lang w:eastAsia="zh-CN"/>
        </w:rPr>
        <w:t>证券公司综合压力测试应当每年至少开展一次。年度综合压力测试应当以上年度经营情况为基础，结合本年度预算和经营计划完成。</w:t>
      </w:r>
    </w:p>
    <w:p w14:paraId="6DB932C5"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第十九条</w:t>
      </w:r>
      <w:r w:rsidRPr="008C23C9">
        <w:rPr>
          <w:rFonts w:ascii="微软雅黑" w:eastAsia="微软雅黑" w:hAnsi="微软雅黑" w:cs="宋体"/>
          <w:color w:val="333333"/>
          <w:sz w:val="24"/>
          <w:szCs w:val="24"/>
          <w:lang w:eastAsia="zh-CN"/>
        </w:rPr>
        <w:t> 证券公司开展综合压力测试时，应当确保压力测试覆盖全面，充分考虑影响母公司与子公司、表内资产与表外资产、交易性金融资产与非交易性金融资产等因素；针对存在潜在重大风险的业务领域，应设置有针对性的压力情景和风险参数，以全面反映压力情景对证券公司的不利影响。</w:t>
      </w:r>
    </w:p>
    <w:p w14:paraId="74DD9B16"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第二十条</w:t>
      </w:r>
      <w:r w:rsidRPr="008C23C9">
        <w:rPr>
          <w:rFonts w:ascii="微软雅黑" w:eastAsia="微软雅黑" w:hAnsi="微软雅黑" w:cs="宋体"/>
          <w:color w:val="333333"/>
          <w:sz w:val="24"/>
          <w:szCs w:val="24"/>
          <w:lang w:eastAsia="zh-CN"/>
        </w:rPr>
        <w:t> 证券公司应当设置压力测试主动触发机制，及时开展专项压力测试或根据管理需要开展综合压力测试，识别潜在风险并有效防范化解，提高压力测试的针对性和有效性。主动触发情景包含但不限于：</w:t>
      </w:r>
    </w:p>
    <w:p w14:paraId="74938E01"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一）可能导致净资本和流动性等风险控制指标发生明显不利变化或接近预警线的情形：重大对外投资或收购、重大对外担保、重大固定资产投资、对子公司增资、利润分配或其他重大资本性支出、证券公司分类评价结果负向调整、负债集中到期或赎回等；</w:t>
      </w:r>
    </w:p>
    <w:p w14:paraId="5BBBB5AC"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（二）确定重大业务规模和开展重大创新业务：确定经营计划和业务规模、确定自营投资规模限额、开展重大创新业务、承担重大包销责任等；</w:t>
      </w:r>
    </w:p>
    <w:p w14:paraId="4B356452"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三）预期或已经出现重大内部风险状况：自营投资业务大幅亏损、信用类业务出现大额违约、政府部门行政处罚、诉讼、声誉受损等，或因市场流动性变化或巨额赎回等因素导致的资管产品流动性风险，以及公司潜在损失占净资产比例较高等内部重大风险因素；</w:t>
      </w:r>
    </w:p>
    <w:p w14:paraId="5A5679A6"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（四）预期或已经出现重大外部风险和政策变化事件：证券市场大幅波动、监管政策发生重大变化、个别行业或区域出现整体性风险、国际局势变动引发地缘政治风险等；</w:t>
      </w:r>
    </w:p>
    <w:p w14:paraId="4285C9AB"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（五）其他可能或已经出现的压力情景；</w:t>
      </w:r>
    </w:p>
    <w:p w14:paraId="21968256" w14:textId="77777777" w:rsidR="008C23C9" w:rsidRPr="008C23C9" w:rsidRDefault="008C23C9" w:rsidP="008C23C9">
      <w:pPr>
        <w:shd w:val="clear" w:color="auto" w:fill="FFFFFF"/>
        <w:wordWrap w:val="0"/>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证券公司应根据公司实际情况在内部对上述触发情形中的“重大”进行规定。</w:t>
      </w:r>
    </w:p>
    <w:p w14:paraId="2612CF39" w14:textId="77777777" w:rsidR="008C23C9" w:rsidRPr="008C23C9" w:rsidRDefault="008C23C9" w:rsidP="008C23C9">
      <w:pPr>
        <w:shd w:val="clear" w:color="auto" w:fill="FFFFFF"/>
        <w:wordWrap w:val="0"/>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第二十一条</w:t>
      </w:r>
      <w:r w:rsidRPr="008C23C9">
        <w:rPr>
          <w:rFonts w:ascii="微软雅黑" w:eastAsia="微软雅黑" w:hAnsi="微软雅黑" w:cs="宋体"/>
          <w:color w:val="333333"/>
          <w:sz w:val="24"/>
          <w:szCs w:val="24"/>
          <w:lang w:eastAsia="zh-CN"/>
        </w:rPr>
        <w:t> 证券公司实施压力测试后应当形成压力情景下的测试结果，并对测试结果进行分析，评估风险承受能力。</w:t>
      </w:r>
    </w:p>
    <w:p w14:paraId="3AA4771A" w14:textId="77777777" w:rsidR="008C23C9" w:rsidRPr="008C23C9" w:rsidRDefault="008C23C9" w:rsidP="008C23C9">
      <w:pPr>
        <w:shd w:val="clear" w:color="auto" w:fill="FFFFFF"/>
        <w:spacing w:after="0" w:line="480" w:lineRule="atLeast"/>
        <w:jc w:val="center"/>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第四章  压力测试的报告和应用</w:t>
      </w:r>
    </w:p>
    <w:p w14:paraId="5279FF87"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lastRenderedPageBreak/>
        <w:t>第二十二条</w:t>
      </w:r>
      <w:r w:rsidRPr="008C23C9">
        <w:rPr>
          <w:rFonts w:ascii="微软雅黑" w:eastAsia="微软雅黑" w:hAnsi="微软雅黑" w:cs="宋体"/>
          <w:color w:val="333333"/>
          <w:sz w:val="24"/>
          <w:szCs w:val="24"/>
          <w:lang w:eastAsia="zh-CN"/>
        </w:rPr>
        <w:t> 证券公司年度综合压力测试结果应当及时向董事会或经理层报告，其他压力测试结果可根据测试目的、重要程度等情况合理确定报告层级；董事会或经理层应当对压力测试结果给予高度关注。</w:t>
      </w:r>
    </w:p>
    <w:p w14:paraId="2D4CCB24"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第二十三条</w:t>
      </w:r>
      <w:r w:rsidRPr="008C23C9">
        <w:rPr>
          <w:rFonts w:ascii="微软雅黑" w:eastAsia="微软雅黑" w:hAnsi="微软雅黑" w:cs="宋体"/>
          <w:color w:val="333333"/>
          <w:sz w:val="24"/>
          <w:szCs w:val="24"/>
          <w:lang w:eastAsia="zh-CN"/>
        </w:rPr>
        <w:t> 证券公司应重视压力测试的成果转化，确保测试结果的有效运用，如根据实际经营管理情况，将压力测试结果所反映的风险状况，作为优化调整风险偏好、制定业务授权及风险限额、调整资产配置结构等工作的重要参考依据。在作出重大经营决策时，应当将压力测试结果作为必备决策依据。</w:t>
      </w:r>
    </w:p>
    <w:p w14:paraId="7619E989"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第二十四条</w:t>
      </w:r>
      <w:r w:rsidRPr="008C23C9">
        <w:rPr>
          <w:rFonts w:ascii="微软雅黑" w:eastAsia="微软雅黑" w:hAnsi="微软雅黑" w:cs="宋体"/>
          <w:color w:val="333333"/>
          <w:sz w:val="24"/>
          <w:szCs w:val="24"/>
          <w:lang w:eastAsia="zh-CN"/>
        </w:rPr>
        <w:t> 证券公司压力测试结果显示可能存在导致净资本和流动性等风险控制指标不符合监管标准的重大风险时，应当及时向公司住所地证监局和中国证券业协会报告。</w:t>
      </w:r>
    </w:p>
    <w:p w14:paraId="5B211538"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证券公司应当在每年4月30日前向中国证券业协会报告年度综合压力测试报告。</w:t>
      </w:r>
    </w:p>
    <w:p w14:paraId="1F37E721"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报告内容应当包括测试方案、测试结论以及相关应对措施等。</w:t>
      </w:r>
    </w:p>
    <w:p w14:paraId="3EAA920A"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第二十五条 </w:t>
      </w:r>
      <w:r w:rsidRPr="008C23C9">
        <w:rPr>
          <w:rFonts w:ascii="微软雅黑" w:eastAsia="微软雅黑" w:hAnsi="微软雅黑" w:cs="宋体"/>
          <w:color w:val="333333"/>
          <w:sz w:val="24"/>
          <w:szCs w:val="24"/>
          <w:lang w:eastAsia="zh-CN"/>
        </w:rPr>
        <w:t>证券公司应当根据压力测试结果反映的风险情况，结合自身风险承受能力，适当采取以下应对措施，必要时实施应急预案：</w:t>
      </w:r>
    </w:p>
    <w:p w14:paraId="30B15430" w14:textId="77777777" w:rsidR="008C23C9" w:rsidRPr="008C23C9" w:rsidRDefault="008C23C9" w:rsidP="008C23C9">
      <w:pPr>
        <w:shd w:val="clear" w:color="auto" w:fill="FFFFFF"/>
        <w:spacing w:after="0" w:line="480" w:lineRule="atLeast"/>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（一）调整业务规模及业务结构；</w:t>
      </w:r>
    </w:p>
    <w:p w14:paraId="1DF78504" w14:textId="77777777" w:rsidR="008C23C9" w:rsidRPr="008C23C9" w:rsidRDefault="008C23C9" w:rsidP="008C23C9">
      <w:pPr>
        <w:shd w:val="clear" w:color="auto" w:fill="FFFFFF"/>
        <w:spacing w:after="0" w:line="480" w:lineRule="atLeast"/>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（二）采取风险对冲或缓释措施；</w:t>
      </w:r>
    </w:p>
    <w:p w14:paraId="3BB69A2F"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（三）评估和调整业务经营计划；</w:t>
      </w:r>
    </w:p>
    <w:p w14:paraId="6745CB99"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（四）增加融资渠道，调整资产负债结构；</w:t>
      </w:r>
    </w:p>
    <w:p w14:paraId="7BA09434"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（五）启动资本补足机制；</w:t>
      </w:r>
    </w:p>
    <w:p w14:paraId="5A62971C"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（六）其他应对措施。</w:t>
      </w:r>
    </w:p>
    <w:p w14:paraId="134BEF8E"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第二十六条</w:t>
      </w:r>
      <w:r w:rsidRPr="008C23C9">
        <w:rPr>
          <w:rFonts w:ascii="微软雅黑" w:eastAsia="微软雅黑" w:hAnsi="微软雅黑" w:cs="宋体"/>
          <w:color w:val="333333"/>
          <w:sz w:val="24"/>
          <w:szCs w:val="24"/>
          <w:lang w:eastAsia="zh-CN"/>
        </w:rPr>
        <w:t> 证券公司应当定期对压力测试工作机制和执行有效性进行检查和评估，并根据结果进行优化与完善。检查和评估应当重点关注以下方面：</w:t>
      </w:r>
    </w:p>
    <w:p w14:paraId="6331E104"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（一）各项基本保障是否健全；</w:t>
      </w:r>
    </w:p>
    <w:p w14:paraId="0B924CC5"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（二）流程和方法是否完备；</w:t>
      </w:r>
    </w:p>
    <w:p w14:paraId="0697CDC7"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（三）压力情景重要假设是否合理；</w:t>
      </w:r>
    </w:p>
    <w:p w14:paraId="08BE0537"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（四）数量模型是否有效；</w:t>
      </w:r>
    </w:p>
    <w:p w14:paraId="7CDAD21D"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（五）应对措施是否可行；</w:t>
      </w:r>
    </w:p>
    <w:p w14:paraId="71BB9925"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lastRenderedPageBreak/>
        <w:t>（六）对于测试期发生的重大风险事件，综合或专项压力测试的情景或风险因子中是否已覆盖。</w:t>
      </w:r>
    </w:p>
    <w:p w14:paraId="44EF0EF6"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第二十七条</w:t>
      </w:r>
      <w:r w:rsidRPr="008C23C9">
        <w:rPr>
          <w:rFonts w:ascii="微软雅黑" w:eastAsia="微软雅黑" w:hAnsi="微软雅黑" w:cs="宋体"/>
          <w:color w:val="333333"/>
          <w:sz w:val="24"/>
          <w:szCs w:val="24"/>
          <w:lang w:eastAsia="zh-CN"/>
        </w:rPr>
        <w:t> 证券公司应做好压力测试文档管理工作，包括压力测试计算底稿、测试报告等，并保证相关文档的完备性，相关文档保存期限不少于五年。</w:t>
      </w:r>
    </w:p>
    <w:p w14:paraId="221DCA36" w14:textId="77777777" w:rsidR="008C23C9" w:rsidRPr="008C23C9" w:rsidRDefault="008C23C9" w:rsidP="008C23C9">
      <w:pPr>
        <w:shd w:val="clear" w:color="auto" w:fill="FFFFFF"/>
        <w:spacing w:after="0" w:line="480" w:lineRule="atLeast"/>
        <w:jc w:val="center"/>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第五章  自律管理</w:t>
      </w:r>
    </w:p>
    <w:p w14:paraId="6BE34119"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第二十八条</w:t>
      </w:r>
      <w:r w:rsidRPr="008C23C9">
        <w:rPr>
          <w:rFonts w:ascii="微软雅黑" w:eastAsia="微软雅黑" w:hAnsi="微软雅黑" w:cs="宋体"/>
          <w:color w:val="333333"/>
          <w:sz w:val="24"/>
          <w:szCs w:val="24"/>
          <w:lang w:eastAsia="zh-CN"/>
        </w:rPr>
        <w:t> 协会对证券公司压力测试工作实施自律管理，对证券公司的压力测试落实执行情况进行评估和检查。证券公司及其工作人员应当予以配合，如实提供有关资料。</w:t>
      </w:r>
    </w:p>
    <w:p w14:paraId="084540DD"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第二十九条</w:t>
      </w:r>
      <w:r w:rsidRPr="008C23C9">
        <w:rPr>
          <w:rFonts w:ascii="微软雅黑" w:eastAsia="微软雅黑" w:hAnsi="微软雅黑" w:cs="宋体"/>
          <w:color w:val="333333"/>
          <w:sz w:val="24"/>
          <w:szCs w:val="24"/>
          <w:lang w:eastAsia="zh-CN"/>
        </w:rPr>
        <w:t> 证券公司压力测试方法不科学、覆盖不全面，压力测试结果不审慎、未得到有效运用、未能充分揭示实质风险的，协会可以要求证券公司重新测算。</w:t>
      </w:r>
    </w:p>
    <w:p w14:paraId="63D61D99"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第三十条 </w:t>
      </w:r>
      <w:r w:rsidRPr="008C23C9">
        <w:rPr>
          <w:rFonts w:ascii="微软雅黑" w:eastAsia="微软雅黑" w:hAnsi="微软雅黑" w:cs="宋体"/>
          <w:color w:val="333333"/>
          <w:sz w:val="24"/>
          <w:szCs w:val="24"/>
          <w:lang w:eastAsia="zh-CN"/>
        </w:rPr>
        <w:t>证券公司未按本指引要求履行压力测试工作职责的，协会依据《中国证券业协会自律措施实施办法》对公司及责任人采取自律管理措施或纪律处分。</w:t>
      </w:r>
    </w:p>
    <w:p w14:paraId="283A6314" w14:textId="77777777" w:rsidR="008C23C9" w:rsidRPr="008C23C9" w:rsidRDefault="008C23C9" w:rsidP="008C23C9">
      <w:pPr>
        <w:shd w:val="clear" w:color="auto" w:fill="FFFFFF"/>
        <w:spacing w:after="0" w:line="480" w:lineRule="atLeast"/>
        <w:jc w:val="center"/>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第六章  附则</w:t>
      </w:r>
    </w:p>
    <w:p w14:paraId="62F7D0B4"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第三十一条</w:t>
      </w:r>
      <w:r w:rsidRPr="008C23C9">
        <w:rPr>
          <w:rFonts w:ascii="微软雅黑" w:eastAsia="微软雅黑" w:hAnsi="微软雅黑" w:cs="宋体"/>
          <w:color w:val="333333"/>
          <w:sz w:val="24"/>
          <w:szCs w:val="24"/>
          <w:lang w:eastAsia="zh-CN"/>
        </w:rPr>
        <w:t> 本指引由中国证券业协会负责解释。</w:t>
      </w:r>
    </w:p>
    <w:p w14:paraId="580E6C72"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第三十二条</w:t>
      </w:r>
      <w:r w:rsidRPr="008C23C9">
        <w:rPr>
          <w:rFonts w:ascii="微软雅黑" w:eastAsia="微软雅黑" w:hAnsi="微软雅黑" w:cs="宋体"/>
          <w:color w:val="333333"/>
          <w:sz w:val="24"/>
          <w:szCs w:val="24"/>
          <w:lang w:eastAsia="zh-CN"/>
        </w:rPr>
        <w:t> 本指引自公布之日起施行。</w:t>
      </w:r>
    </w:p>
    <w:p w14:paraId="3C633033"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br/>
      </w:r>
    </w:p>
    <w:p w14:paraId="443CE5C0"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附件</w:t>
      </w:r>
    </w:p>
    <w:p w14:paraId="6F46CCB1" w14:textId="77777777" w:rsidR="008C23C9" w:rsidRPr="008C23C9" w:rsidRDefault="008C23C9" w:rsidP="008C23C9">
      <w:pPr>
        <w:shd w:val="clear" w:color="auto" w:fill="FFFFFF"/>
        <w:spacing w:after="0" w:line="480" w:lineRule="atLeast"/>
        <w:ind w:firstLine="573"/>
        <w:jc w:val="center"/>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证券公司压力测试案例参考</w:t>
      </w:r>
    </w:p>
    <w:p w14:paraId="0A278942"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以下案例仅限为部分证券业务的基础性压力测试方法，考虑到不同证券公司的业务开展、策略选择、所面临具体风险情况等存在很大差异，在实际执行压力测试时，证券公司应根据压力测试目的，充分考虑自身业务发展规划及实际风险情况，结合当前的整体市场环境及专家判断，按照审慎原则，选择在合理性、可执行性等方面更适用于公司自身情况的压力测试参数及方法。</w:t>
      </w:r>
    </w:p>
    <w:p w14:paraId="29C94C1F"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一、压力情景设定</w:t>
      </w:r>
    </w:p>
    <w:p w14:paraId="2A79FC02"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（一）市场风险</w:t>
      </w:r>
    </w:p>
    <w:p w14:paraId="24C59BCA"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1.利率类方向性业务市场风险参数设定</w:t>
      </w:r>
    </w:p>
    <w:p w14:paraId="4BF65DAA"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lastRenderedPageBreak/>
        <w:t>利率方向性业务市场风险主要考虑因市场基准利率升高、信用债利差增大等情形导致持仓债券公允价值下跌的风险。证券公司可根据持仓组合信用评级、加权平均久期等情况选择相应市场标的作为压力测试风险因子，并根据标的在过往历史中的重大不利变动作为压力情景。</w:t>
      </w:r>
    </w:p>
    <w:p w14:paraId="45740EF6"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如某证券公司利率类方向性业务主要为利率债及信用债投资持仓，组合加权平均久期约为1年，其中信用债持仓评级主要为AA级及以上。境内利率债选择中债登公布的国债1年期收益率，信用债选择中债登公布的各等级中短期票据1年期收益率作为风险因子，并分析2017年末至2021年末历史数据情况，见下表：</w:t>
      </w:r>
    </w:p>
    <w:tbl>
      <w:tblPr>
        <w:tblW w:w="9776" w:type="dxa"/>
        <w:jc w:val="center"/>
        <w:tblCellMar>
          <w:left w:w="0" w:type="dxa"/>
          <w:right w:w="0" w:type="dxa"/>
        </w:tblCellMar>
        <w:tblLook w:val="04A0" w:firstRow="1" w:lastRow="0" w:firstColumn="1" w:lastColumn="0" w:noHBand="0" w:noVBand="1"/>
      </w:tblPr>
      <w:tblGrid>
        <w:gridCol w:w="1523"/>
        <w:gridCol w:w="972"/>
        <w:gridCol w:w="1098"/>
        <w:gridCol w:w="1182"/>
        <w:gridCol w:w="947"/>
        <w:gridCol w:w="1044"/>
        <w:gridCol w:w="947"/>
        <w:gridCol w:w="1116"/>
        <w:gridCol w:w="947"/>
      </w:tblGrid>
      <w:tr w:rsidR="008C23C9" w:rsidRPr="008C23C9" w14:paraId="0BBEF97A" w14:textId="77777777">
        <w:trPr>
          <w:trHeight w:val="18"/>
          <w:jc w:val="center"/>
        </w:trPr>
        <w:tc>
          <w:tcPr>
            <w:tcW w:w="1571" w:type="dxa"/>
            <w:tcBorders>
              <w:top w:val="single" w:sz="8" w:space="0" w:color="auto"/>
              <w:left w:val="single" w:sz="8" w:space="0" w:color="auto"/>
              <w:bottom w:val="single" w:sz="8" w:space="0" w:color="auto"/>
              <w:right w:val="single" w:sz="8" w:space="0" w:color="auto"/>
            </w:tcBorders>
            <w:shd w:val="clear" w:color="auto" w:fill="BEBEBE"/>
            <w:tcMar>
              <w:top w:w="80" w:type="dxa"/>
              <w:left w:w="80" w:type="dxa"/>
              <w:bottom w:w="80" w:type="dxa"/>
              <w:right w:w="80" w:type="dxa"/>
            </w:tcMar>
            <w:vAlign w:val="center"/>
            <w:hideMark/>
          </w:tcPr>
          <w:p w14:paraId="106EC2CB"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日期</w:t>
            </w:r>
          </w:p>
        </w:tc>
        <w:tc>
          <w:tcPr>
            <w:tcW w:w="976" w:type="dxa"/>
            <w:tcBorders>
              <w:top w:val="single" w:sz="8" w:space="0" w:color="auto"/>
              <w:left w:val="single" w:sz="8" w:space="0" w:color="auto"/>
              <w:bottom w:val="single" w:sz="8" w:space="0" w:color="auto"/>
              <w:right w:val="single" w:sz="8" w:space="0" w:color="auto"/>
            </w:tcBorders>
            <w:shd w:val="clear" w:color="auto" w:fill="BEBEBE"/>
            <w:tcMar>
              <w:top w:w="80" w:type="dxa"/>
              <w:left w:w="80" w:type="dxa"/>
              <w:bottom w:w="80" w:type="dxa"/>
              <w:right w:w="80" w:type="dxa"/>
            </w:tcMar>
            <w:vAlign w:val="center"/>
            <w:hideMark/>
          </w:tcPr>
          <w:p w14:paraId="0433ADE8"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国债1年期收益率</w:t>
            </w:r>
          </w:p>
        </w:tc>
        <w:tc>
          <w:tcPr>
            <w:tcW w:w="1134" w:type="dxa"/>
            <w:tcBorders>
              <w:top w:val="single" w:sz="8" w:space="0" w:color="auto"/>
              <w:left w:val="single" w:sz="8" w:space="0" w:color="auto"/>
              <w:bottom w:val="single" w:sz="8" w:space="0" w:color="auto"/>
              <w:right w:val="single" w:sz="8" w:space="0" w:color="auto"/>
            </w:tcBorders>
            <w:shd w:val="clear" w:color="auto" w:fill="BEBEBE"/>
            <w:tcMar>
              <w:top w:w="80" w:type="dxa"/>
              <w:left w:w="80" w:type="dxa"/>
              <w:bottom w:w="80" w:type="dxa"/>
              <w:right w:w="80" w:type="dxa"/>
            </w:tcMar>
            <w:vAlign w:val="center"/>
            <w:hideMark/>
          </w:tcPr>
          <w:p w14:paraId="4DA34DAF"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年度升幅</w:t>
            </w:r>
          </w:p>
        </w:tc>
        <w:tc>
          <w:tcPr>
            <w:tcW w:w="992" w:type="dxa"/>
            <w:tcBorders>
              <w:top w:val="single" w:sz="8" w:space="0" w:color="auto"/>
              <w:left w:val="single" w:sz="8" w:space="0" w:color="auto"/>
              <w:bottom w:val="single" w:sz="8" w:space="0" w:color="auto"/>
              <w:right w:val="single" w:sz="8" w:space="0" w:color="auto"/>
            </w:tcBorders>
            <w:shd w:val="clear" w:color="auto" w:fill="BEBEBE"/>
            <w:tcMar>
              <w:top w:w="80" w:type="dxa"/>
              <w:left w:w="80" w:type="dxa"/>
              <w:bottom w:w="80" w:type="dxa"/>
              <w:right w:w="80" w:type="dxa"/>
            </w:tcMar>
            <w:vAlign w:val="center"/>
            <w:hideMark/>
          </w:tcPr>
          <w:p w14:paraId="0CE81974"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中短期票据1年期收益率（AAA）</w:t>
            </w:r>
          </w:p>
        </w:tc>
        <w:tc>
          <w:tcPr>
            <w:tcW w:w="992" w:type="dxa"/>
            <w:tcBorders>
              <w:top w:val="single" w:sz="8" w:space="0" w:color="auto"/>
              <w:left w:val="single" w:sz="8" w:space="0" w:color="auto"/>
              <w:bottom w:val="single" w:sz="8" w:space="0" w:color="auto"/>
              <w:right w:val="single" w:sz="8" w:space="0" w:color="auto"/>
            </w:tcBorders>
            <w:shd w:val="clear" w:color="auto" w:fill="BEBEBE"/>
            <w:vAlign w:val="center"/>
            <w:hideMark/>
          </w:tcPr>
          <w:p w14:paraId="3F2539AD"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年度升幅</w:t>
            </w:r>
          </w:p>
        </w:tc>
        <w:tc>
          <w:tcPr>
            <w:tcW w:w="993" w:type="dxa"/>
            <w:tcBorders>
              <w:top w:val="single" w:sz="8" w:space="0" w:color="auto"/>
              <w:left w:val="single" w:sz="8" w:space="0" w:color="auto"/>
              <w:bottom w:val="single" w:sz="8" w:space="0" w:color="auto"/>
              <w:right w:val="single" w:sz="8" w:space="0" w:color="auto"/>
            </w:tcBorders>
            <w:shd w:val="clear" w:color="auto" w:fill="BEBEBE"/>
            <w:vAlign w:val="center"/>
            <w:hideMark/>
          </w:tcPr>
          <w:p w14:paraId="12228714"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中短期票据1年期收益率（AA+）</w:t>
            </w:r>
          </w:p>
        </w:tc>
        <w:tc>
          <w:tcPr>
            <w:tcW w:w="992" w:type="dxa"/>
            <w:tcBorders>
              <w:top w:val="single" w:sz="8" w:space="0" w:color="auto"/>
              <w:left w:val="single" w:sz="8" w:space="0" w:color="auto"/>
              <w:bottom w:val="single" w:sz="8" w:space="0" w:color="auto"/>
              <w:right w:val="single" w:sz="8" w:space="0" w:color="auto"/>
            </w:tcBorders>
            <w:shd w:val="clear" w:color="auto" w:fill="BEBEBE"/>
            <w:vAlign w:val="center"/>
            <w:hideMark/>
          </w:tcPr>
          <w:p w14:paraId="51A4CCF3"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年度升幅</w:t>
            </w:r>
          </w:p>
        </w:tc>
        <w:tc>
          <w:tcPr>
            <w:tcW w:w="1134" w:type="dxa"/>
            <w:tcBorders>
              <w:top w:val="single" w:sz="8" w:space="0" w:color="auto"/>
              <w:left w:val="single" w:sz="8" w:space="0" w:color="auto"/>
              <w:bottom w:val="single" w:sz="8" w:space="0" w:color="auto"/>
              <w:right w:val="single" w:sz="8" w:space="0" w:color="auto"/>
            </w:tcBorders>
            <w:shd w:val="clear" w:color="auto" w:fill="BEBEBE"/>
            <w:vAlign w:val="center"/>
            <w:hideMark/>
          </w:tcPr>
          <w:p w14:paraId="3A577971"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中短期票据1年期收益率（AA）</w:t>
            </w:r>
          </w:p>
        </w:tc>
        <w:tc>
          <w:tcPr>
            <w:tcW w:w="992" w:type="dxa"/>
            <w:tcBorders>
              <w:top w:val="single" w:sz="8" w:space="0" w:color="auto"/>
              <w:left w:val="single" w:sz="8" w:space="0" w:color="auto"/>
              <w:bottom w:val="single" w:sz="8" w:space="0" w:color="auto"/>
              <w:right w:val="single" w:sz="8" w:space="0" w:color="auto"/>
            </w:tcBorders>
            <w:shd w:val="clear" w:color="auto" w:fill="BEBEBE"/>
            <w:vAlign w:val="center"/>
            <w:hideMark/>
          </w:tcPr>
          <w:p w14:paraId="48DAC4DC"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年度升幅</w:t>
            </w:r>
          </w:p>
        </w:tc>
      </w:tr>
      <w:tr w:rsidR="008C23C9" w:rsidRPr="008C23C9" w14:paraId="3457BBD0" w14:textId="77777777">
        <w:trPr>
          <w:trHeight w:val="33"/>
          <w:jc w:val="center"/>
        </w:trPr>
        <w:tc>
          <w:tcPr>
            <w:tcW w:w="1571"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387570B9" w14:textId="77777777" w:rsidR="008C23C9" w:rsidRPr="008C23C9" w:rsidRDefault="008C23C9" w:rsidP="008C23C9">
            <w:pPr>
              <w:spacing w:after="0" w:line="480" w:lineRule="atLeast"/>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2017-12-31</w:t>
            </w:r>
          </w:p>
        </w:tc>
        <w:tc>
          <w:tcPr>
            <w:tcW w:w="976"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0C7233EA"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3.7909</w:t>
            </w:r>
          </w:p>
        </w:tc>
        <w:tc>
          <w:tcPr>
            <w:tcW w:w="1134"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143E4F28"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114 BP</w:t>
            </w:r>
          </w:p>
        </w:tc>
        <w:tc>
          <w:tcPr>
            <w:tcW w:w="992"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356F7F62"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5.2155</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1176A1E1"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16 BP</w:t>
            </w:r>
          </w:p>
        </w:tc>
        <w:tc>
          <w:tcPr>
            <w:tcW w:w="993" w:type="dxa"/>
            <w:tcBorders>
              <w:top w:val="nil"/>
              <w:left w:val="single" w:sz="8" w:space="0" w:color="auto"/>
              <w:bottom w:val="single" w:sz="8" w:space="0" w:color="auto"/>
              <w:right w:val="single" w:sz="8" w:space="0" w:color="auto"/>
            </w:tcBorders>
            <w:shd w:val="clear" w:color="auto" w:fill="FFFFFF"/>
            <w:vAlign w:val="center"/>
            <w:hideMark/>
          </w:tcPr>
          <w:p w14:paraId="0F2CEEF6"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5.4955</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49D80C03"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18 BP</w:t>
            </w:r>
          </w:p>
        </w:tc>
        <w:tc>
          <w:tcPr>
            <w:tcW w:w="1134" w:type="dxa"/>
            <w:tcBorders>
              <w:top w:val="nil"/>
              <w:left w:val="single" w:sz="8" w:space="0" w:color="auto"/>
              <w:bottom w:val="single" w:sz="8" w:space="0" w:color="auto"/>
              <w:right w:val="single" w:sz="8" w:space="0" w:color="auto"/>
            </w:tcBorders>
            <w:shd w:val="clear" w:color="auto" w:fill="FFFFFF"/>
            <w:vAlign w:val="center"/>
            <w:hideMark/>
          </w:tcPr>
          <w:p w14:paraId="0051B539"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5.6955</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59A1EEEC"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13 BP</w:t>
            </w:r>
          </w:p>
        </w:tc>
      </w:tr>
      <w:tr w:rsidR="008C23C9" w:rsidRPr="008C23C9" w14:paraId="6648FC3E" w14:textId="77777777">
        <w:trPr>
          <w:trHeight w:val="33"/>
          <w:jc w:val="center"/>
        </w:trPr>
        <w:tc>
          <w:tcPr>
            <w:tcW w:w="1571"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24CCE7E4" w14:textId="77777777" w:rsidR="008C23C9" w:rsidRPr="008C23C9" w:rsidRDefault="008C23C9" w:rsidP="008C23C9">
            <w:pPr>
              <w:spacing w:after="0" w:line="480" w:lineRule="atLeast"/>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2018-01-02</w:t>
            </w:r>
          </w:p>
        </w:tc>
        <w:tc>
          <w:tcPr>
            <w:tcW w:w="976"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63E8DAAF"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3.6767</w:t>
            </w:r>
          </w:p>
        </w:tc>
        <w:tc>
          <w:tcPr>
            <w:tcW w:w="1134"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771A6900"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92 BP</w:t>
            </w:r>
          </w:p>
        </w:tc>
        <w:tc>
          <w:tcPr>
            <w:tcW w:w="992"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4B3B27C0"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5.0630</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3770C93E"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26 BP</w:t>
            </w:r>
          </w:p>
        </w:tc>
        <w:tc>
          <w:tcPr>
            <w:tcW w:w="993" w:type="dxa"/>
            <w:tcBorders>
              <w:top w:val="nil"/>
              <w:left w:val="single" w:sz="8" w:space="0" w:color="auto"/>
              <w:bottom w:val="single" w:sz="8" w:space="0" w:color="auto"/>
              <w:right w:val="single" w:sz="8" w:space="0" w:color="auto"/>
            </w:tcBorders>
            <w:shd w:val="clear" w:color="auto" w:fill="FFFFFF"/>
            <w:vAlign w:val="center"/>
            <w:hideMark/>
          </w:tcPr>
          <w:p w14:paraId="7CE516DA"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5.3430</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7BAAA666"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29 BP</w:t>
            </w:r>
          </w:p>
        </w:tc>
        <w:tc>
          <w:tcPr>
            <w:tcW w:w="1134" w:type="dxa"/>
            <w:tcBorders>
              <w:top w:val="nil"/>
              <w:left w:val="single" w:sz="8" w:space="0" w:color="auto"/>
              <w:bottom w:val="single" w:sz="8" w:space="0" w:color="auto"/>
              <w:right w:val="single" w:sz="8" w:space="0" w:color="auto"/>
            </w:tcBorders>
            <w:shd w:val="clear" w:color="auto" w:fill="FFFFFF"/>
            <w:vAlign w:val="center"/>
            <w:hideMark/>
          </w:tcPr>
          <w:p w14:paraId="5CBE84F9"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5.5430</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14003048"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24 BP</w:t>
            </w:r>
          </w:p>
        </w:tc>
      </w:tr>
      <w:tr w:rsidR="008C23C9" w:rsidRPr="008C23C9" w14:paraId="477F14A2" w14:textId="77777777">
        <w:trPr>
          <w:trHeight w:val="33"/>
          <w:jc w:val="center"/>
        </w:trPr>
        <w:tc>
          <w:tcPr>
            <w:tcW w:w="1571"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1901B84F" w14:textId="77777777" w:rsidR="008C23C9" w:rsidRPr="008C23C9" w:rsidRDefault="008C23C9" w:rsidP="008C23C9">
            <w:pPr>
              <w:spacing w:after="0" w:line="480" w:lineRule="atLeast"/>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2018-01-03</w:t>
            </w:r>
          </w:p>
        </w:tc>
        <w:tc>
          <w:tcPr>
            <w:tcW w:w="976"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720863BF"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3.6667</w:t>
            </w:r>
          </w:p>
        </w:tc>
        <w:tc>
          <w:tcPr>
            <w:tcW w:w="1134"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46E7874E"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91 BP</w:t>
            </w:r>
          </w:p>
        </w:tc>
        <w:tc>
          <w:tcPr>
            <w:tcW w:w="992"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3B3E8AFC"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4.9956</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6966C29B"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23 BP</w:t>
            </w:r>
          </w:p>
        </w:tc>
        <w:tc>
          <w:tcPr>
            <w:tcW w:w="993" w:type="dxa"/>
            <w:tcBorders>
              <w:top w:val="nil"/>
              <w:left w:val="single" w:sz="8" w:space="0" w:color="auto"/>
              <w:bottom w:val="single" w:sz="8" w:space="0" w:color="auto"/>
              <w:right w:val="single" w:sz="8" w:space="0" w:color="auto"/>
            </w:tcBorders>
            <w:shd w:val="clear" w:color="auto" w:fill="FFFFFF"/>
            <w:vAlign w:val="center"/>
            <w:hideMark/>
          </w:tcPr>
          <w:p w14:paraId="2644A514"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5.2756</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327DB1E7"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29 BP</w:t>
            </w:r>
          </w:p>
        </w:tc>
        <w:tc>
          <w:tcPr>
            <w:tcW w:w="1134" w:type="dxa"/>
            <w:tcBorders>
              <w:top w:val="nil"/>
              <w:left w:val="single" w:sz="8" w:space="0" w:color="auto"/>
              <w:bottom w:val="single" w:sz="8" w:space="0" w:color="auto"/>
              <w:right w:val="single" w:sz="8" w:space="0" w:color="auto"/>
            </w:tcBorders>
            <w:shd w:val="clear" w:color="auto" w:fill="FFFFFF"/>
            <w:vAlign w:val="center"/>
            <w:hideMark/>
          </w:tcPr>
          <w:p w14:paraId="1B1EC941"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5.4756</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071B9065"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24 BP</w:t>
            </w:r>
          </w:p>
        </w:tc>
      </w:tr>
      <w:tr w:rsidR="008C23C9" w:rsidRPr="008C23C9" w14:paraId="5C8F7938" w14:textId="77777777">
        <w:trPr>
          <w:trHeight w:val="33"/>
          <w:jc w:val="center"/>
        </w:trPr>
        <w:tc>
          <w:tcPr>
            <w:tcW w:w="9776" w:type="dxa"/>
            <w:gridSpan w:val="9"/>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71476F8D" w14:textId="77777777" w:rsidR="008C23C9" w:rsidRPr="008C23C9" w:rsidRDefault="008C23C9" w:rsidP="008C23C9">
            <w:pPr>
              <w:spacing w:after="0" w:line="480" w:lineRule="atLeast"/>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w:t>
            </w:r>
          </w:p>
        </w:tc>
      </w:tr>
      <w:tr w:rsidR="008C23C9" w:rsidRPr="008C23C9" w14:paraId="767C4F90" w14:textId="77777777">
        <w:trPr>
          <w:trHeight w:val="33"/>
          <w:jc w:val="center"/>
        </w:trPr>
        <w:tc>
          <w:tcPr>
            <w:tcW w:w="1571"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072A4312" w14:textId="77777777" w:rsidR="008C23C9" w:rsidRPr="008C23C9" w:rsidRDefault="008C23C9" w:rsidP="008C23C9">
            <w:pPr>
              <w:spacing w:after="0" w:line="480" w:lineRule="atLeast"/>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2021-12-29</w:t>
            </w:r>
          </w:p>
        </w:tc>
        <w:tc>
          <w:tcPr>
            <w:tcW w:w="976" w:type="dxa"/>
            <w:tcBorders>
              <w:top w:val="single" w:sz="8" w:space="0" w:color="auto"/>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7B5BC853"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2.3353</w:t>
            </w:r>
          </w:p>
        </w:tc>
        <w:tc>
          <w:tcPr>
            <w:tcW w:w="1134" w:type="dxa"/>
            <w:tcBorders>
              <w:top w:val="single" w:sz="8" w:space="0" w:color="auto"/>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0B21209A"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-23 BP</w:t>
            </w:r>
          </w:p>
        </w:tc>
        <w:tc>
          <w:tcPr>
            <w:tcW w:w="992" w:type="dxa"/>
            <w:tcBorders>
              <w:top w:val="single" w:sz="8" w:space="0" w:color="auto"/>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10EC5E95"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2.7938</w:t>
            </w:r>
          </w:p>
        </w:tc>
        <w:tc>
          <w:tcPr>
            <w:tcW w:w="992"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56F53B2A"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14 BP</w:t>
            </w:r>
          </w:p>
        </w:tc>
        <w:tc>
          <w:tcPr>
            <w:tcW w:w="993"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18EBAD93"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2.9115</w:t>
            </w:r>
          </w:p>
        </w:tc>
        <w:tc>
          <w:tcPr>
            <w:tcW w:w="992"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246EA8C9"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-33 BP</w:t>
            </w:r>
          </w:p>
        </w:tc>
        <w:tc>
          <w:tcPr>
            <w:tcW w:w="1134"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444DEC54"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3.0315</w:t>
            </w:r>
          </w:p>
        </w:tc>
        <w:tc>
          <w:tcPr>
            <w:tcW w:w="992"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7C702D07"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-61 BP</w:t>
            </w:r>
          </w:p>
        </w:tc>
      </w:tr>
      <w:tr w:rsidR="008C23C9" w:rsidRPr="008C23C9" w14:paraId="657F1BA2" w14:textId="77777777">
        <w:trPr>
          <w:trHeight w:val="33"/>
          <w:jc w:val="center"/>
        </w:trPr>
        <w:tc>
          <w:tcPr>
            <w:tcW w:w="1571"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1A05486B" w14:textId="77777777" w:rsidR="008C23C9" w:rsidRPr="008C23C9" w:rsidRDefault="008C23C9" w:rsidP="008C23C9">
            <w:pPr>
              <w:spacing w:after="0" w:line="480" w:lineRule="atLeast"/>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2021-12-30</w:t>
            </w:r>
          </w:p>
        </w:tc>
        <w:tc>
          <w:tcPr>
            <w:tcW w:w="976"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57B7E326"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2.2936</w:t>
            </w:r>
          </w:p>
        </w:tc>
        <w:tc>
          <w:tcPr>
            <w:tcW w:w="1134"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4491FE13"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-25 BP</w:t>
            </w:r>
          </w:p>
        </w:tc>
        <w:tc>
          <w:tcPr>
            <w:tcW w:w="992"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2FCCED81"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2.7729</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63C03618"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15 BP</w:t>
            </w:r>
          </w:p>
        </w:tc>
        <w:tc>
          <w:tcPr>
            <w:tcW w:w="993" w:type="dxa"/>
            <w:tcBorders>
              <w:top w:val="nil"/>
              <w:left w:val="single" w:sz="8" w:space="0" w:color="auto"/>
              <w:bottom w:val="single" w:sz="8" w:space="0" w:color="auto"/>
              <w:right w:val="single" w:sz="8" w:space="0" w:color="auto"/>
            </w:tcBorders>
            <w:shd w:val="clear" w:color="auto" w:fill="FFFFFF"/>
            <w:vAlign w:val="center"/>
            <w:hideMark/>
          </w:tcPr>
          <w:p w14:paraId="5FE81474"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2.8905</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656588E5"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-32 BP</w:t>
            </w:r>
          </w:p>
        </w:tc>
        <w:tc>
          <w:tcPr>
            <w:tcW w:w="1134" w:type="dxa"/>
            <w:tcBorders>
              <w:top w:val="nil"/>
              <w:left w:val="single" w:sz="8" w:space="0" w:color="auto"/>
              <w:bottom w:val="single" w:sz="8" w:space="0" w:color="auto"/>
              <w:right w:val="single" w:sz="8" w:space="0" w:color="auto"/>
            </w:tcBorders>
            <w:shd w:val="clear" w:color="auto" w:fill="FFFFFF"/>
            <w:vAlign w:val="center"/>
            <w:hideMark/>
          </w:tcPr>
          <w:p w14:paraId="0341A278"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3.0105</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080290F1"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-60 BP</w:t>
            </w:r>
          </w:p>
        </w:tc>
      </w:tr>
      <w:tr w:rsidR="008C23C9" w:rsidRPr="008C23C9" w14:paraId="63D0597B" w14:textId="77777777">
        <w:trPr>
          <w:trHeight w:val="33"/>
          <w:jc w:val="center"/>
        </w:trPr>
        <w:tc>
          <w:tcPr>
            <w:tcW w:w="1571"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5853FB85" w14:textId="77777777" w:rsidR="008C23C9" w:rsidRPr="008C23C9" w:rsidRDefault="008C23C9" w:rsidP="008C23C9">
            <w:pPr>
              <w:spacing w:after="0" w:line="480" w:lineRule="atLeast"/>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2021-12-31</w:t>
            </w:r>
          </w:p>
        </w:tc>
        <w:tc>
          <w:tcPr>
            <w:tcW w:w="976"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28E4FA87"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2.2429</w:t>
            </w:r>
          </w:p>
        </w:tc>
        <w:tc>
          <w:tcPr>
            <w:tcW w:w="1134"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736BE561"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-26 BP</w:t>
            </w:r>
          </w:p>
        </w:tc>
        <w:tc>
          <w:tcPr>
            <w:tcW w:w="992"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0D4BC05D"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2.7515</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2E1F6882"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16 BP</w:t>
            </w:r>
          </w:p>
        </w:tc>
        <w:tc>
          <w:tcPr>
            <w:tcW w:w="993" w:type="dxa"/>
            <w:tcBorders>
              <w:top w:val="nil"/>
              <w:left w:val="single" w:sz="8" w:space="0" w:color="auto"/>
              <w:bottom w:val="single" w:sz="8" w:space="0" w:color="auto"/>
              <w:right w:val="single" w:sz="8" w:space="0" w:color="auto"/>
            </w:tcBorders>
            <w:shd w:val="clear" w:color="auto" w:fill="FFFFFF"/>
            <w:vAlign w:val="center"/>
            <w:hideMark/>
          </w:tcPr>
          <w:p w14:paraId="05F909F6"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2.8691</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3DFFE7D3"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-34 BP</w:t>
            </w:r>
          </w:p>
        </w:tc>
        <w:tc>
          <w:tcPr>
            <w:tcW w:w="1134" w:type="dxa"/>
            <w:tcBorders>
              <w:top w:val="nil"/>
              <w:left w:val="single" w:sz="8" w:space="0" w:color="auto"/>
              <w:bottom w:val="single" w:sz="8" w:space="0" w:color="auto"/>
              <w:right w:val="single" w:sz="8" w:space="0" w:color="auto"/>
            </w:tcBorders>
            <w:shd w:val="clear" w:color="auto" w:fill="FFFFFF"/>
            <w:vAlign w:val="center"/>
            <w:hideMark/>
          </w:tcPr>
          <w:p w14:paraId="1D6D721B"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2.9991</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0ABF313B"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-61 BP</w:t>
            </w:r>
          </w:p>
        </w:tc>
      </w:tr>
    </w:tbl>
    <w:p w14:paraId="4B05B49A"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综合历史数据情况，利率债根据中债登公布的国债1年期收益率近五年在80%、90%及99%分位的年度收益率上行幅度作为基准利率的压力情景。信用债根据中债登各等级中短期票据1年期收益率近五年在80%、90%及99%分位的年度信用利差上行幅度作为各等级信用利差的压力情景，具体如下：</w:t>
      </w:r>
    </w:p>
    <w:tbl>
      <w:tblPr>
        <w:tblW w:w="15000" w:type="dxa"/>
        <w:jc w:val="center"/>
        <w:tblCellMar>
          <w:left w:w="0" w:type="dxa"/>
          <w:right w:w="0" w:type="dxa"/>
        </w:tblCellMar>
        <w:tblLook w:val="04A0" w:firstRow="1" w:lastRow="0" w:firstColumn="1" w:lastColumn="0" w:noHBand="0" w:noVBand="1"/>
      </w:tblPr>
      <w:tblGrid>
        <w:gridCol w:w="6617"/>
        <w:gridCol w:w="2790"/>
        <w:gridCol w:w="2790"/>
        <w:gridCol w:w="2803"/>
      </w:tblGrid>
      <w:tr w:rsidR="008C23C9" w:rsidRPr="008C23C9" w14:paraId="459C7DAB" w14:textId="77777777">
        <w:trPr>
          <w:trHeight w:val="20"/>
          <w:jc w:val="center"/>
        </w:trPr>
        <w:tc>
          <w:tcPr>
            <w:tcW w:w="3529" w:type="dxa"/>
            <w:vMerge w:val="restart"/>
            <w:tcBorders>
              <w:top w:val="single" w:sz="8" w:space="0" w:color="auto"/>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34EE4785"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lastRenderedPageBreak/>
              <w:t>风险因子</w:t>
            </w:r>
          </w:p>
        </w:tc>
        <w:tc>
          <w:tcPr>
            <w:tcW w:w="4471" w:type="dxa"/>
            <w:gridSpan w:val="3"/>
            <w:tcBorders>
              <w:top w:val="single" w:sz="8" w:space="0" w:color="auto"/>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343A8F69"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压力情景</w:t>
            </w:r>
          </w:p>
        </w:tc>
      </w:tr>
      <w:tr w:rsidR="008C23C9" w:rsidRPr="008C23C9" w14:paraId="26D65F6E" w14:textId="77777777">
        <w:trPr>
          <w:trHeight w:val="26"/>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F8DF0C0" w14:textId="77777777" w:rsidR="008C23C9" w:rsidRPr="008C23C9" w:rsidRDefault="008C23C9" w:rsidP="008C23C9">
            <w:pPr>
              <w:spacing w:after="0" w:line="240" w:lineRule="auto"/>
              <w:rPr>
                <w:rFonts w:ascii="微软雅黑" w:eastAsia="微软雅黑" w:hAnsi="微软雅黑" w:cs="宋体"/>
                <w:sz w:val="24"/>
                <w:szCs w:val="24"/>
                <w:lang w:eastAsia="zh-CN"/>
              </w:rPr>
            </w:pPr>
          </w:p>
        </w:tc>
        <w:tc>
          <w:tcPr>
            <w:tcW w:w="1488"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2359B13F"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轻度压力</w:t>
            </w:r>
          </w:p>
        </w:tc>
        <w:tc>
          <w:tcPr>
            <w:tcW w:w="1488" w:type="dxa"/>
            <w:tcBorders>
              <w:top w:val="single" w:sz="8" w:space="0" w:color="auto"/>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42F179E8"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中度压力</w:t>
            </w:r>
          </w:p>
        </w:tc>
        <w:tc>
          <w:tcPr>
            <w:tcW w:w="1493" w:type="dxa"/>
            <w:tcBorders>
              <w:top w:val="single" w:sz="8" w:space="0" w:color="auto"/>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44DE7FB7"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重度压力</w:t>
            </w:r>
          </w:p>
        </w:tc>
      </w:tr>
      <w:tr w:rsidR="008C23C9" w:rsidRPr="008C23C9" w14:paraId="5A352E44" w14:textId="77777777">
        <w:trPr>
          <w:trHeight w:val="46"/>
          <w:jc w:val="center"/>
        </w:trPr>
        <w:tc>
          <w:tcPr>
            <w:tcW w:w="3529"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hideMark/>
          </w:tcPr>
          <w:p w14:paraId="0917D189" w14:textId="77777777" w:rsidR="008C23C9" w:rsidRPr="008C23C9" w:rsidRDefault="008C23C9" w:rsidP="008C23C9">
            <w:pPr>
              <w:spacing w:after="0" w:line="480" w:lineRule="atLeast"/>
              <w:jc w:val="both"/>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基准利率和利率债利率升幅</w:t>
            </w:r>
          </w:p>
        </w:tc>
        <w:tc>
          <w:tcPr>
            <w:tcW w:w="1488"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71CE2EB0"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20 BP</w:t>
            </w:r>
          </w:p>
        </w:tc>
        <w:tc>
          <w:tcPr>
            <w:tcW w:w="1488"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0DE1FF71"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70 BP</w:t>
            </w:r>
          </w:p>
        </w:tc>
        <w:tc>
          <w:tcPr>
            <w:tcW w:w="1493"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32113BF0"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125 BP</w:t>
            </w:r>
          </w:p>
        </w:tc>
      </w:tr>
      <w:tr w:rsidR="008C23C9" w:rsidRPr="008C23C9" w14:paraId="40C36EA9" w14:textId="77777777">
        <w:trPr>
          <w:trHeight w:val="13"/>
          <w:jc w:val="center"/>
        </w:trPr>
        <w:tc>
          <w:tcPr>
            <w:tcW w:w="3529"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hideMark/>
          </w:tcPr>
          <w:p w14:paraId="453CDCDD" w14:textId="77777777" w:rsidR="008C23C9" w:rsidRPr="008C23C9" w:rsidRDefault="008C23C9" w:rsidP="008C23C9">
            <w:pPr>
              <w:spacing w:after="0" w:line="480" w:lineRule="atLeast"/>
              <w:jc w:val="both"/>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AAA级信用债利差升幅</w:t>
            </w:r>
          </w:p>
        </w:tc>
        <w:tc>
          <w:tcPr>
            <w:tcW w:w="1488"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4AF1F548"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5 BP</w:t>
            </w:r>
          </w:p>
        </w:tc>
        <w:tc>
          <w:tcPr>
            <w:tcW w:w="1488"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3F5BB3AE"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25 BP</w:t>
            </w:r>
          </w:p>
        </w:tc>
        <w:tc>
          <w:tcPr>
            <w:tcW w:w="1493"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3C0902F6"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50 BP</w:t>
            </w:r>
          </w:p>
        </w:tc>
      </w:tr>
      <w:tr w:rsidR="008C23C9" w:rsidRPr="008C23C9" w14:paraId="22DFCC41" w14:textId="77777777">
        <w:trPr>
          <w:trHeight w:val="112"/>
          <w:jc w:val="center"/>
        </w:trPr>
        <w:tc>
          <w:tcPr>
            <w:tcW w:w="3529"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hideMark/>
          </w:tcPr>
          <w:p w14:paraId="24791453" w14:textId="77777777" w:rsidR="008C23C9" w:rsidRPr="008C23C9" w:rsidRDefault="008C23C9" w:rsidP="008C23C9">
            <w:pPr>
              <w:spacing w:after="0" w:line="480" w:lineRule="atLeast"/>
              <w:jc w:val="both"/>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AA+级信用债利差升幅</w:t>
            </w:r>
          </w:p>
        </w:tc>
        <w:tc>
          <w:tcPr>
            <w:tcW w:w="1488"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540D8034"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10 BP</w:t>
            </w:r>
          </w:p>
        </w:tc>
        <w:tc>
          <w:tcPr>
            <w:tcW w:w="1488"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24FC32BE"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20 BP</w:t>
            </w:r>
          </w:p>
        </w:tc>
        <w:tc>
          <w:tcPr>
            <w:tcW w:w="1493"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7A33736B"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55 BP</w:t>
            </w:r>
          </w:p>
        </w:tc>
      </w:tr>
      <w:tr w:rsidR="008C23C9" w:rsidRPr="008C23C9" w14:paraId="56E8365D" w14:textId="77777777">
        <w:trPr>
          <w:trHeight w:val="13"/>
          <w:jc w:val="center"/>
        </w:trPr>
        <w:tc>
          <w:tcPr>
            <w:tcW w:w="3529"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hideMark/>
          </w:tcPr>
          <w:p w14:paraId="7EABA12B" w14:textId="77777777" w:rsidR="008C23C9" w:rsidRPr="008C23C9" w:rsidRDefault="008C23C9" w:rsidP="008C23C9">
            <w:pPr>
              <w:spacing w:after="0" w:line="480" w:lineRule="atLeast"/>
              <w:jc w:val="both"/>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AA级信用债利差升幅</w:t>
            </w:r>
          </w:p>
        </w:tc>
        <w:tc>
          <w:tcPr>
            <w:tcW w:w="1488"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1952DA5F"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20 BP</w:t>
            </w:r>
          </w:p>
        </w:tc>
        <w:tc>
          <w:tcPr>
            <w:tcW w:w="1488"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1A9029A2"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35 BP</w:t>
            </w:r>
          </w:p>
        </w:tc>
        <w:tc>
          <w:tcPr>
            <w:tcW w:w="1493"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2799EB64"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75 BP</w:t>
            </w:r>
          </w:p>
        </w:tc>
      </w:tr>
    </w:tbl>
    <w:p w14:paraId="257A823A"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2.利率类中性业务市场风险参数设定</w:t>
      </w:r>
    </w:p>
    <w:p w14:paraId="67E2A8E2"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利率类中性业务市场风险主要考虑债券套利类投资策略因多空持仓债券的收益利差扩大或缩窄导致投资组合整体公允价值下跌的风险。证券公司可根据持仓策略情况，选取相应市场标的作为压力测试风险因子，并根据标的在过往历史中的重大不利变动作为压力情景。</w:t>
      </w:r>
    </w:p>
    <w:p w14:paraId="7D75E0AE"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如某证券公司利率类中性业务主要为国债跨期套利策略，根据其核心持仓标的及策略周期情况，选取10Y国债与5Y国债利差、10Y国债与7Y国债过往五年在80%、90%、99%分位的20交易日利差收窄幅度作为压力测试情景，具体如下：</w:t>
      </w:r>
    </w:p>
    <w:tbl>
      <w:tblPr>
        <w:tblW w:w="9811" w:type="dxa"/>
        <w:jc w:val="center"/>
        <w:tblCellMar>
          <w:left w:w="0" w:type="dxa"/>
          <w:right w:w="0" w:type="dxa"/>
        </w:tblCellMar>
        <w:tblLook w:val="04A0" w:firstRow="1" w:lastRow="0" w:firstColumn="1" w:lastColumn="0" w:noHBand="0" w:noVBand="1"/>
      </w:tblPr>
      <w:tblGrid>
        <w:gridCol w:w="5061"/>
        <w:gridCol w:w="1476"/>
        <w:gridCol w:w="1701"/>
        <w:gridCol w:w="1573"/>
      </w:tblGrid>
      <w:tr w:rsidR="008C23C9" w:rsidRPr="008C23C9" w14:paraId="68590BC9" w14:textId="77777777">
        <w:trPr>
          <w:trHeight w:val="17"/>
          <w:jc w:val="center"/>
        </w:trPr>
        <w:tc>
          <w:tcPr>
            <w:tcW w:w="5061" w:type="dxa"/>
            <w:vMerge w:val="restart"/>
            <w:tcBorders>
              <w:top w:val="single" w:sz="8" w:space="0" w:color="auto"/>
              <w:left w:val="single" w:sz="8" w:space="0" w:color="auto"/>
              <w:bottom w:val="single" w:sz="8" w:space="0" w:color="auto"/>
              <w:right w:val="single" w:sz="8" w:space="0" w:color="auto"/>
            </w:tcBorders>
            <w:shd w:val="clear" w:color="auto" w:fill="D9D9D9"/>
            <w:tcMar>
              <w:top w:w="80" w:type="dxa"/>
              <w:left w:w="80" w:type="dxa"/>
              <w:bottom w:w="80" w:type="dxa"/>
              <w:right w:w="80" w:type="dxa"/>
            </w:tcMar>
            <w:vAlign w:val="center"/>
            <w:hideMark/>
          </w:tcPr>
          <w:p w14:paraId="2E3979B5"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风险因子</w:t>
            </w:r>
          </w:p>
        </w:tc>
        <w:tc>
          <w:tcPr>
            <w:tcW w:w="4750" w:type="dxa"/>
            <w:gridSpan w:val="3"/>
            <w:tcBorders>
              <w:top w:val="single" w:sz="8" w:space="0" w:color="auto"/>
              <w:left w:val="single" w:sz="8" w:space="0" w:color="auto"/>
              <w:bottom w:val="single" w:sz="8" w:space="0" w:color="auto"/>
              <w:right w:val="single" w:sz="8" w:space="0" w:color="auto"/>
            </w:tcBorders>
            <w:shd w:val="clear" w:color="auto" w:fill="D9D9D9"/>
            <w:tcMar>
              <w:top w:w="80" w:type="dxa"/>
              <w:left w:w="80" w:type="dxa"/>
              <w:bottom w:w="80" w:type="dxa"/>
              <w:right w:w="80" w:type="dxa"/>
            </w:tcMar>
            <w:hideMark/>
          </w:tcPr>
          <w:p w14:paraId="6DFEF064"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压力情景</w:t>
            </w:r>
          </w:p>
        </w:tc>
      </w:tr>
      <w:tr w:rsidR="008C23C9" w:rsidRPr="008C23C9" w14:paraId="2A7DD8CC" w14:textId="77777777">
        <w:trPr>
          <w:trHeight w:val="34"/>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B260798" w14:textId="77777777" w:rsidR="008C23C9" w:rsidRPr="008C23C9" w:rsidRDefault="008C23C9" w:rsidP="008C23C9">
            <w:pPr>
              <w:spacing w:after="0" w:line="240" w:lineRule="auto"/>
              <w:rPr>
                <w:rFonts w:ascii="微软雅黑" w:eastAsia="微软雅黑" w:hAnsi="微软雅黑" w:cs="宋体"/>
                <w:sz w:val="24"/>
                <w:szCs w:val="24"/>
                <w:lang w:eastAsia="zh-CN"/>
              </w:rPr>
            </w:pPr>
          </w:p>
        </w:tc>
        <w:tc>
          <w:tcPr>
            <w:tcW w:w="1476" w:type="dxa"/>
            <w:tcBorders>
              <w:top w:val="nil"/>
              <w:left w:val="single" w:sz="8" w:space="0" w:color="auto"/>
              <w:bottom w:val="single" w:sz="8" w:space="0" w:color="auto"/>
              <w:right w:val="single" w:sz="8" w:space="0" w:color="auto"/>
            </w:tcBorders>
            <w:shd w:val="clear" w:color="auto" w:fill="D9D9D9"/>
            <w:tcMar>
              <w:top w:w="80" w:type="dxa"/>
              <w:left w:w="80" w:type="dxa"/>
              <w:bottom w:w="80" w:type="dxa"/>
              <w:right w:w="80" w:type="dxa"/>
            </w:tcMar>
            <w:hideMark/>
          </w:tcPr>
          <w:p w14:paraId="3CFE2970"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轻度压力</w:t>
            </w:r>
          </w:p>
        </w:tc>
        <w:tc>
          <w:tcPr>
            <w:tcW w:w="1701" w:type="dxa"/>
            <w:tcBorders>
              <w:top w:val="single" w:sz="8" w:space="0" w:color="auto"/>
              <w:left w:val="single" w:sz="8" w:space="0" w:color="auto"/>
              <w:bottom w:val="single" w:sz="8" w:space="0" w:color="auto"/>
              <w:right w:val="single" w:sz="8" w:space="0" w:color="auto"/>
            </w:tcBorders>
            <w:shd w:val="clear" w:color="auto" w:fill="D9D9D9"/>
            <w:tcMar>
              <w:top w:w="80" w:type="dxa"/>
              <w:left w:w="80" w:type="dxa"/>
              <w:bottom w:w="80" w:type="dxa"/>
              <w:right w:w="80" w:type="dxa"/>
            </w:tcMar>
            <w:hideMark/>
          </w:tcPr>
          <w:p w14:paraId="7D8871A5"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中度压力</w:t>
            </w:r>
          </w:p>
        </w:tc>
        <w:tc>
          <w:tcPr>
            <w:tcW w:w="1573" w:type="dxa"/>
            <w:tcBorders>
              <w:top w:val="single" w:sz="8" w:space="0" w:color="auto"/>
              <w:left w:val="single" w:sz="8" w:space="0" w:color="auto"/>
              <w:bottom w:val="single" w:sz="8" w:space="0" w:color="auto"/>
              <w:right w:val="single" w:sz="8" w:space="0" w:color="auto"/>
            </w:tcBorders>
            <w:shd w:val="clear" w:color="auto" w:fill="D9D9D9"/>
            <w:tcMar>
              <w:top w:w="80" w:type="dxa"/>
              <w:left w:w="80" w:type="dxa"/>
              <w:bottom w:w="80" w:type="dxa"/>
              <w:right w:w="80" w:type="dxa"/>
            </w:tcMar>
            <w:hideMark/>
          </w:tcPr>
          <w:p w14:paraId="767CBD7A"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重度压力</w:t>
            </w:r>
          </w:p>
        </w:tc>
      </w:tr>
      <w:tr w:rsidR="008C23C9" w:rsidRPr="008C23C9" w14:paraId="13358E4E" w14:textId="77777777">
        <w:trPr>
          <w:trHeight w:val="281"/>
          <w:jc w:val="center"/>
        </w:trPr>
        <w:tc>
          <w:tcPr>
            <w:tcW w:w="5061"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hideMark/>
          </w:tcPr>
          <w:p w14:paraId="38F2DE1B" w14:textId="77777777" w:rsidR="008C23C9" w:rsidRPr="008C23C9" w:rsidRDefault="008C23C9" w:rsidP="008C23C9">
            <w:pPr>
              <w:spacing w:after="0" w:line="480" w:lineRule="atLeast"/>
              <w:jc w:val="both"/>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国债利差收窄幅度（10Y国债与5Y国债利差）</w:t>
            </w:r>
          </w:p>
        </w:tc>
        <w:tc>
          <w:tcPr>
            <w:tcW w:w="1476"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583F7D09"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4 BP</w:t>
            </w:r>
          </w:p>
        </w:tc>
        <w:tc>
          <w:tcPr>
            <w:tcW w:w="1701"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16ACAA33"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7 BP</w:t>
            </w:r>
          </w:p>
        </w:tc>
        <w:tc>
          <w:tcPr>
            <w:tcW w:w="1573"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790A1787"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18 BP</w:t>
            </w:r>
          </w:p>
        </w:tc>
      </w:tr>
      <w:tr w:rsidR="008C23C9" w:rsidRPr="008C23C9" w14:paraId="2A69749E" w14:textId="77777777">
        <w:trPr>
          <w:trHeight w:val="294"/>
          <w:jc w:val="center"/>
        </w:trPr>
        <w:tc>
          <w:tcPr>
            <w:tcW w:w="5061"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hideMark/>
          </w:tcPr>
          <w:p w14:paraId="08A10E59" w14:textId="77777777" w:rsidR="008C23C9" w:rsidRPr="008C23C9" w:rsidRDefault="008C23C9" w:rsidP="008C23C9">
            <w:pPr>
              <w:spacing w:after="0" w:line="480" w:lineRule="atLeast"/>
              <w:jc w:val="both"/>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国债利差收窄幅度（10Y国债与7Y国债利差）</w:t>
            </w:r>
          </w:p>
        </w:tc>
        <w:tc>
          <w:tcPr>
            <w:tcW w:w="1476"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25B00ECD"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 BP</w:t>
            </w:r>
          </w:p>
        </w:tc>
        <w:tc>
          <w:tcPr>
            <w:tcW w:w="1701"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6E34973A"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4 BP</w:t>
            </w:r>
          </w:p>
        </w:tc>
        <w:tc>
          <w:tcPr>
            <w:tcW w:w="1573"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729A7438"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12 BP</w:t>
            </w:r>
          </w:p>
        </w:tc>
      </w:tr>
    </w:tbl>
    <w:p w14:paraId="2AAB9702"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3.权益类方向性业务市场风险参数设定</w:t>
      </w:r>
    </w:p>
    <w:p w14:paraId="13CCF7C1"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权益类方向性业务市场风险主要考虑股票或权益类基金持仓市值发生下跌导致亏损的风险。证券公司可根据自身权益方向性业务持仓情况，选取相应的一个或多个股票指数作为压力测试风险因子，并根据指数在过往历史的重大不利变动作为压力情景。</w:t>
      </w:r>
    </w:p>
    <w:p w14:paraId="39495A4A"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lastRenderedPageBreak/>
        <w:t>如某证券公司根据自身权益方向性业务的持仓分布情况，选取沪深300指数、中证500指数、中证1000指数和恒生指数作为风险因子，并分析上述指数2017年末至2021年末的年度跌幅情况，详见下表：</w:t>
      </w:r>
    </w:p>
    <w:tbl>
      <w:tblPr>
        <w:tblW w:w="9776" w:type="dxa"/>
        <w:jc w:val="center"/>
        <w:tblCellMar>
          <w:left w:w="0" w:type="dxa"/>
          <w:right w:w="0" w:type="dxa"/>
        </w:tblCellMar>
        <w:tblLook w:val="04A0" w:firstRow="1" w:lastRow="0" w:firstColumn="1" w:lastColumn="0" w:noHBand="0" w:noVBand="1"/>
      </w:tblPr>
      <w:tblGrid>
        <w:gridCol w:w="1489"/>
        <w:gridCol w:w="1063"/>
        <w:gridCol w:w="1119"/>
        <w:gridCol w:w="1063"/>
        <w:gridCol w:w="977"/>
        <w:gridCol w:w="985"/>
        <w:gridCol w:w="977"/>
        <w:gridCol w:w="1126"/>
        <w:gridCol w:w="977"/>
      </w:tblGrid>
      <w:tr w:rsidR="008C23C9" w:rsidRPr="008C23C9" w14:paraId="62F7A6A6" w14:textId="77777777">
        <w:trPr>
          <w:trHeight w:val="18"/>
          <w:jc w:val="center"/>
        </w:trPr>
        <w:tc>
          <w:tcPr>
            <w:tcW w:w="1571" w:type="dxa"/>
            <w:tcBorders>
              <w:top w:val="single" w:sz="8" w:space="0" w:color="auto"/>
              <w:left w:val="single" w:sz="8" w:space="0" w:color="auto"/>
              <w:bottom w:val="single" w:sz="8" w:space="0" w:color="auto"/>
              <w:right w:val="single" w:sz="8" w:space="0" w:color="auto"/>
            </w:tcBorders>
            <w:shd w:val="clear" w:color="auto" w:fill="BEBEBE"/>
            <w:tcMar>
              <w:top w:w="80" w:type="dxa"/>
              <w:left w:w="80" w:type="dxa"/>
              <w:bottom w:w="80" w:type="dxa"/>
              <w:right w:w="80" w:type="dxa"/>
            </w:tcMar>
            <w:vAlign w:val="center"/>
            <w:hideMark/>
          </w:tcPr>
          <w:p w14:paraId="4E19A50B"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日期</w:t>
            </w:r>
          </w:p>
        </w:tc>
        <w:tc>
          <w:tcPr>
            <w:tcW w:w="976" w:type="dxa"/>
            <w:tcBorders>
              <w:top w:val="single" w:sz="8" w:space="0" w:color="auto"/>
              <w:left w:val="single" w:sz="8" w:space="0" w:color="auto"/>
              <w:bottom w:val="single" w:sz="8" w:space="0" w:color="auto"/>
              <w:right w:val="single" w:sz="8" w:space="0" w:color="auto"/>
            </w:tcBorders>
            <w:shd w:val="clear" w:color="auto" w:fill="BEBEBE"/>
            <w:tcMar>
              <w:top w:w="80" w:type="dxa"/>
              <w:left w:w="80" w:type="dxa"/>
              <w:bottom w:w="80" w:type="dxa"/>
              <w:right w:w="80" w:type="dxa"/>
            </w:tcMar>
            <w:vAlign w:val="center"/>
            <w:hideMark/>
          </w:tcPr>
          <w:p w14:paraId="48DD80DF"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沪深300</w:t>
            </w:r>
          </w:p>
        </w:tc>
        <w:tc>
          <w:tcPr>
            <w:tcW w:w="1134" w:type="dxa"/>
            <w:tcBorders>
              <w:top w:val="single" w:sz="8" w:space="0" w:color="auto"/>
              <w:left w:val="single" w:sz="8" w:space="0" w:color="auto"/>
              <w:bottom w:val="single" w:sz="8" w:space="0" w:color="auto"/>
              <w:right w:val="single" w:sz="8" w:space="0" w:color="auto"/>
            </w:tcBorders>
            <w:shd w:val="clear" w:color="auto" w:fill="BEBEBE"/>
            <w:tcMar>
              <w:top w:w="80" w:type="dxa"/>
              <w:left w:w="80" w:type="dxa"/>
              <w:bottom w:w="80" w:type="dxa"/>
              <w:right w:w="80" w:type="dxa"/>
            </w:tcMar>
            <w:vAlign w:val="center"/>
            <w:hideMark/>
          </w:tcPr>
          <w:p w14:paraId="74A5B7BC"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年度跌幅</w:t>
            </w:r>
          </w:p>
        </w:tc>
        <w:tc>
          <w:tcPr>
            <w:tcW w:w="992" w:type="dxa"/>
            <w:tcBorders>
              <w:top w:val="single" w:sz="8" w:space="0" w:color="auto"/>
              <w:left w:val="single" w:sz="8" w:space="0" w:color="auto"/>
              <w:bottom w:val="single" w:sz="8" w:space="0" w:color="auto"/>
              <w:right w:val="single" w:sz="8" w:space="0" w:color="auto"/>
            </w:tcBorders>
            <w:shd w:val="clear" w:color="auto" w:fill="BEBEBE"/>
            <w:tcMar>
              <w:top w:w="80" w:type="dxa"/>
              <w:left w:w="80" w:type="dxa"/>
              <w:bottom w:w="80" w:type="dxa"/>
              <w:right w:w="80" w:type="dxa"/>
            </w:tcMar>
            <w:vAlign w:val="center"/>
            <w:hideMark/>
          </w:tcPr>
          <w:p w14:paraId="1486A781"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中证500</w:t>
            </w:r>
          </w:p>
        </w:tc>
        <w:tc>
          <w:tcPr>
            <w:tcW w:w="992" w:type="dxa"/>
            <w:tcBorders>
              <w:top w:val="single" w:sz="8" w:space="0" w:color="auto"/>
              <w:left w:val="single" w:sz="8" w:space="0" w:color="auto"/>
              <w:bottom w:val="single" w:sz="8" w:space="0" w:color="auto"/>
              <w:right w:val="single" w:sz="8" w:space="0" w:color="auto"/>
            </w:tcBorders>
            <w:shd w:val="clear" w:color="auto" w:fill="BEBEBE"/>
            <w:vAlign w:val="center"/>
            <w:hideMark/>
          </w:tcPr>
          <w:p w14:paraId="0CD4AB40"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年度跌幅</w:t>
            </w:r>
          </w:p>
        </w:tc>
        <w:tc>
          <w:tcPr>
            <w:tcW w:w="993" w:type="dxa"/>
            <w:tcBorders>
              <w:top w:val="single" w:sz="8" w:space="0" w:color="auto"/>
              <w:left w:val="single" w:sz="8" w:space="0" w:color="auto"/>
              <w:bottom w:val="single" w:sz="8" w:space="0" w:color="auto"/>
              <w:right w:val="single" w:sz="8" w:space="0" w:color="auto"/>
            </w:tcBorders>
            <w:shd w:val="clear" w:color="auto" w:fill="BEBEBE"/>
            <w:vAlign w:val="center"/>
            <w:hideMark/>
          </w:tcPr>
          <w:p w14:paraId="55BA703E"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中证1000</w:t>
            </w:r>
          </w:p>
        </w:tc>
        <w:tc>
          <w:tcPr>
            <w:tcW w:w="992" w:type="dxa"/>
            <w:tcBorders>
              <w:top w:val="single" w:sz="8" w:space="0" w:color="auto"/>
              <w:left w:val="single" w:sz="8" w:space="0" w:color="auto"/>
              <w:bottom w:val="single" w:sz="8" w:space="0" w:color="auto"/>
              <w:right w:val="single" w:sz="8" w:space="0" w:color="auto"/>
            </w:tcBorders>
            <w:shd w:val="clear" w:color="auto" w:fill="BEBEBE"/>
            <w:vAlign w:val="center"/>
            <w:hideMark/>
          </w:tcPr>
          <w:p w14:paraId="6C70EAFD"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年度跌幅</w:t>
            </w:r>
          </w:p>
        </w:tc>
        <w:tc>
          <w:tcPr>
            <w:tcW w:w="1134" w:type="dxa"/>
            <w:tcBorders>
              <w:top w:val="single" w:sz="8" w:space="0" w:color="auto"/>
              <w:left w:val="single" w:sz="8" w:space="0" w:color="auto"/>
              <w:bottom w:val="single" w:sz="8" w:space="0" w:color="auto"/>
              <w:right w:val="single" w:sz="8" w:space="0" w:color="auto"/>
            </w:tcBorders>
            <w:shd w:val="clear" w:color="auto" w:fill="BEBEBE"/>
            <w:vAlign w:val="center"/>
            <w:hideMark/>
          </w:tcPr>
          <w:p w14:paraId="42F3DE67"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恒生指数</w:t>
            </w:r>
          </w:p>
        </w:tc>
        <w:tc>
          <w:tcPr>
            <w:tcW w:w="992" w:type="dxa"/>
            <w:tcBorders>
              <w:top w:val="single" w:sz="8" w:space="0" w:color="auto"/>
              <w:left w:val="single" w:sz="8" w:space="0" w:color="auto"/>
              <w:bottom w:val="single" w:sz="8" w:space="0" w:color="auto"/>
              <w:right w:val="single" w:sz="8" w:space="0" w:color="auto"/>
            </w:tcBorders>
            <w:shd w:val="clear" w:color="auto" w:fill="BEBEBE"/>
            <w:vAlign w:val="center"/>
            <w:hideMark/>
          </w:tcPr>
          <w:p w14:paraId="20A7DDE0"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年度跌幅</w:t>
            </w:r>
          </w:p>
        </w:tc>
      </w:tr>
      <w:tr w:rsidR="008C23C9" w:rsidRPr="008C23C9" w14:paraId="29BB3C71" w14:textId="77777777">
        <w:trPr>
          <w:trHeight w:val="33"/>
          <w:jc w:val="center"/>
        </w:trPr>
        <w:tc>
          <w:tcPr>
            <w:tcW w:w="1571"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51C12B0F" w14:textId="77777777" w:rsidR="008C23C9" w:rsidRPr="008C23C9" w:rsidRDefault="008C23C9" w:rsidP="008C23C9">
            <w:pPr>
              <w:spacing w:after="0" w:line="480" w:lineRule="atLeast"/>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2017-12-29</w:t>
            </w:r>
          </w:p>
        </w:tc>
        <w:tc>
          <w:tcPr>
            <w:tcW w:w="976"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7A9DC8D8"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4030.85</w:t>
            </w:r>
          </w:p>
        </w:tc>
        <w:tc>
          <w:tcPr>
            <w:tcW w:w="1134"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122F03FA"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21.78%</w:t>
            </w:r>
          </w:p>
        </w:tc>
        <w:tc>
          <w:tcPr>
            <w:tcW w:w="992"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30B84AE3"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6250.82</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291DC1BB"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-0.20%</w:t>
            </w:r>
          </w:p>
        </w:tc>
        <w:tc>
          <w:tcPr>
            <w:tcW w:w="993" w:type="dxa"/>
            <w:tcBorders>
              <w:top w:val="nil"/>
              <w:left w:val="single" w:sz="8" w:space="0" w:color="auto"/>
              <w:bottom w:val="single" w:sz="8" w:space="0" w:color="auto"/>
              <w:right w:val="single" w:sz="8" w:space="0" w:color="auto"/>
            </w:tcBorders>
            <w:shd w:val="clear" w:color="auto" w:fill="FFFFFF"/>
            <w:vAlign w:val="center"/>
            <w:hideMark/>
          </w:tcPr>
          <w:p w14:paraId="759DDF8C"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7017.35</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4495FC0A"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-17.35%</w:t>
            </w:r>
          </w:p>
        </w:tc>
        <w:tc>
          <w:tcPr>
            <w:tcW w:w="1134" w:type="dxa"/>
            <w:tcBorders>
              <w:top w:val="nil"/>
              <w:left w:val="single" w:sz="8" w:space="0" w:color="auto"/>
              <w:bottom w:val="single" w:sz="8" w:space="0" w:color="auto"/>
              <w:right w:val="single" w:sz="8" w:space="0" w:color="auto"/>
            </w:tcBorders>
            <w:shd w:val="clear" w:color="auto" w:fill="FFFFFF"/>
            <w:vAlign w:val="center"/>
            <w:hideMark/>
          </w:tcPr>
          <w:p w14:paraId="48F2E0FA"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29919.15</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28ADAC64"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35.99%</w:t>
            </w:r>
          </w:p>
        </w:tc>
      </w:tr>
      <w:tr w:rsidR="008C23C9" w:rsidRPr="008C23C9" w14:paraId="2B6EC797" w14:textId="77777777">
        <w:trPr>
          <w:trHeight w:val="33"/>
          <w:jc w:val="center"/>
        </w:trPr>
        <w:tc>
          <w:tcPr>
            <w:tcW w:w="1571"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0F0A72CD" w14:textId="77777777" w:rsidR="008C23C9" w:rsidRPr="008C23C9" w:rsidRDefault="008C23C9" w:rsidP="008C23C9">
            <w:pPr>
              <w:spacing w:after="0" w:line="480" w:lineRule="atLeast"/>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2018-01-02</w:t>
            </w:r>
          </w:p>
        </w:tc>
        <w:tc>
          <w:tcPr>
            <w:tcW w:w="976"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1EE2DB58"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4087.40</w:t>
            </w:r>
          </w:p>
        </w:tc>
        <w:tc>
          <w:tcPr>
            <w:tcW w:w="1134"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000593A4"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22.30%</w:t>
            </w:r>
          </w:p>
        </w:tc>
        <w:tc>
          <w:tcPr>
            <w:tcW w:w="992"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70FDB7CB"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6332.23</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5080CFF2"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0.18%</w:t>
            </w:r>
          </w:p>
        </w:tc>
        <w:tc>
          <w:tcPr>
            <w:tcW w:w="993" w:type="dxa"/>
            <w:tcBorders>
              <w:top w:val="nil"/>
              <w:left w:val="single" w:sz="8" w:space="0" w:color="auto"/>
              <w:bottom w:val="single" w:sz="8" w:space="0" w:color="auto"/>
              <w:right w:val="single" w:sz="8" w:space="0" w:color="auto"/>
            </w:tcBorders>
            <w:shd w:val="clear" w:color="auto" w:fill="FFFFFF"/>
            <w:vAlign w:val="center"/>
            <w:hideMark/>
          </w:tcPr>
          <w:p w14:paraId="78B65F70"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7092.09</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07783471"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-17.20%</w:t>
            </w:r>
          </w:p>
        </w:tc>
        <w:tc>
          <w:tcPr>
            <w:tcW w:w="1134" w:type="dxa"/>
            <w:tcBorders>
              <w:top w:val="nil"/>
              <w:left w:val="single" w:sz="8" w:space="0" w:color="auto"/>
              <w:bottom w:val="single" w:sz="8" w:space="0" w:color="auto"/>
              <w:right w:val="single" w:sz="8" w:space="0" w:color="auto"/>
            </w:tcBorders>
            <w:shd w:val="clear" w:color="auto" w:fill="FFFFFF"/>
            <w:vAlign w:val="center"/>
            <w:hideMark/>
          </w:tcPr>
          <w:p w14:paraId="298083FB"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30515.31</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4253FF1D"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37.76%</w:t>
            </w:r>
          </w:p>
        </w:tc>
      </w:tr>
      <w:tr w:rsidR="008C23C9" w:rsidRPr="008C23C9" w14:paraId="05BAF616" w14:textId="77777777">
        <w:trPr>
          <w:trHeight w:val="33"/>
          <w:jc w:val="center"/>
        </w:trPr>
        <w:tc>
          <w:tcPr>
            <w:tcW w:w="1571"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53EBAD58" w14:textId="77777777" w:rsidR="008C23C9" w:rsidRPr="008C23C9" w:rsidRDefault="008C23C9" w:rsidP="008C23C9">
            <w:pPr>
              <w:spacing w:after="0" w:line="480" w:lineRule="atLeast"/>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2018-01-03</w:t>
            </w:r>
          </w:p>
        </w:tc>
        <w:tc>
          <w:tcPr>
            <w:tcW w:w="976"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1365D95F"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4111.39</w:t>
            </w:r>
          </w:p>
        </w:tc>
        <w:tc>
          <w:tcPr>
            <w:tcW w:w="1134"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4550C12B"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22.06%</w:t>
            </w:r>
          </w:p>
        </w:tc>
        <w:tc>
          <w:tcPr>
            <w:tcW w:w="992"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460F562D"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6388.25</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5569E818"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-0.10%</w:t>
            </w:r>
          </w:p>
        </w:tc>
        <w:tc>
          <w:tcPr>
            <w:tcW w:w="993" w:type="dxa"/>
            <w:tcBorders>
              <w:top w:val="nil"/>
              <w:left w:val="single" w:sz="8" w:space="0" w:color="auto"/>
              <w:bottom w:val="single" w:sz="8" w:space="0" w:color="auto"/>
              <w:right w:val="single" w:sz="8" w:space="0" w:color="auto"/>
            </w:tcBorders>
            <w:shd w:val="clear" w:color="auto" w:fill="FFFFFF"/>
            <w:vAlign w:val="center"/>
            <w:hideMark/>
          </w:tcPr>
          <w:p w14:paraId="5AF9C233"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7159.88</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3A9C046E"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-17.42%</w:t>
            </w:r>
          </w:p>
        </w:tc>
        <w:tc>
          <w:tcPr>
            <w:tcW w:w="1134" w:type="dxa"/>
            <w:tcBorders>
              <w:top w:val="nil"/>
              <w:left w:val="single" w:sz="8" w:space="0" w:color="auto"/>
              <w:bottom w:val="single" w:sz="8" w:space="0" w:color="auto"/>
              <w:right w:val="single" w:sz="8" w:space="0" w:color="auto"/>
            </w:tcBorders>
            <w:shd w:val="clear" w:color="auto" w:fill="FFFFFF"/>
            <w:vAlign w:val="center"/>
            <w:hideMark/>
          </w:tcPr>
          <w:p w14:paraId="0E62CB01"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30560.95</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7F128D12"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38.07%</w:t>
            </w:r>
          </w:p>
        </w:tc>
      </w:tr>
      <w:tr w:rsidR="008C23C9" w:rsidRPr="008C23C9" w14:paraId="605CDFD6" w14:textId="77777777">
        <w:trPr>
          <w:trHeight w:val="33"/>
          <w:jc w:val="center"/>
        </w:trPr>
        <w:tc>
          <w:tcPr>
            <w:tcW w:w="9776" w:type="dxa"/>
            <w:gridSpan w:val="9"/>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707F57EC" w14:textId="77777777" w:rsidR="008C23C9" w:rsidRPr="008C23C9" w:rsidRDefault="008C23C9" w:rsidP="008C23C9">
            <w:pPr>
              <w:spacing w:after="0" w:line="480" w:lineRule="atLeast"/>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w:t>
            </w:r>
          </w:p>
        </w:tc>
      </w:tr>
      <w:tr w:rsidR="008C23C9" w:rsidRPr="008C23C9" w14:paraId="355FBC38" w14:textId="77777777">
        <w:trPr>
          <w:trHeight w:val="33"/>
          <w:jc w:val="center"/>
        </w:trPr>
        <w:tc>
          <w:tcPr>
            <w:tcW w:w="1571"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6603EC2E" w14:textId="77777777" w:rsidR="008C23C9" w:rsidRPr="008C23C9" w:rsidRDefault="008C23C9" w:rsidP="008C23C9">
            <w:pPr>
              <w:spacing w:after="0" w:line="480" w:lineRule="atLeast"/>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2021-12-29</w:t>
            </w:r>
          </w:p>
        </w:tc>
        <w:tc>
          <w:tcPr>
            <w:tcW w:w="976" w:type="dxa"/>
            <w:tcBorders>
              <w:top w:val="single" w:sz="8" w:space="0" w:color="auto"/>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3F889FF1"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4883.48</w:t>
            </w:r>
          </w:p>
        </w:tc>
        <w:tc>
          <w:tcPr>
            <w:tcW w:w="1134" w:type="dxa"/>
            <w:tcBorders>
              <w:top w:val="single" w:sz="8" w:space="0" w:color="auto"/>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776CA45C"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-3.57%</w:t>
            </w:r>
          </w:p>
        </w:tc>
        <w:tc>
          <w:tcPr>
            <w:tcW w:w="992" w:type="dxa"/>
            <w:tcBorders>
              <w:top w:val="single" w:sz="8" w:space="0" w:color="auto"/>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1DEA4606"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7247.77</w:t>
            </w:r>
          </w:p>
        </w:tc>
        <w:tc>
          <w:tcPr>
            <w:tcW w:w="992"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3F8D1D89"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16.07%</w:t>
            </w:r>
          </w:p>
        </w:tc>
        <w:tc>
          <w:tcPr>
            <w:tcW w:w="993"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23B2E3F1"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7855.43</w:t>
            </w:r>
          </w:p>
        </w:tc>
        <w:tc>
          <w:tcPr>
            <w:tcW w:w="992"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20DF5FDB"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20.49%</w:t>
            </w:r>
          </w:p>
        </w:tc>
        <w:tc>
          <w:tcPr>
            <w:tcW w:w="1134"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346D1D17"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23086.54</w:t>
            </w:r>
          </w:p>
        </w:tc>
        <w:tc>
          <w:tcPr>
            <w:tcW w:w="992"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5901CE99"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-12.27%</w:t>
            </w:r>
          </w:p>
        </w:tc>
      </w:tr>
      <w:tr w:rsidR="008C23C9" w:rsidRPr="008C23C9" w14:paraId="19ED05D1" w14:textId="77777777">
        <w:trPr>
          <w:trHeight w:val="33"/>
          <w:jc w:val="center"/>
        </w:trPr>
        <w:tc>
          <w:tcPr>
            <w:tcW w:w="1571"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34C474C1" w14:textId="77777777" w:rsidR="008C23C9" w:rsidRPr="008C23C9" w:rsidRDefault="008C23C9" w:rsidP="008C23C9">
            <w:pPr>
              <w:spacing w:after="0" w:line="480" w:lineRule="atLeast"/>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2021-12-30</w:t>
            </w:r>
          </w:p>
        </w:tc>
        <w:tc>
          <w:tcPr>
            <w:tcW w:w="976"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6FBFE3BB"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4921.51</w:t>
            </w:r>
          </w:p>
        </w:tc>
        <w:tc>
          <w:tcPr>
            <w:tcW w:w="1134"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2F90720C"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-2.41%</w:t>
            </w:r>
          </w:p>
        </w:tc>
        <w:tc>
          <w:tcPr>
            <w:tcW w:w="992"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53740C9A"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7310.96</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26144C69"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17.92%</w:t>
            </w:r>
          </w:p>
        </w:tc>
        <w:tc>
          <w:tcPr>
            <w:tcW w:w="993" w:type="dxa"/>
            <w:tcBorders>
              <w:top w:val="nil"/>
              <w:left w:val="single" w:sz="8" w:space="0" w:color="auto"/>
              <w:bottom w:val="single" w:sz="8" w:space="0" w:color="auto"/>
              <w:right w:val="single" w:sz="8" w:space="0" w:color="auto"/>
            </w:tcBorders>
            <w:shd w:val="clear" w:color="auto" w:fill="FFFFFF"/>
            <w:vAlign w:val="center"/>
            <w:hideMark/>
          </w:tcPr>
          <w:p w14:paraId="73C4112A"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7924.53</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43D35ADD"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22.34%</w:t>
            </w:r>
          </w:p>
        </w:tc>
        <w:tc>
          <w:tcPr>
            <w:tcW w:w="1134" w:type="dxa"/>
            <w:tcBorders>
              <w:top w:val="nil"/>
              <w:left w:val="single" w:sz="8" w:space="0" w:color="auto"/>
              <w:bottom w:val="single" w:sz="8" w:space="0" w:color="auto"/>
              <w:right w:val="single" w:sz="8" w:space="0" w:color="auto"/>
            </w:tcBorders>
            <w:shd w:val="clear" w:color="auto" w:fill="FFFFFF"/>
            <w:vAlign w:val="center"/>
            <w:hideMark/>
          </w:tcPr>
          <w:p w14:paraId="1E51ABA0"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23112.01</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3E31DCB6"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-13.01%</w:t>
            </w:r>
          </w:p>
        </w:tc>
      </w:tr>
      <w:tr w:rsidR="008C23C9" w:rsidRPr="008C23C9" w14:paraId="2F3C3ED3" w14:textId="77777777">
        <w:trPr>
          <w:trHeight w:val="33"/>
          <w:jc w:val="center"/>
        </w:trPr>
        <w:tc>
          <w:tcPr>
            <w:tcW w:w="1571"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3504D248" w14:textId="77777777" w:rsidR="008C23C9" w:rsidRPr="008C23C9" w:rsidRDefault="008C23C9" w:rsidP="008C23C9">
            <w:pPr>
              <w:spacing w:after="0" w:line="480" w:lineRule="atLeast"/>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2021-12-31</w:t>
            </w:r>
          </w:p>
        </w:tc>
        <w:tc>
          <w:tcPr>
            <w:tcW w:w="976"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1503E635"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4940.37</w:t>
            </w:r>
          </w:p>
        </w:tc>
        <w:tc>
          <w:tcPr>
            <w:tcW w:w="1134"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51A32EC2"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-3.39%</w:t>
            </w:r>
          </w:p>
        </w:tc>
        <w:tc>
          <w:tcPr>
            <w:tcW w:w="992"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7C45A875"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7359.40</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175C847F"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17.39%</w:t>
            </w:r>
          </w:p>
        </w:tc>
        <w:tc>
          <w:tcPr>
            <w:tcW w:w="993" w:type="dxa"/>
            <w:tcBorders>
              <w:top w:val="nil"/>
              <w:left w:val="single" w:sz="8" w:space="0" w:color="auto"/>
              <w:bottom w:val="single" w:sz="8" w:space="0" w:color="auto"/>
              <w:right w:val="single" w:sz="8" w:space="0" w:color="auto"/>
            </w:tcBorders>
            <w:shd w:val="clear" w:color="auto" w:fill="FFFFFF"/>
            <w:vAlign w:val="center"/>
            <w:hideMark/>
          </w:tcPr>
          <w:p w14:paraId="5353B681"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8010.32</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4D8D5FCF"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22.73%</w:t>
            </w:r>
          </w:p>
        </w:tc>
        <w:tc>
          <w:tcPr>
            <w:tcW w:w="1134" w:type="dxa"/>
            <w:tcBorders>
              <w:top w:val="nil"/>
              <w:left w:val="single" w:sz="8" w:space="0" w:color="auto"/>
              <w:bottom w:val="single" w:sz="8" w:space="0" w:color="auto"/>
              <w:right w:val="single" w:sz="8" w:space="0" w:color="auto"/>
            </w:tcBorders>
            <w:shd w:val="clear" w:color="auto" w:fill="FFFFFF"/>
            <w:vAlign w:val="center"/>
            <w:hideMark/>
          </w:tcPr>
          <w:p w14:paraId="43A16616"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23397.67</w:t>
            </w:r>
          </w:p>
        </w:tc>
        <w:tc>
          <w:tcPr>
            <w:tcW w:w="992" w:type="dxa"/>
            <w:tcBorders>
              <w:top w:val="nil"/>
              <w:left w:val="single" w:sz="8" w:space="0" w:color="auto"/>
              <w:bottom w:val="single" w:sz="8" w:space="0" w:color="auto"/>
              <w:right w:val="single" w:sz="8" w:space="0" w:color="auto"/>
            </w:tcBorders>
            <w:shd w:val="clear" w:color="auto" w:fill="FFFFFF"/>
            <w:vAlign w:val="center"/>
            <w:hideMark/>
          </w:tcPr>
          <w:p w14:paraId="21D62453"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-13.81%</w:t>
            </w:r>
          </w:p>
        </w:tc>
      </w:tr>
    </w:tbl>
    <w:p w14:paraId="3542E0BF"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参照各指数年度跌幅选取80%、90%及99%分位点数据作为压力情景参数（详见下表）具体如下：</w:t>
      </w:r>
    </w:p>
    <w:tbl>
      <w:tblPr>
        <w:tblW w:w="15000" w:type="dxa"/>
        <w:jc w:val="center"/>
        <w:tblCellMar>
          <w:left w:w="0" w:type="dxa"/>
          <w:right w:w="0" w:type="dxa"/>
        </w:tblCellMar>
        <w:tblLook w:val="04A0" w:firstRow="1" w:lastRow="0" w:firstColumn="1" w:lastColumn="0" w:noHBand="0" w:noVBand="1"/>
      </w:tblPr>
      <w:tblGrid>
        <w:gridCol w:w="4768"/>
        <w:gridCol w:w="3555"/>
        <w:gridCol w:w="3555"/>
        <w:gridCol w:w="3122"/>
      </w:tblGrid>
      <w:tr w:rsidR="008C23C9" w:rsidRPr="008C23C9" w14:paraId="43D04390" w14:textId="77777777">
        <w:trPr>
          <w:trHeight w:val="12"/>
          <w:jc w:val="center"/>
        </w:trPr>
        <w:tc>
          <w:tcPr>
            <w:tcW w:w="2182" w:type="dxa"/>
            <w:vMerge w:val="restart"/>
            <w:tcBorders>
              <w:top w:val="single" w:sz="8" w:space="0" w:color="auto"/>
              <w:left w:val="single" w:sz="8" w:space="0" w:color="auto"/>
              <w:bottom w:val="single" w:sz="8" w:space="0" w:color="auto"/>
              <w:right w:val="single" w:sz="8" w:space="0" w:color="auto"/>
            </w:tcBorders>
            <w:shd w:val="clear" w:color="auto" w:fill="BEBEBE"/>
            <w:tcMar>
              <w:top w:w="80" w:type="dxa"/>
              <w:left w:w="80" w:type="dxa"/>
              <w:bottom w:w="80" w:type="dxa"/>
              <w:right w:w="80" w:type="dxa"/>
            </w:tcMar>
            <w:vAlign w:val="center"/>
            <w:hideMark/>
          </w:tcPr>
          <w:p w14:paraId="61B4CCC9"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风险因子</w:t>
            </w:r>
          </w:p>
        </w:tc>
        <w:tc>
          <w:tcPr>
            <w:tcW w:w="4683" w:type="dxa"/>
            <w:gridSpan w:val="3"/>
            <w:tcBorders>
              <w:top w:val="single" w:sz="8" w:space="0" w:color="auto"/>
              <w:left w:val="single" w:sz="8" w:space="0" w:color="auto"/>
              <w:bottom w:val="single" w:sz="8" w:space="0" w:color="auto"/>
              <w:right w:val="single" w:sz="8" w:space="0" w:color="auto"/>
            </w:tcBorders>
            <w:shd w:val="clear" w:color="auto" w:fill="BEBEBE"/>
            <w:tcMar>
              <w:top w:w="80" w:type="dxa"/>
              <w:left w:w="80" w:type="dxa"/>
              <w:bottom w:w="80" w:type="dxa"/>
              <w:right w:w="80" w:type="dxa"/>
            </w:tcMar>
            <w:vAlign w:val="center"/>
            <w:hideMark/>
          </w:tcPr>
          <w:p w14:paraId="70212D35"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压力情景</w:t>
            </w:r>
          </w:p>
        </w:tc>
      </w:tr>
      <w:tr w:rsidR="008C23C9" w:rsidRPr="008C23C9" w14:paraId="6E459B4C" w14:textId="77777777">
        <w:trPr>
          <w:trHeight w:val="20"/>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7BCC827" w14:textId="77777777" w:rsidR="008C23C9" w:rsidRPr="008C23C9" w:rsidRDefault="008C23C9" w:rsidP="008C23C9">
            <w:pPr>
              <w:spacing w:after="0" w:line="240" w:lineRule="auto"/>
              <w:rPr>
                <w:rFonts w:ascii="微软雅黑" w:eastAsia="微软雅黑" w:hAnsi="微软雅黑" w:cs="宋体"/>
                <w:sz w:val="24"/>
                <w:szCs w:val="24"/>
                <w:lang w:eastAsia="zh-CN"/>
              </w:rPr>
            </w:pPr>
          </w:p>
        </w:tc>
        <w:tc>
          <w:tcPr>
            <w:tcW w:w="1627" w:type="dxa"/>
            <w:tcBorders>
              <w:top w:val="nil"/>
              <w:left w:val="single" w:sz="8" w:space="0" w:color="auto"/>
              <w:bottom w:val="single" w:sz="8" w:space="0" w:color="auto"/>
              <w:right w:val="single" w:sz="8" w:space="0" w:color="auto"/>
            </w:tcBorders>
            <w:shd w:val="clear" w:color="auto" w:fill="BEBEBE"/>
            <w:tcMar>
              <w:top w:w="80" w:type="dxa"/>
              <w:left w:w="80" w:type="dxa"/>
              <w:bottom w:w="80" w:type="dxa"/>
              <w:right w:w="80" w:type="dxa"/>
            </w:tcMar>
            <w:vAlign w:val="center"/>
            <w:hideMark/>
          </w:tcPr>
          <w:p w14:paraId="105735AC"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轻度压力</w:t>
            </w:r>
          </w:p>
        </w:tc>
        <w:tc>
          <w:tcPr>
            <w:tcW w:w="1627" w:type="dxa"/>
            <w:tcBorders>
              <w:top w:val="single" w:sz="8" w:space="0" w:color="auto"/>
              <w:left w:val="single" w:sz="8" w:space="0" w:color="auto"/>
              <w:bottom w:val="single" w:sz="8" w:space="0" w:color="auto"/>
              <w:right w:val="single" w:sz="8" w:space="0" w:color="auto"/>
            </w:tcBorders>
            <w:shd w:val="clear" w:color="auto" w:fill="BEBEBE"/>
            <w:tcMar>
              <w:top w:w="80" w:type="dxa"/>
              <w:left w:w="80" w:type="dxa"/>
              <w:bottom w:w="80" w:type="dxa"/>
              <w:right w:w="80" w:type="dxa"/>
            </w:tcMar>
            <w:vAlign w:val="center"/>
            <w:hideMark/>
          </w:tcPr>
          <w:p w14:paraId="7CB2AF1E"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中度压力</w:t>
            </w:r>
          </w:p>
        </w:tc>
        <w:tc>
          <w:tcPr>
            <w:tcW w:w="1429" w:type="dxa"/>
            <w:tcBorders>
              <w:top w:val="single" w:sz="8" w:space="0" w:color="auto"/>
              <w:left w:val="single" w:sz="8" w:space="0" w:color="auto"/>
              <w:bottom w:val="single" w:sz="8" w:space="0" w:color="auto"/>
              <w:right w:val="single" w:sz="8" w:space="0" w:color="auto"/>
            </w:tcBorders>
            <w:shd w:val="clear" w:color="auto" w:fill="BEBEBE"/>
            <w:tcMar>
              <w:top w:w="80" w:type="dxa"/>
              <w:left w:w="80" w:type="dxa"/>
              <w:bottom w:w="80" w:type="dxa"/>
              <w:right w:w="80" w:type="dxa"/>
            </w:tcMar>
            <w:vAlign w:val="center"/>
            <w:hideMark/>
          </w:tcPr>
          <w:p w14:paraId="6DF51578"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重度压力</w:t>
            </w:r>
          </w:p>
        </w:tc>
      </w:tr>
      <w:tr w:rsidR="008C23C9" w:rsidRPr="008C23C9" w14:paraId="41D24533" w14:textId="77777777">
        <w:trPr>
          <w:trHeight w:val="36"/>
          <w:jc w:val="center"/>
        </w:trPr>
        <w:tc>
          <w:tcPr>
            <w:tcW w:w="2182"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hideMark/>
          </w:tcPr>
          <w:p w14:paraId="7F639270"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沪深300指数</w:t>
            </w:r>
          </w:p>
        </w:tc>
        <w:tc>
          <w:tcPr>
            <w:tcW w:w="1627"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29F5DF2E"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-6%</w:t>
            </w:r>
          </w:p>
        </w:tc>
        <w:tc>
          <w:tcPr>
            <w:tcW w:w="1627"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587FB15D"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-14%</w:t>
            </w:r>
          </w:p>
        </w:tc>
        <w:tc>
          <w:tcPr>
            <w:tcW w:w="1429"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35C42BD4"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-27%</w:t>
            </w:r>
          </w:p>
        </w:tc>
      </w:tr>
      <w:tr w:rsidR="008C23C9" w:rsidRPr="008C23C9" w14:paraId="0F6BA996" w14:textId="77777777">
        <w:trPr>
          <w:trHeight w:val="10"/>
          <w:jc w:val="center"/>
        </w:trPr>
        <w:tc>
          <w:tcPr>
            <w:tcW w:w="2182"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hideMark/>
          </w:tcPr>
          <w:p w14:paraId="3AB57F8F"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lastRenderedPageBreak/>
              <w:t>中证500指数</w:t>
            </w:r>
          </w:p>
        </w:tc>
        <w:tc>
          <w:tcPr>
            <w:tcW w:w="1627"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5FEB561B"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-14%</w:t>
            </w:r>
          </w:p>
        </w:tc>
        <w:tc>
          <w:tcPr>
            <w:tcW w:w="1627"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62533CBF"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-27%</w:t>
            </w:r>
          </w:p>
        </w:tc>
        <w:tc>
          <w:tcPr>
            <w:tcW w:w="1429"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2E4E5DA7"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-36%</w:t>
            </w:r>
          </w:p>
        </w:tc>
      </w:tr>
      <w:tr w:rsidR="008C23C9" w:rsidRPr="008C23C9" w14:paraId="35459D43" w14:textId="77777777">
        <w:trPr>
          <w:trHeight w:val="10"/>
          <w:jc w:val="center"/>
        </w:trPr>
        <w:tc>
          <w:tcPr>
            <w:tcW w:w="2182"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hideMark/>
          </w:tcPr>
          <w:p w14:paraId="305591C5"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中证1000指数</w:t>
            </w:r>
          </w:p>
        </w:tc>
        <w:tc>
          <w:tcPr>
            <w:tcW w:w="1627"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5DC607D5"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-21%</w:t>
            </w:r>
          </w:p>
        </w:tc>
        <w:tc>
          <w:tcPr>
            <w:tcW w:w="1627"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11276B58"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-33%</w:t>
            </w:r>
          </w:p>
        </w:tc>
        <w:tc>
          <w:tcPr>
            <w:tcW w:w="1429"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304DD733"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-44%</w:t>
            </w:r>
          </w:p>
        </w:tc>
      </w:tr>
      <w:tr w:rsidR="008C23C9" w:rsidRPr="008C23C9" w14:paraId="1C15902A" w14:textId="77777777">
        <w:trPr>
          <w:trHeight w:val="10"/>
          <w:jc w:val="center"/>
        </w:trPr>
        <w:tc>
          <w:tcPr>
            <w:tcW w:w="2182"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hideMark/>
          </w:tcPr>
          <w:p w14:paraId="4AAEF618"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恒生指数</w:t>
            </w:r>
          </w:p>
        </w:tc>
        <w:tc>
          <w:tcPr>
            <w:tcW w:w="1627"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3523DFFE"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-10%</w:t>
            </w:r>
          </w:p>
        </w:tc>
        <w:tc>
          <w:tcPr>
            <w:tcW w:w="1627"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3C54F4FB"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-13%</w:t>
            </w:r>
          </w:p>
        </w:tc>
        <w:tc>
          <w:tcPr>
            <w:tcW w:w="1429" w:type="dxa"/>
            <w:tcBorders>
              <w:top w:val="nil"/>
              <w:left w:val="single" w:sz="8" w:space="0" w:color="auto"/>
              <w:bottom w:val="single" w:sz="8" w:space="0" w:color="auto"/>
              <w:right w:val="single" w:sz="8" w:space="0" w:color="auto"/>
            </w:tcBorders>
            <w:shd w:val="clear" w:color="auto" w:fill="FFFFFF"/>
            <w:tcMar>
              <w:top w:w="80" w:type="dxa"/>
              <w:left w:w="80" w:type="dxa"/>
              <w:bottom w:w="80" w:type="dxa"/>
              <w:right w:w="80" w:type="dxa"/>
            </w:tcMar>
            <w:vAlign w:val="center"/>
            <w:hideMark/>
          </w:tcPr>
          <w:p w14:paraId="224715A1" w14:textId="77777777" w:rsidR="008C23C9" w:rsidRPr="008C23C9" w:rsidRDefault="008C23C9" w:rsidP="008C23C9">
            <w:pPr>
              <w:spacing w:after="0" w:line="480" w:lineRule="atLeast"/>
              <w:ind w:firstLine="20"/>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-20%</w:t>
            </w:r>
          </w:p>
        </w:tc>
      </w:tr>
    </w:tbl>
    <w:p w14:paraId="02486A76"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4.权益类中性业务市场风险参数设定</w:t>
      </w:r>
    </w:p>
    <w:p w14:paraId="2F28E41F"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权益类中性业务市场风险主要指策略为中性的权益类套利业务、场外期权、场内期权做市和收益互换业务等。其中，权益类套利业务可比照利率中性类业务压力测试方法，将多空端持仓价差或基差的不利变动情况作为风险因子。另外，收益互换业务因对冲后组合受市场涨跌影响较小，主要暴露信用风险，在此不进行展开。此处主要考虑场内期权做市、场外期权业务因标的价格、波动率变动导致组合公允价值下跌的风险。</w:t>
      </w:r>
    </w:p>
    <w:p w14:paraId="4EC43608"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（1）期权重估值法</w:t>
      </w:r>
    </w:p>
    <w:p w14:paraId="5859A74C"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期权重估值法主要指通过将压力情景下期权标的价格、波动率参数代入期权估值模型进行重新估值，并通过与测试基期期权估值进行比较从而测算压力下期权合约公允价值变动情况。证券公司可根据期权合约及对冲标的持仓情况，选取相应市场标的价格、波动率作为压力测试风险因子，根据价格、波动率在过往历史的大幅变动作为压力情景参数。对于采取中性对冲策略的期权业务，应同时考虑压力情景下期权合约和对冲持仓的组合影响，并可根据自身具体对冲策略优化调整相应压力情景参数。</w:t>
      </w:r>
    </w:p>
    <w:p w14:paraId="0273F903"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考虑到期权类型、合约分布等因素影响，期权标的价格、波动率对期权价值的影响未必呈单调性，因此期权业务损失最大情形未必发生在标的价格、波动率变动幅度最大的情景，证券公司可根据实际测试情况对压力情景进行调整。</w:t>
      </w:r>
    </w:p>
    <w:p w14:paraId="362498DE"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如某证券公司主要开展场内期权做市（50ETF）及场外期权（标的主要为中证500指数或其成分股），可相应选取50ETF、中证500指数价格及波动率变动作为压力测试风险因子，根据过往五年在80%、90%、99%分位的3个交易日的不利变动作为压力情景参数。</w:t>
      </w:r>
    </w:p>
    <w:p w14:paraId="35096002"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（2）Vega损失测算法</w:t>
      </w:r>
    </w:p>
    <w:p w14:paraId="43B4F1A9"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lastRenderedPageBreak/>
        <w:t>对于期权组合主要为暴露单边波动率风险（如做空Vega策略）而Gamma、Theta整体敞口较小的策略，可通过压力情景下波动率变动导致的Vega损失对期权组合进行损失测算。证券公司可根据业务情况，选取用于压力测试的Vega敞口规模，并参照标的波动率在过往历史的大幅变动作为压力情景参数，测算Vega损失。</w:t>
      </w:r>
    </w:p>
    <w:p w14:paraId="0FA7BE6F"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此方法不适用于Vega敞口正负波动较大的期权投资策略，也不适用于Vega可随标的价格变动而改变正负符号的期权结构，如障碍期权、雪球期权等。</w:t>
      </w:r>
    </w:p>
    <w:p w14:paraId="31415A3A"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5.商品及外汇类业务市场风险参数设定</w:t>
      </w:r>
    </w:p>
    <w:p w14:paraId="332F3BDD"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商品及外汇类业务市场风险主要考虑因商品类合约价值、汇率波动导致公司商品类合约及外币持仓价值下跌的风险。证券公司应结合持仓品种与策略类型，选取相应市场标的作为风险因子，根据过往历史标的价格不利变动情况，对商品类合约及外币持仓价值的影响。</w:t>
      </w:r>
    </w:p>
    <w:p w14:paraId="36184A21"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6.股权投资业务市场风险参数设定</w:t>
      </w:r>
    </w:p>
    <w:p w14:paraId="5CE09A58"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股权投资业务主要指私募子公司、另类子公司或境外子公司通过私募股权基金、股权直投项目等方式开展的股权投资业务，不含战略性长期股权投资。</w:t>
      </w:r>
    </w:p>
    <w:p w14:paraId="2F8E1150"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此部分主要针对非上市股权投资压力测试，已上市项目可参照权益类方向性业务市场风险压力情景设定。非上市公司因存在市场公开信息少、流动性风险较大等情况，证券公司可根据被投项目实际风险、资产流动性、市场环境等信息，结合专家判断，按照审慎原则对压力测试参数进行调整。</w:t>
      </w:r>
    </w:p>
    <w:p w14:paraId="783B00C0"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（1）同业比照法</w:t>
      </w:r>
    </w:p>
    <w:p w14:paraId="0A98CC06"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证券公司可选择非上市公司所处行业或所对应的同业已上市公司公开信息作为压力情景参数。如根据非上市公司所处行业，选取该行业所对应指数，并根据指数在过往历史的不利变动作为压力情景；或根据非上市公司，选取经营与风险情况与其相似的已上市公司，并根据已上市公司历史年份的平均不利跌幅作为压力情景参数。并考虑非上市股权流动性等情况，对上述参数结果进行流动性折扣及其他调整。</w:t>
      </w:r>
    </w:p>
    <w:p w14:paraId="22D7C8D7"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（2）业务历史数据法</w:t>
      </w:r>
    </w:p>
    <w:p w14:paraId="4B409E98"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若市场同业信息不便获取或与公司股权投资业务实际表现差异较大，证券公司可通过自身股权直投项目或私募股权基金过往历史的实际极端不利表现作为压力情景参数。如</w:t>
      </w:r>
      <w:r w:rsidRPr="008C23C9">
        <w:rPr>
          <w:rFonts w:ascii="微软雅黑" w:eastAsia="微软雅黑" w:hAnsi="微软雅黑" w:cs="宋体"/>
          <w:color w:val="333333"/>
          <w:sz w:val="24"/>
          <w:szCs w:val="24"/>
          <w:lang w:eastAsia="zh-CN"/>
        </w:rPr>
        <w:lastRenderedPageBreak/>
        <w:t>某证券公司根据过往开展的股权投资项目年度估值变化情况，选择80%、90%、99%分位下年度估值极端下跌情况作为压力情景。</w:t>
      </w:r>
    </w:p>
    <w:p w14:paraId="091119CB"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7.资管产品投资业务市场风险参数设定</w:t>
      </w:r>
    </w:p>
    <w:p w14:paraId="70173BC9"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此处资管产品主要指证券公司通过公募基金、私募投资基金、信托产品、资管计划等主要投资于二级债券与股票市场的产品，不含私募股权投资基金、非标类信托产品等。</w:t>
      </w:r>
    </w:p>
    <w:p w14:paraId="465D9351"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证券公司可根据资管产品与主要投资市场的风险因子的相关性，参照前篇所述风险因子的压力程度，或通过资管产品过往历史的实际极端不利表现作为压力情景参数。如某证券公司根据历史过往资管产品的年度估值变化情况，选择80%、90%、99%分位下年度估值极端下跌幅度作为压力情景参数。</w:t>
      </w:r>
    </w:p>
    <w:p w14:paraId="0EE969AA"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（二）信用风险</w:t>
      </w:r>
    </w:p>
    <w:p w14:paraId="2B874D11"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1.固定收益业务信用风险参数设定</w:t>
      </w:r>
    </w:p>
    <w:p w14:paraId="00A44265"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固定收益业务信用风险主要指持仓债券的发行人无法履行到期还款约定的风险。证券公司可根据各等级债券面临的违约概率、违约回收率情况计算信用损失率，并结合债券敞口对固定收益业务的信用风险进行压力测试，即固定收益业务信用风险预期损失=债券敞口×固定收益业务信用损失率，固定收益业务信用损失率=违约概率×(1-违约回收率)。</w:t>
      </w:r>
    </w:p>
    <w:p w14:paraId="3893DF87"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违约概率方面，可参照公司内部评级或业务历史违约率数据设定各等级债券在轻度、中度、重度压力情景下的违约概率参数；或可参照历史各等级债券的市场违约率数据，如根据穆迪公布的各等级债券历史违约率情况，选取各等级债券在80%、90%、99%分位的历史违约率作为该评级在轻度、中度和重度压力情景下的违约概率，其中对于境内和境外债券评级差异，可通过合理映射关系进行映射匹配，如参照证券公司并表风险控制指标监管报表中国际国内信用评级对照表将各等级通过数量方法映射。违约回收率方面，可根据公司业务历史数据进行设定，或参照巴塞尔委员会推荐的无抵押普通债务的回收率为55%，在各压力情景下将违约回收率逐步下降，如将轻度压力下的回收率设为45%，中度与重度压力下的回收率逐步下降至35%和25%。</w:t>
      </w:r>
    </w:p>
    <w:p w14:paraId="1BF318C9"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2.融资类业务信用风险参数设定</w:t>
      </w:r>
    </w:p>
    <w:p w14:paraId="580A94AF"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融资类业务信用风险主要指客户无法履行融资类业务合约约定，导致公司亏损的情况。证券公司可根据融资类业务风险敞口、违约概率和违约资产追偿回收率情况，并结合</w:t>
      </w:r>
      <w:r w:rsidRPr="008C23C9">
        <w:rPr>
          <w:rFonts w:ascii="微软雅黑" w:eastAsia="微软雅黑" w:hAnsi="微软雅黑" w:cs="宋体"/>
          <w:color w:val="333333"/>
          <w:sz w:val="24"/>
          <w:szCs w:val="24"/>
          <w:lang w:eastAsia="zh-CN"/>
        </w:rPr>
        <w:lastRenderedPageBreak/>
        <w:t>公司担保品计算、最低履约保障比例要求等情况，对融资类业务信用风险进行压力测试，融资类业务信用风险预期损失=融资类业务风险敞口×融资类业务信用损失率，融资类业务信用损失率=信用风险敞口比例×违约概率×(1-违约资产追偿回收率)。</w:t>
      </w:r>
    </w:p>
    <w:p w14:paraId="28F6EA39"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信用风险敞口比例主要反映融资类业务在压力情景下担保品价值缩水、履约保证金比例下滑，导致信用风险敞口扩大的情况。信用风险敞口比例=Max{1-压力下客户有效资产/客户负债,0}，其中压力下客户有效资产为客户担保品在压力情景下的市值。</w:t>
      </w:r>
    </w:p>
    <w:p w14:paraId="23844EB9"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违约概率及违约资产追偿回收率可根据公司业务历史数据进行设定，违约资产追偿回收率可参照巴塞尔委员会推荐的无抵押普通债务回收率为55%，将轻度压力下的违约资产追偿回收率设为45%，中度与重度压力下的回收率分别逐步下降至35%和25%。</w:t>
      </w:r>
    </w:p>
    <w:p w14:paraId="25CCC3A9"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3.交易对手类业务信用风险参数设定</w:t>
      </w:r>
    </w:p>
    <w:p w14:paraId="3B7AE391"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交易对手类业务信用风险主要指场外期权、收益互换等业务中因交易对手方未履行合约义务导致发生信用违约损失。证券公司可测算压力下交易对手类业务风险敞口情况，结合交易对手违约概率及违约回收率，对交易对手类业务信用风险进行压力测试，即交易对手类业务信用风险预期损失=交易对手类业务风险敞口×交易对手违约概率×（1-违约回收率）。</w:t>
      </w:r>
    </w:p>
    <w:p w14:paraId="7478FBDA"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压力下交易对手业务风险敞口方面，可参照权益类、利率类等市场风险压力情景参数，测算压力下合约市值变化，即Max{压力情景下合约价值-非现金担保品市值-现金保证金，0}，并考虑客户未能及时追保，使得信用风险暴露增加。若存在对交易对手类授信额度占用，也应视情况纳入风险敞口计算。</w:t>
      </w:r>
    </w:p>
    <w:p w14:paraId="6062D3A7"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交易对手违约概率及违约回收率可根据交易对手类型，并结合市场及公司业务历史数据等进行综合设定。</w:t>
      </w:r>
    </w:p>
    <w:p w14:paraId="4A5E9871"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（三）操作风险</w:t>
      </w:r>
    </w:p>
    <w:p w14:paraId="2A0AFAAC"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操作风险压力测试主要考虑公司在压力下，因不完善或有问题的内部程序、人员及系统或外部事件导致发生损失。因操作风险事件不规律性强、市场公开数据少、各公司操作风险管理存在差异等，证券公司可结合自身情况，通过行业历史数据、或监管指标等方法对操作风险压力情景参数进行设定。</w:t>
      </w:r>
    </w:p>
    <w:p w14:paraId="023F673D"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1.历史数据法</w:t>
      </w:r>
    </w:p>
    <w:p w14:paraId="55683EF7"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lastRenderedPageBreak/>
        <w:t>证券公司可参照内部及行业公开的历史操作风险事件及损失情况，结合公司自身系统建设、流程优化、专业人员配备、风险限额指标、风险缓释措施等情况，综合设定操作风险压力情景参数。对于未造成实际损失的操作风险事件，可预估同类事件在压力下的损失金额，以完善统计样本。</w:t>
      </w:r>
    </w:p>
    <w:p w14:paraId="1B445F3B"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2.监管指标法</w:t>
      </w:r>
    </w:p>
    <w:p w14:paraId="29060837"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证券公司可参照操作风险资本准备占营业收入比例作为极端操作风险损失的基准情景，通过假定损失概率分布并取分位点作为压力情景下的操作风险损失比例参数。如某证券公司以近五年操作风险资本准备占营业收入的平均比例作为单侧标准正态分布函数99.9%分位基准，并取50%、70%及90%分位点所对应的操作风险损失占营收比例作为压力情景参数。</w:t>
      </w:r>
    </w:p>
    <w:p w14:paraId="6775FF25"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该方法主要适用于缺乏统计数据或历史数据参考性不强的情形。但由于该方法仅考虑了业务收入及监管标准法系数，而未考虑各公司内部管理、操作风险点、风险缓释措施等个体性差异，公司应根据自身实际情况，通过调整损失分布函数、分位点等方式，或引入其他相关模型参数，对该方法进行调整优化。</w:t>
      </w:r>
    </w:p>
    <w:p w14:paraId="34CA0E20"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（四）声誉风险</w:t>
      </w:r>
    </w:p>
    <w:p w14:paraId="468CB9BE"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声誉风险压力测试主要考虑公司在压力情景下发生重大负面声誉事件，造成证券公司重大损失、证券行业声誉损害等情形。公司可参照自身或行业历史重大声誉风险事件所导致损失情况，设置压力情景参数。若声誉风险损失是由其它类型的风险事件（如操作风险事件）引发，在测算损失时应注意区分。</w:t>
      </w:r>
    </w:p>
    <w:p w14:paraId="1FBE78E1"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如某证券公司发生系统故障并引发重大媒体舆情，面临经纪业务市占率下滑、经纪业务净收入下降等潜在风险。公司参照自身及同业历史同类事件所导致的业务规模下滑情况，结合对事件形势的审慎判断，综合设置压力情景参数，并根据基期的业务规模测算压力下的损失情况。其中，因系统故障所导致的直接损失归为操作风险损失，因负面舆情事件导致的直接或潜在损失归为声誉风险损失。</w:t>
      </w:r>
    </w:p>
    <w:p w14:paraId="693014D2"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（五）经营风险</w:t>
      </w:r>
    </w:p>
    <w:p w14:paraId="749BA842"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lastRenderedPageBreak/>
        <w:t>经营风险压力测试主要考虑压力情景下证券经纪、投资银行、资产管理业务净收入发生下滑的情形。证券公司可结合公司自身及同业过往历史数据、行业盈利预测等情况，并结合市场环境判断设置压力情景参数。</w:t>
      </w:r>
    </w:p>
    <w:p w14:paraId="1292E25E"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证券公司可根据自身及比照同业券商过往历史中的经纪业务、投行业务、资管业务在不同分位点的净收入变动幅度作为压力情景参数。并可结合市场及宏观因素（如GDP、核心权益类指数、两市日均交易额、IPO规模、集合/单一资管计划规模等），对压力情景参数进行优化调整。</w:t>
      </w:r>
    </w:p>
    <w:p w14:paraId="2802E354"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如某证券公司根据自身及比照的五家同业券商过往十年经纪业务、投行业务及资管业务的年度净收入变化情况，选取70%、80%、90%分位点跌幅，并结合市场及宏观因素、景气度分析等，设置经营风险压力情景参数。</w:t>
      </w:r>
    </w:p>
    <w:p w14:paraId="11D7C351"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（六）流动性风险</w:t>
      </w:r>
    </w:p>
    <w:p w14:paraId="1D6CBDF0"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流动性风险压力测试主要考虑公司在压力情景下，无法以合理成本及时获得充足资金以偿付到期债务、履行支付义务或满足业务开展用资需求等而对公司造成损失。证券公司可结合自身资本安排（如法人透支额度、集团内部增资等）情况，考虑将融资成本上升、债务融资渠道中断或债券发行推迟持续时间等情形作为压力测试风险因子。</w:t>
      </w:r>
    </w:p>
    <w:p w14:paraId="6FBF6CE9"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融资成本上升情景，可综合考虑基准利率变动情景、公司自身信用资质情况等进行设定，如将融资成本轻、中、重度压力情景选择上升0.5%、1.0%、1.5%。</w:t>
      </w:r>
    </w:p>
    <w:p w14:paraId="1DC226D9"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公司融资渠道中断情景，可参考银保监会监管办法相关要求（流动性压力测试的生存期为1至3个月）并综合考虑融资市场的历史情况和公司的信用资质进行设定，如将融资渠道中断时间轻、中、重度压力情景选择为1M、2M、3M。</w:t>
      </w:r>
    </w:p>
    <w:tbl>
      <w:tblPr>
        <w:tblW w:w="8334" w:type="dxa"/>
        <w:jc w:val="center"/>
        <w:tblCellMar>
          <w:left w:w="0" w:type="dxa"/>
          <w:right w:w="0" w:type="dxa"/>
        </w:tblCellMar>
        <w:tblLook w:val="04A0" w:firstRow="1" w:lastRow="0" w:firstColumn="1" w:lastColumn="0" w:noHBand="0" w:noVBand="1"/>
      </w:tblPr>
      <w:tblGrid>
        <w:gridCol w:w="4150"/>
        <w:gridCol w:w="1258"/>
        <w:gridCol w:w="1463"/>
        <w:gridCol w:w="1463"/>
      </w:tblGrid>
      <w:tr w:rsidR="008C23C9" w:rsidRPr="008C23C9" w14:paraId="3872EFBB" w14:textId="77777777">
        <w:trPr>
          <w:trHeight w:val="331"/>
          <w:jc w:val="center"/>
        </w:trPr>
        <w:tc>
          <w:tcPr>
            <w:tcW w:w="4150" w:type="dxa"/>
            <w:vMerge w:val="restart"/>
            <w:tcBorders>
              <w:top w:val="single" w:sz="8" w:space="0" w:color="auto"/>
              <w:left w:val="single" w:sz="8" w:space="0" w:color="auto"/>
              <w:bottom w:val="single" w:sz="8" w:space="0" w:color="auto"/>
              <w:right w:val="single" w:sz="8" w:space="0" w:color="auto"/>
            </w:tcBorders>
            <w:shd w:val="clear" w:color="auto" w:fill="BFBFBF"/>
            <w:noWrap/>
            <w:tcMar>
              <w:top w:w="0" w:type="dxa"/>
              <w:left w:w="108" w:type="dxa"/>
              <w:bottom w:w="0" w:type="dxa"/>
              <w:right w:w="108" w:type="dxa"/>
            </w:tcMar>
            <w:vAlign w:val="center"/>
            <w:hideMark/>
          </w:tcPr>
          <w:p w14:paraId="3C592494"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风险因子</w:t>
            </w:r>
          </w:p>
        </w:tc>
        <w:tc>
          <w:tcPr>
            <w:tcW w:w="4184" w:type="dxa"/>
            <w:gridSpan w:val="3"/>
            <w:tcBorders>
              <w:top w:val="single" w:sz="8" w:space="0" w:color="auto"/>
              <w:left w:val="single" w:sz="8" w:space="0" w:color="auto"/>
              <w:bottom w:val="single" w:sz="8" w:space="0" w:color="auto"/>
              <w:right w:val="single" w:sz="8" w:space="0" w:color="auto"/>
            </w:tcBorders>
            <w:shd w:val="clear" w:color="auto" w:fill="BFBFBF"/>
            <w:noWrap/>
            <w:tcMar>
              <w:top w:w="0" w:type="dxa"/>
              <w:left w:w="108" w:type="dxa"/>
              <w:bottom w:w="0" w:type="dxa"/>
              <w:right w:w="108" w:type="dxa"/>
            </w:tcMar>
            <w:hideMark/>
          </w:tcPr>
          <w:p w14:paraId="42DD2220"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压力情景</w:t>
            </w:r>
          </w:p>
        </w:tc>
      </w:tr>
      <w:tr w:rsidR="008C23C9" w:rsidRPr="008C23C9" w14:paraId="096CF7D3" w14:textId="77777777">
        <w:trPr>
          <w:trHeight w:val="411"/>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C63A510" w14:textId="77777777" w:rsidR="008C23C9" w:rsidRPr="008C23C9" w:rsidRDefault="008C23C9" w:rsidP="008C23C9">
            <w:pPr>
              <w:spacing w:after="0" w:line="240" w:lineRule="auto"/>
              <w:rPr>
                <w:rFonts w:ascii="微软雅黑" w:eastAsia="微软雅黑" w:hAnsi="微软雅黑" w:cs="宋体"/>
                <w:sz w:val="24"/>
                <w:szCs w:val="24"/>
                <w:lang w:eastAsia="zh-CN"/>
              </w:rPr>
            </w:pPr>
          </w:p>
        </w:tc>
        <w:tc>
          <w:tcPr>
            <w:tcW w:w="1258" w:type="dxa"/>
            <w:tcBorders>
              <w:top w:val="nil"/>
              <w:left w:val="single" w:sz="8" w:space="0" w:color="auto"/>
              <w:bottom w:val="single" w:sz="8" w:space="0" w:color="auto"/>
              <w:right w:val="single" w:sz="8" w:space="0" w:color="auto"/>
            </w:tcBorders>
            <w:shd w:val="clear" w:color="auto" w:fill="BFBFBF"/>
            <w:noWrap/>
            <w:tcMar>
              <w:top w:w="0" w:type="dxa"/>
              <w:left w:w="108" w:type="dxa"/>
              <w:bottom w:w="0" w:type="dxa"/>
              <w:right w:w="108" w:type="dxa"/>
            </w:tcMar>
            <w:vAlign w:val="center"/>
            <w:hideMark/>
          </w:tcPr>
          <w:p w14:paraId="05C01F46"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轻度压力</w:t>
            </w:r>
          </w:p>
        </w:tc>
        <w:tc>
          <w:tcPr>
            <w:tcW w:w="1463" w:type="dxa"/>
            <w:tcBorders>
              <w:top w:val="single" w:sz="8" w:space="0" w:color="auto"/>
              <w:left w:val="single" w:sz="8" w:space="0" w:color="auto"/>
              <w:bottom w:val="single" w:sz="8" w:space="0" w:color="auto"/>
              <w:right w:val="single" w:sz="8" w:space="0" w:color="auto"/>
            </w:tcBorders>
            <w:shd w:val="clear" w:color="auto" w:fill="BFBFBF"/>
            <w:noWrap/>
            <w:tcMar>
              <w:top w:w="0" w:type="dxa"/>
              <w:left w:w="108" w:type="dxa"/>
              <w:bottom w:w="0" w:type="dxa"/>
              <w:right w:w="108" w:type="dxa"/>
            </w:tcMar>
            <w:vAlign w:val="center"/>
            <w:hideMark/>
          </w:tcPr>
          <w:p w14:paraId="367C6658"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中度压力</w:t>
            </w:r>
          </w:p>
        </w:tc>
        <w:tc>
          <w:tcPr>
            <w:tcW w:w="1463" w:type="dxa"/>
            <w:tcBorders>
              <w:top w:val="single" w:sz="8" w:space="0" w:color="auto"/>
              <w:left w:val="single" w:sz="8" w:space="0" w:color="auto"/>
              <w:bottom w:val="single" w:sz="8" w:space="0" w:color="auto"/>
              <w:right w:val="single" w:sz="8" w:space="0" w:color="auto"/>
            </w:tcBorders>
            <w:shd w:val="clear" w:color="auto" w:fill="BFBFBF"/>
            <w:noWrap/>
            <w:tcMar>
              <w:top w:w="0" w:type="dxa"/>
              <w:left w:w="108" w:type="dxa"/>
              <w:bottom w:w="0" w:type="dxa"/>
              <w:right w:w="108" w:type="dxa"/>
            </w:tcMar>
            <w:vAlign w:val="center"/>
            <w:hideMark/>
          </w:tcPr>
          <w:p w14:paraId="5D6F145C"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b/>
                <w:bCs/>
                <w:sz w:val="24"/>
                <w:szCs w:val="24"/>
                <w:lang w:eastAsia="zh-CN"/>
              </w:rPr>
              <w:t>重度压力</w:t>
            </w:r>
          </w:p>
        </w:tc>
      </w:tr>
      <w:tr w:rsidR="008C23C9" w:rsidRPr="008C23C9" w14:paraId="43D5045B" w14:textId="77777777">
        <w:trPr>
          <w:trHeight w:val="292"/>
          <w:jc w:val="center"/>
        </w:trPr>
        <w:tc>
          <w:tcPr>
            <w:tcW w:w="415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46C0A6F" w14:textId="77777777" w:rsidR="008C23C9" w:rsidRPr="008C23C9" w:rsidRDefault="008C23C9" w:rsidP="008C23C9">
            <w:pPr>
              <w:spacing w:after="0" w:line="480" w:lineRule="atLeast"/>
              <w:jc w:val="both"/>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公司融资成本上升</w:t>
            </w:r>
          </w:p>
        </w:tc>
        <w:tc>
          <w:tcPr>
            <w:tcW w:w="125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FD90151"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0.50%</w:t>
            </w:r>
          </w:p>
        </w:tc>
        <w:tc>
          <w:tcPr>
            <w:tcW w:w="1463"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31454B9"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1.00%</w:t>
            </w:r>
          </w:p>
        </w:tc>
        <w:tc>
          <w:tcPr>
            <w:tcW w:w="1463"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E02FDF2"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1.50%</w:t>
            </w:r>
          </w:p>
        </w:tc>
      </w:tr>
      <w:tr w:rsidR="008C23C9" w:rsidRPr="008C23C9" w14:paraId="25EE94AD" w14:textId="77777777">
        <w:trPr>
          <w:trHeight w:val="341"/>
          <w:jc w:val="center"/>
        </w:trPr>
        <w:tc>
          <w:tcPr>
            <w:tcW w:w="415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E14EFEC" w14:textId="77777777" w:rsidR="008C23C9" w:rsidRPr="008C23C9" w:rsidRDefault="008C23C9" w:rsidP="008C23C9">
            <w:pPr>
              <w:spacing w:after="0" w:line="480" w:lineRule="atLeast"/>
              <w:jc w:val="both"/>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公司债务融资渠道中断（持续时间）</w:t>
            </w:r>
          </w:p>
        </w:tc>
        <w:tc>
          <w:tcPr>
            <w:tcW w:w="125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4451AE8"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1M</w:t>
            </w:r>
          </w:p>
        </w:tc>
        <w:tc>
          <w:tcPr>
            <w:tcW w:w="1463"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A261EE1"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2M</w:t>
            </w:r>
          </w:p>
        </w:tc>
        <w:tc>
          <w:tcPr>
            <w:tcW w:w="1463"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37B8D75" w14:textId="77777777" w:rsidR="008C23C9" w:rsidRPr="008C23C9" w:rsidRDefault="008C23C9" w:rsidP="008C23C9">
            <w:pPr>
              <w:spacing w:after="0" w:line="480" w:lineRule="atLeast"/>
              <w:jc w:val="center"/>
              <w:rPr>
                <w:rFonts w:ascii="微软雅黑" w:eastAsia="微软雅黑" w:hAnsi="微软雅黑" w:cs="宋体"/>
                <w:sz w:val="24"/>
                <w:szCs w:val="24"/>
                <w:lang w:eastAsia="zh-CN"/>
              </w:rPr>
            </w:pPr>
            <w:r w:rsidRPr="008C23C9">
              <w:rPr>
                <w:rFonts w:ascii="微软雅黑" w:eastAsia="微软雅黑" w:hAnsi="微软雅黑" w:cs="宋体"/>
                <w:sz w:val="24"/>
                <w:szCs w:val="24"/>
                <w:lang w:eastAsia="zh-CN"/>
              </w:rPr>
              <w:t>3M</w:t>
            </w:r>
          </w:p>
        </w:tc>
      </w:tr>
    </w:tbl>
    <w:p w14:paraId="4CCA7C26"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 </w:t>
      </w:r>
    </w:p>
    <w:p w14:paraId="0F09ACB4"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二、压力测试传导机制</w:t>
      </w:r>
    </w:p>
    <w:p w14:paraId="01332247"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lastRenderedPageBreak/>
        <w:t>（一）综合收益及净利润传导机制</w:t>
      </w:r>
    </w:p>
    <w:p w14:paraId="21B6A9B4"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证券公司可通过基期的业务规模与压力情景参数，测算各压力情景下的损失，进而导致对公司综合收益及净利润影响情况。其中，业务规模可结合测试基期实际规模及业务发展规划情况综合设定。</w:t>
      </w:r>
    </w:p>
    <w:p w14:paraId="779922CC"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在测算压力情景下的业务损失时，证券公司应考虑止损因素的影响。部分压力情景下业务损失突破内部止损限额时，可综合业务止损因素以及止损期间的冲击成本测算压力下损失，止损冲击成本可结合公司止损限期规划、历史止损情形和市场表现等情况进行设定。对于测试短期极端行情下损失，或标的流动性较差等情况，不应考虑止损因素。</w:t>
      </w:r>
    </w:p>
    <w:p w14:paraId="48D8F198"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另外，证券公司还应考虑交易性账户、非交易性账户对综合收益及净利润的影响。非交易性账户持有期间的公允价值变动影响综合收益但不影响净利润，而交易性账户的公允价值变动同时影响净利润和综合收益。交易性和非交易性账户的信用违约损失将同时影响公司净利润和综合收益。</w:t>
      </w:r>
    </w:p>
    <w:p w14:paraId="45B931A8"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1.自营投资业务</w:t>
      </w:r>
    </w:p>
    <w:p w14:paraId="6CB2C0E9"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利率类方向性业务方面，考虑压力情景下基础利率上升及信用债利差扩大，导致债券持仓公允价值损失。信用债券投资业务同时应考虑压力情景下债券违约造成的信用损失。</w:t>
      </w:r>
    </w:p>
    <w:p w14:paraId="209FA468"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利率类中性业务方面，考虑压力情景下公司多空端持仓债券利差发生不利变动，导致利率类套利策略组合公允价值损失。</w:t>
      </w:r>
    </w:p>
    <w:p w14:paraId="2772E3B4"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权益类方向性业务方面，考虑在压力情景下证券市场下跌，公司持仓证券市值下滑，导致公允价值变动损失。</w:t>
      </w:r>
    </w:p>
    <w:p w14:paraId="7D963386"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权益类中性业务方面，套利策略考虑在压力情景下多空持仓证券间的价差或基差等发生不利变动，使得策略组合公允价值发生损失；期权业务考虑在压力情景下因期权标的价格、波动率发生不利变动，导致期权业务组合公允价值损失。</w:t>
      </w:r>
    </w:p>
    <w:p w14:paraId="0643924C"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2.融资类业务</w:t>
      </w:r>
    </w:p>
    <w:p w14:paraId="69500F66"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融资类业务方面，考虑压力情景下客户所持担保品市值下跌导致信用风险敞口增大，违约概率增加、违约回收率减少带来的融资类业务信用损失率上升，并最终导致信用减值损失，进而影响公司综合收益及净利润。</w:t>
      </w:r>
    </w:p>
    <w:p w14:paraId="3F6BB92F"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3.其他业务</w:t>
      </w:r>
    </w:p>
    <w:p w14:paraId="22AC26F4"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lastRenderedPageBreak/>
        <w:t>除自营投资业务、融资类业务，还应考虑公司在压力情景下，经纪业务、投资银行业务、资产管理等业务收入减少，融资成本和利息支出增加，操作风险损失增大，私募股权投资业务亏损等对综合收益及净利润的影响。</w:t>
      </w:r>
    </w:p>
    <w:p w14:paraId="415F212D"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（二）风险控制指标传导机制</w:t>
      </w:r>
    </w:p>
    <w:p w14:paraId="7988A093"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压力情景下监管风险控制指标的变化，可通过业务规模规划、业务损失，资本性变动规划以及流动性风险压力情景等进行综合测算。</w:t>
      </w:r>
    </w:p>
    <w:p w14:paraId="09851075"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业务规模规划方面，若某项业务计划大幅扩张规模，应测算对风险资本准备、表内外资产等产生的影响，进而导致风险控制指标发生不利变动；业务损失方面，应测算各项业务在压力情景下发生损失，对公司资产负债造成的影响，进而导致公司净资本和流动性等监管风险控制指标的变化情况；资本性变动规划方面，应充分考虑对公司净资本产生重大影响的规划事项，如分红、向子公司增资、次级债等；流动性风险方面，应考虑压力情景下公司融资渠道中断时，公司依靠变现流动性资产得以维持正常经营的最短生存期以及对流动性风险控制指标的影响。</w:t>
      </w:r>
    </w:p>
    <w:p w14:paraId="50D4FEF1"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b/>
          <w:bCs/>
          <w:color w:val="333333"/>
          <w:sz w:val="24"/>
          <w:szCs w:val="24"/>
          <w:lang w:eastAsia="zh-CN"/>
        </w:rPr>
        <w:t>三、反向压力测试</w:t>
      </w:r>
    </w:p>
    <w:p w14:paraId="1645445C"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当压力测试结果显示风险情况不可承受（如无法满足公司管理目标、监管指标超限等），证券公司可通过反向压力测试，测算在公司可承受的最大压力范围。</w:t>
      </w:r>
    </w:p>
    <w:p w14:paraId="7A5C4AF8" w14:textId="77777777" w:rsidR="008C23C9" w:rsidRPr="008C23C9" w:rsidRDefault="008C23C9" w:rsidP="008C23C9">
      <w:pPr>
        <w:shd w:val="clear" w:color="auto" w:fill="FFFFFF"/>
        <w:spacing w:after="0" w:line="480" w:lineRule="atLeast"/>
        <w:ind w:firstLine="573"/>
        <w:jc w:val="both"/>
        <w:rPr>
          <w:rFonts w:ascii="微软雅黑" w:eastAsia="微软雅黑" w:hAnsi="微软雅黑" w:cs="宋体"/>
          <w:color w:val="333333"/>
          <w:sz w:val="24"/>
          <w:szCs w:val="24"/>
          <w:lang w:eastAsia="zh-CN"/>
        </w:rPr>
      </w:pPr>
      <w:r w:rsidRPr="008C23C9">
        <w:rPr>
          <w:rFonts w:ascii="微软雅黑" w:eastAsia="微软雅黑" w:hAnsi="微软雅黑" w:cs="宋体"/>
          <w:color w:val="333333"/>
          <w:sz w:val="24"/>
          <w:szCs w:val="24"/>
          <w:lang w:eastAsia="zh-CN"/>
        </w:rPr>
        <w:t>如证券公司拟扩大某项投资组合规模，但压力测试结果显示将导致风控指标超过监管限额。因此公司开展反向压力测试，根据合理假设测算在满足监管指标前提下投资组合所能做到的最大规模，并通过设置合理的内部管控机制，保障业务经营满足监管要求。再如证券公司定期根据某项业务的内部损失限额，并结合合理压力情景，反向测算该业务开展的规模上限情况，确保业务风险持续整体可控、可承受。</w:t>
      </w:r>
    </w:p>
    <w:p w14:paraId="2C078E63" w14:textId="77777777" w:rsidR="001E4787" w:rsidRDefault="001E4787">
      <w:pPr>
        <w:rPr>
          <w:lang w:eastAsia="zh-CN"/>
        </w:rPr>
      </w:pPr>
    </w:p>
    <w:sectPr w:rsidR="001E47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787"/>
    <w:rsid w:val="001E4787"/>
    <w:rsid w:val="006D70F8"/>
    <w:rsid w:val="008C2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8C23C9"/>
    <w:pPr>
      <w:spacing w:before="100" w:beforeAutospacing="1" w:after="100" w:afterAutospacing="1" w:line="240" w:lineRule="auto"/>
    </w:pPr>
    <w:rPr>
      <w:rFonts w:ascii="宋体" w:eastAsia="宋体" w:hAnsi="宋体" w:cs="宋体"/>
      <w:sz w:val="24"/>
      <w:szCs w:val="24"/>
      <w:lang w:eastAsia="zh-CN"/>
    </w:rPr>
  </w:style>
  <w:style w:type="paragraph" w:customStyle="1" w:styleId="16">
    <w:name w:val="16"/>
    <w:basedOn w:val="a"/>
    <w:rsid w:val="008C23C9"/>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2073</Words>
  <Characters>11822</Characters>
  <Application>Microsoft Office Word</Application>
  <DocSecurity>0</DocSecurity>
  <Lines>98</Lines>
  <Paragraphs>27</Paragraphs>
  <ScaleCrop>false</ScaleCrop>
  <Company/>
  <LinksUpToDate>false</LinksUpToDate>
  <CharactersWithSpaces>13868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2026-07-10T05:54:00Z</dcterms:modified>
</cp:coreProperties>
</file>