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7F01D"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  (中证市场监测中心2013年8月20日发布)</w:t>
      </w:r>
    </w:p>
    <w:p w14:paraId="26D34F32"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第一条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为做好证券公司金融衍生品备案工作，根据《证券公司私募产品备案管理办法》（以下简称《备案管理办法》）、《证券公司金融衍生品柜台交易业务规范》（以下简称《业务规范》）、《证券公司创新业务（产品）专业评价工作指引》（以下简称《专业评价工作指引》）、《证券公司私募产品备案管理指引》（以下简称《备案管理指引》）等有关规定，制定本指引。</w:t>
      </w:r>
    </w:p>
    <w:p w14:paraId="1391EFA8"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第二条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本指引所称金融衍生品是指符合《业务规范》规定的远期类、互换类、期权类等金融协议以及一种或多种类别产品的组合。</w:t>
      </w:r>
    </w:p>
    <w:p w14:paraId="60A3C63D" w14:textId="77777777" w:rsidR="000E289C" w:rsidRPr="000E289C" w:rsidRDefault="000E289C" w:rsidP="000E289C">
      <w:pPr>
        <w:shd w:val="clear" w:color="auto" w:fill="FFFFFF"/>
        <w:spacing w:after="0" w:line="420" w:lineRule="atLeast"/>
        <w:ind w:firstLine="430"/>
        <w:rPr>
          <w:rFonts w:ascii="微软雅黑" w:eastAsia="微软雅黑" w:hAnsi="微软雅黑" w:cs="宋体"/>
          <w:color w:val="333333"/>
          <w:spacing w:val="15"/>
          <w:sz w:val="24"/>
          <w:szCs w:val="24"/>
          <w:lang w:eastAsia="zh-CN"/>
        </w:rPr>
      </w:pPr>
      <w:r w:rsidRPr="000E289C">
        <w:rPr>
          <w:rFonts w:ascii="宋体" w:eastAsia="宋体" w:hAnsi="宋体" w:cs="宋体"/>
          <w:color w:val="333333"/>
          <w:spacing w:val="15"/>
          <w:sz w:val="24"/>
          <w:szCs w:val="24"/>
          <w:lang w:eastAsia="zh-CN"/>
        </w:rPr>
        <w:t>证券公司开展的金融衍生品交易包含远期、互换、期权三种类别产品组合的，应根据主要性质将其归属于其中的某一类金融衍生品。</w:t>
      </w:r>
    </w:p>
    <w:p w14:paraId="05F8F392"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第三条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证券公司在开展金融衍生品业务前应按照《业务规范》、《专业评价工作指引》及相关要求向中国证券业协会进行业务方案备案，并取得相应业务方案备案确认函。</w:t>
      </w:r>
    </w:p>
    <w:p w14:paraId="3AA4E09C"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第四条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中证资本市场发展监测中心有限责任公司（以下简称市场监测中心）负责对证券公司金融衍生品备案和后续监测管理。</w:t>
      </w:r>
    </w:p>
    <w:p w14:paraId="62499FD4"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第五条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证券公司应在金融衍生品初始交易确认书签订后</w:t>
      </w:r>
      <w:r w:rsidRPr="000E289C">
        <w:rPr>
          <w:rFonts w:ascii="微软雅黑" w:eastAsia="微软雅黑" w:hAnsi="微软雅黑" w:cs="宋体"/>
          <w:color w:val="333333"/>
          <w:spacing w:val="15"/>
          <w:sz w:val="24"/>
          <w:szCs w:val="24"/>
          <w:lang w:eastAsia="zh-CN"/>
        </w:rPr>
        <w:t>5</w:t>
      </w:r>
      <w:r w:rsidRPr="000E289C">
        <w:rPr>
          <w:rFonts w:ascii="宋体" w:eastAsia="宋体" w:hAnsi="宋体" w:cs="宋体"/>
          <w:color w:val="333333"/>
          <w:spacing w:val="15"/>
          <w:sz w:val="24"/>
          <w:szCs w:val="24"/>
          <w:lang w:eastAsia="zh-CN"/>
        </w:rPr>
        <w:t>个工作日内报送初始交易备案明细表（附表</w:t>
      </w:r>
      <w:r w:rsidRPr="000E289C">
        <w:rPr>
          <w:rFonts w:ascii="微软雅黑" w:eastAsia="微软雅黑" w:hAnsi="微软雅黑" w:cs="宋体"/>
          <w:color w:val="333333"/>
          <w:spacing w:val="15"/>
          <w:sz w:val="24"/>
          <w:szCs w:val="24"/>
          <w:lang w:eastAsia="zh-CN"/>
        </w:rPr>
        <w:t>1</w:t>
      </w:r>
      <w:r w:rsidRPr="000E289C">
        <w:rPr>
          <w:rFonts w:ascii="宋体" w:eastAsia="宋体" w:hAnsi="宋体" w:cs="宋体"/>
          <w:color w:val="333333"/>
          <w:spacing w:val="15"/>
          <w:sz w:val="24"/>
          <w:szCs w:val="24"/>
          <w:lang w:eastAsia="zh-CN"/>
        </w:rPr>
        <w:t>），并提交以下材料：</w:t>
      </w:r>
    </w:p>
    <w:p w14:paraId="3D857C14"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（一）</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金融衍生品业务方案备案确认函；</w:t>
      </w:r>
    </w:p>
    <w:p w14:paraId="44F5F2F7"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（二）</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交易确认书；</w:t>
      </w:r>
    </w:p>
    <w:p w14:paraId="2A76D68F" w14:textId="77777777" w:rsidR="000E289C" w:rsidRPr="000E289C" w:rsidRDefault="000E289C" w:rsidP="000E289C">
      <w:pPr>
        <w:shd w:val="clear" w:color="auto" w:fill="FFFFFF"/>
        <w:spacing w:after="0" w:line="420" w:lineRule="atLeast"/>
        <w:ind w:left="1739" w:hanging="1080"/>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（三）</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其他需要报送的材料。</w:t>
      </w:r>
    </w:p>
    <w:p w14:paraId="2C11E3D9"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第六条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金融衍生品到期终止或非到期终止的，证券公司应在终止交易确认书或同等效力文件签订后</w:t>
      </w:r>
      <w:r w:rsidRPr="000E289C">
        <w:rPr>
          <w:rFonts w:ascii="微软雅黑" w:eastAsia="微软雅黑" w:hAnsi="微软雅黑" w:cs="宋体"/>
          <w:color w:val="333333"/>
          <w:spacing w:val="15"/>
          <w:sz w:val="24"/>
          <w:szCs w:val="24"/>
          <w:lang w:eastAsia="zh-CN"/>
        </w:rPr>
        <w:t>10</w:t>
      </w:r>
      <w:r w:rsidRPr="000E289C">
        <w:rPr>
          <w:rFonts w:ascii="宋体" w:eastAsia="宋体" w:hAnsi="宋体" w:cs="宋体"/>
          <w:color w:val="333333"/>
          <w:spacing w:val="15"/>
          <w:sz w:val="24"/>
          <w:szCs w:val="24"/>
          <w:lang w:eastAsia="zh-CN"/>
        </w:rPr>
        <w:t>个工作日内报送终止交易备案明细表（附表</w:t>
      </w:r>
      <w:r w:rsidRPr="000E289C">
        <w:rPr>
          <w:rFonts w:ascii="微软雅黑" w:eastAsia="微软雅黑" w:hAnsi="微软雅黑" w:cs="宋体"/>
          <w:color w:val="333333"/>
          <w:spacing w:val="15"/>
          <w:sz w:val="24"/>
          <w:szCs w:val="24"/>
          <w:lang w:eastAsia="zh-CN"/>
        </w:rPr>
        <w:t>2</w:t>
      </w:r>
      <w:r w:rsidRPr="000E289C">
        <w:rPr>
          <w:rFonts w:ascii="宋体" w:eastAsia="宋体" w:hAnsi="宋体" w:cs="宋体"/>
          <w:color w:val="333333"/>
          <w:spacing w:val="15"/>
          <w:sz w:val="24"/>
          <w:szCs w:val="24"/>
          <w:lang w:eastAsia="zh-CN"/>
        </w:rPr>
        <w:t>），同时提交终止交易确认书或同等效力文件，以及其他需要报送的材料。</w:t>
      </w:r>
    </w:p>
    <w:p w14:paraId="455EC2A4" w14:textId="77777777" w:rsidR="000E289C" w:rsidRPr="000E289C" w:rsidRDefault="000E289C" w:rsidP="000E289C">
      <w:pPr>
        <w:shd w:val="clear" w:color="auto" w:fill="FFFFFF"/>
        <w:spacing w:after="0" w:line="420" w:lineRule="atLeast"/>
        <w:ind w:firstLine="600"/>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第七条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金融衍生品存续期间发生重大业务风险、重大业务损失或影响持续运行等重大事件的，证券公司应立即采取有效措施，并于重大事件发生后</w:t>
      </w:r>
      <w:r w:rsidRPr="000E289C">
        <w:rPr>
          <w:rFonts w:ascii="微软雅黑" w:eastAsia="微软雅黑" w:hAnsi="微软雅黑" w:cs="宋体"/>
          <w:color w:val="333333"/>
          <w:spacing w:val="15"/>
          <w:sz w:val="24"/>
          <w:szCs w:val="24"/>
          <w:lang w:eastAsia="zh-CN"/>
        </w:rPr>
        <w:t>2</w:t>
      </w:r>
      <w:r w:rsidRPr="000E289C">
        <w:rPr>
          <w:rFonts w:ascii="宋体" w:eastAsia="宋体" w:hAnsi="宋体" w:cs="宋体"/>
          <w:color w:val="333333"/>
          <w:spacing w:val="15"/>
          <w:sz w:val="24"/>
          <w:szCs w:val="24"/>
          <w:lang w:eastAsia="zh-CN"/>
        </w:rPr>
        <w:t>个工作日内向市场监测中心提交报告，说明重大事件的起因、处理措施和影响结果。</w:t>
      </w:r>
    </w:p>
    <w:p w14:paraId="5F5DDA01"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第八条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前述重大事件包括但不限于以下情况：</w:t>
      </w:r>
    </w:p>
    <w:p w14:paraId="2E813CB2" w14:textId="77777777" w:rsidR="000E289C" w:rsidRPr="000E289C" w:rsidRDefault="000E289C" w:rsidP="000E289C">
      <w:pPr>
        <w:shd w:val="clear" w:color="auto" w:fill="FFFFFF"/>
        <w:spacing w:after="0" w:line="420" w:lineRule="atLeast"/>
        <w:ind w:left="1739" w:hanging="1080"/>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（一）</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证券公司或交易对手方破产的；</w:t>
      </w:r>
    </w:p>
    <w:p w14:paraId="2F023475" w14:textId="77777777" w:rsidR="000E289C" w:rsidRPr="000E289C" w:rsidRDefault="000E289C" w:rsidP="000E289C">
      <w:pPr>
        <w:shd w:val="clear" w:color="auto" w:fill="FFFFFF"/>
        <w:spacing w:after="0" w:line="420" w:lineRule="atLeast"/>
        <w:ind w:left="1739" w:hanging="1080"/>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（二）</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证券公司被取消金融衍生品交易业务资格的；</w:t>
      </w:r>
    </w:p>
    <w:p w14:paraId="02A34466" w14:textId="77777777" w:rsidR="000E289C" w:rsidRPr="000E289C" w:rsidRDefault="000E289C" w:rsidP="000E289C">
      <w:pPr>
        <w:shd w:val="clear" w:color="auto" w:fill="FFFFFF"/>
        <w:spacing w:after="0" w:line="420" w:lineRule="atLeast"/>
        <w:ind w:left="1739" w:hanging="1080"/>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（三）</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一方拒不履行约定义务或丧失履行能力的；</w:t>
      </w:r>
    </w:p>
    <w:p w14:paraId="4C83B301"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lastRenderedPageBreak/>
        <w:t>（四）</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履约保证金或履约保障品价值低于预警阀值且未能在</w:t>
      </w:r>
      <w:r w:rsidRPr="000E289C">
        <w:rPr>
          <w:rFonts w:ascii="微软雅黑" w:eastAsia="微软雅黑" w:hAnsi="微软雅黑" w:cs="宋体"/>
          <w:color w:val="333333"/>
          <w:spacing w:val="15"/>
          <w:sz w:val="24"/>
          <w:szCs w:val="24"/>
          <w:lang w:eastAsia="zh-CN"/>
        </w:rPr>
        <w:t>2</w:t>
      </w:r>
      <w:r w:rsidRPr="000E289C">
        <w:rPr>
          <w:rFonts w:ascii="宋体" w:eastAsia="宋体" w:hAnsi="宋体" w:cs="宋体"/>
          <w:color w:val="333333"/>
          <w:spacing w:val="15"/>
          <w:sz w:val="24"/>
          <w:szCs w:val="24"/>
          <w:lang w:eastAsia="zh-CN"/>
        </w:rPr>
        <w:t>个工作日内补足的；</w:t>
      </w:r>
    </w:p>
    <w:p w14:paraId="7376FECF"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（五）</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标的产品集中度、波动率达到预警阀值，或者标的产品因违反法律法规被相关监管机构采取暂停、终止上市等重大措施的；</w:t>
      </w:r>
    </w:p>
    <w:p w14:paraId="371A4D0D"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（六）</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金融衍生品交易系统出现重大技术故障，导致交易暂停超过</w:t>
      </w:r>
      <w:r w:rsidRPr="000E289C">
        <w:rPr>
          <w:rFonts w:ascii="微软雅黑" w:eastAsia="微软雅黑" w:hAnsi="微软雅黑" w:cs="宋体"/>
          <w:color w:val="333333"/>
          <w:spacing w:val="15"/>
          <w:sz w:val="24"/>
          <w:szCs w:val="24"/>
          <w:lang w:eastAsia="zh-CN"/>
        </w:rPr>
        <w:t>1</w:t>
      </w:r>
      <w:r w:rsidRPr="000E289C">
        <w:rPr>
          <w:rFonts w:ascii="宋体" w:eastAsia="宋体" w:hAnsi="宋体" w:cs="宋体"/>
          <w:color w:val="333333"/>
          <w:spacing w:val="15"/>
          <w:sz w:val="24"/>
          <w:szCs w:val="24"/>
          <w:lang w:eastAsia="zh-CN"/>
        </w:rPr>
        <w:t>个工作日的；</w:t>
      </w:r>
    </w:p>
    <w:p w14:paraId="070ABD53"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（七）</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其他影响金融衍生品交易的重大情况。</w:t>
      </w:r>
    </w:p>
    <w:p w14:paraId="420DC536"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第九条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证券公司应于每月</w:t>
      </w:r>
      <w:r w:rsidRPr="000E289C">
        <w:rPr>
          <w:rFonts w:ascii="微软雅黑" w:eastAsia="微软雅黑" w:hAnsi="微软雅黑" w:cs="宋体"/>
          <w:color w:val="333333"/>
          <w:spacing w:val="15"/>
          <w:sz w:val="24"/>
          <w:szCs w:val="24"/>
          <w:lang w:eastAsia="zh-CN"/>
        </w:rPr>
        <w:t>10</w:t>
      </w:r>
      <w:r w:rsidRPr="000E289C">
        <w:rPr>
          <w:rFonts w:ascii="宋体" w:eastAsia="宋体" w:hAnsi="宋体" w:cs="宋体"/>
          <w:color w:val="333333"/>
          <w:spacing w:val="15"/>
          <w:sz w:val="24"/>
          <w:szCs w:val="24"/>
          <w:lang w:eastAsia="zh-CN"/>
        </w:rPr>
        <w:t>日前向市场监测中心报送上个月度金融衍生品交易统计报表（附表</w:t>
      </w:r>
      <w:r w:rsidRPr="000E289C">
        <w:rPr>
          <w:rFonts w:ascii="微软雅黑" w:eastAsia="微软雅黑" w:hAnsi="微软雅黑" w:cs="宋体"/>
          <w:color w:val="333333"/>
          <w:spacing w:val="15"/>
          <w:sz w:val="24"/>
          <w:szCs w:val="24"/>
          <w:lang w:eastAsia="zh-CN"/>
        </w:rPr>
        <w:t>3</w:t>
      </w:r>
      <w:r w:rsidRPr="000E289C">
        <w:rPr>
          <w:rFonts w:ascii="宋体" w:eastAsia="宋体" w:hAnsi="宋体" w:cs="宋体"/>
          <w:color w:val="333333"/>
          <w:spacing w:val="15"/>
          <w:sz w:val="24"/>
          <w:szCs w:val="24"/>
          <w:lang w:eastAsia="zh-CN"/>
        </w:rPr>
        <w:t>），报送时限遇法定节假日可相应顺延。</w:t>
      </w:r>
    </w:p>
    <w:p w14:paraId="25537AF7" w14:textId="77777777" w:rsidR="000E289C" w:rsidRPr="000E289C" w:rsidRDefault="000E289C" w:rsidP="000E289C">
      <w:pPr>
        <w:shd w:val="clear" w:color="auto" w:fill="FFFFFF"/>
        <w:spacing w:after="0" w:line="420" w:lineRule="atLeast"/>
        <w:ind w:firstLine="420"/>
        <w:rPr>
          <w:rFonts w:ascii="微软雅黑" w:eastAsia="微软雅黑" w:hAnsi="微软雅黑" w:cs="宋体"/>
          <w:color w:val="333333"/>
          <w:spacing w:val="15"/>
          <w:sz w:val="24"/>
          <w:szCs w:val="24"/>
          <w:lang w:eastAsia="zh-CN"/>
        </w:rPr>
      </w:pPr>
      <w:r w:rsidRPr="000E289C">
        <w:rPr>
          <w:rFonts w:ascii="宋体" w:eastAsia="宋体" w:hAnsi="宋体" w:cs="宋体"/>
          <w:color w:val="333333"/>
          <w:spacing w:val="15"/>
          <w:sz w:val="24"/>
          <w:szCs w:val="24"/>
          <w:lang w:eastAsia="zh-CN"/>
        </w:rPr>
        <w:t>证券公司应于每年</w:t>
      </w:r>
      <w:r w:rsidRPr="000E289C">
        <w:rPr>
          <w:rFonts w:ascii="微软雅黑" w:eastAsia="微软雅黑" w:hAnsi="微软雅黑" w:cs="宋体"/>
          <w:color w:val="333333"/>
          <w:spacing w:val="15"/>
          <w:sz w:val="24"/>
          <w:szCs w:val="24"/>
          <w:lang w:eastAsia="zh-CN"/>
        </w:rPr>
        <w:t>3</w:t>
      </w:r>
      <w:r w:rsidRPr="000E289C">
        <w:rPr>
          <w:rFonts w:ascii="宋体" w:eastAsia="宋体" w:hAnsi="宋体" w:cs="宋体"/>
          <w:color w:val="333333"/>
          <w:spacing w:val="15"/>
          <w:sz w:val="24"/>
          <w:szCs w:val="24"/>
          <w:lang w:eastAsia="zh-CN"/>
        </w:rPr>
        <w:t>月底前，向市场监测中心报送上个年度金融衍生品交易情况报告。年度报告应包括证券公司金融衍生品交易总体开展情况、盈亏情况、年末持有情况、风险管理情况。</w:t>
      </w:r>
    </w:p>
    <w:p w14:paraId="0EA1211D"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第十条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证券公司应通过市场监测中心私募产品备案管理系统以电子方式报送金融衍生品备案材料、统计数据以及其他报告信息。除备案明细表以及月度统计报表外，其他备案材料应为加盖公章的</w:t>
      </w:r>
      <w:r w:rsidRPr="000E289C">
        <w:rPr>
          <w:rFonts w:ascii="微软雅黑" w:eastAsia="微软雅黑" w:hAnsi="微软雅黑" w:cs="宋体"/>
          <w:color w:val="333333"/>
          <w:spacing w:val="15"/>
          <w:sz w:val="24"/>
          <w:szCs w:val="24"/>
          <w:lang w:eastAsia="zh-CN"/>
        </w:rPr>
        <w:t>PDF</w:t>
      </w:r>
      <w:r w:rsidRPr="000E289C">
        <w:rPr>
          <w:rFonts w:ascii="宋体" w:eastAsia="宋体" w:hAnsi="宋体" w:cs="宋体"/>
          <w:color w:val="333333"/>
          <w:spacing w:val="15"/>
          <w:sz w:val="24"/>
          <w:szCs w:val="24"/>
          <w:lang w:eastAsia="zh-CN"/>
        </w:rPr>
        <w:t>格式文件。</w:t>
      </w:r>
    </w:p>
    <w:p w14:paraId="567FFEAB" w14:textId="77777777" w:rsidR="000E289C" w:rsidRPr="000E289C" w:rsidRDefault="000E289C" w:rsidP="000E289C">
      <w:pPr>
        <w:shd w:val="clear" w:color="auto" w:fill="FFFFFF"/>
        <w:spacing w:after="0" w:line="420" w:lineRule="atLeast"/>
        <w:ind w:firstLine="430"/>
        <w:rPr>
          <w:rFonts w:ascii="微软雅黑" w:eastAsia="微软雅黑" w:hAnsi="微软雅黑" w:cs="宋体"/>
          <w:color w:val="333333"/>
          <w:spacing w:val="15"/>
          <w:sz w:val="24"/>
          <w:szCs w:val="24"/>
          <w:lang w:eastAsia="zh-CN"/>
        </w:rPr>
      </w:pPr>
      <w:r w:rsidRPr="000E289C">
        <w:rPr>
          <w:rFonts w:ascii="宋体" w:eastAsia="宋体" w:hAnsi="宋体" w:cs="宋体"/>
          <w:color w:val="333333"/>
          <w:spacing w:val="15"/>
          <w:sz w:val="24"/>
          <w:szCs w:val="24"/>
          <w:lang w:eastAsia="zh-CN"/>
        </w:rPr>
        <w:t>使用其他印章或授权签字代替公章的，应在开展金融衍生品交易前提交证券公司授权书，明确被授权主体或人员、授权范围、有效期限等事项。被授权主体或人员发生变更或授权期限到期的，证券公司应及时办理变更手续。</w:t>
      </w:r>
    </w:p>
    <w:p w14:paraId="0759DB9D" w14:textId="77777777" w:rsidR="000E289C" w:rsidRPr="000E289C" w:rsidRDefault="000E289C" w:rsidP="000E289C">
      <w:pPr>
        <w:shd w:val="clear" w:color="auto" w:fill="FFFFFF"/>
        <w:spacing w:after="0" w:line="420" w:lineRule="atLeast"/>
        <w:ind w:firstLine="430"/>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第十一条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市场监测中心应自受理备案材料后</w:t>
      </w:r>
      <w:r w:rsidRPr="000E289C">
        <w:rPr>
          <w:rFonts w:ascii="微软雅黑" w:eastAsia="微软雅黑" w:hAnsi="微软雅黑" w:cs="宋体"/>
          <w:color w:val="333333"/>
          <w:spacing w:val="15"/>
          <w:sz w:val="24"/>
          <w:szCs w:val="24"/>
          <w:lang w:eastAsia="zh-CN"/>
        </w:rPr>
        <w:t>10</w:t>
      </w:r>
      <w:r w:rsidRPr="000E289C">
        <w:rPr>
          <w:rFonts w:ascii="宋体" w:eastAsia="宋体" w:hAnsi="宋体" w:cs="宋体"/>
          <w:color w:val="333333"/>
          <w:spacing w:val="15"/>
          <w:sz w:val="24"/>
          <w:szCs w:val="24"/>
          <w:lang w:eastAsia="zh-CN"/>
        </w:rPr>
        <w:t>个工作日内完成备案审查工作，备案材料齐全、内容完备，符合《备案管理办法》以及本指引要求的，应予以备案确认，或出具备案确认函。备案材料不符合要求的，市场监测中心应自受理之日起</w:t>
      </w:r>
      <w:r w:rsidRPr="000E289C">
        <w:rPr>
          <w:rFonts w:ascii="微软雅黑" w:eastAsia="微软雅黑" w:hAnsi="微软雅黑" w:cs="宋体"/>
          <w:color w:val="333333"/>
          <w:spacing w:val="15"/>
          <w:sz w:val="24"/>
          <w:szCs w:val="24"/>
          <w:lang w:eastAsia="zh-CN"/>
        </w:rPr>
        <w:t>10</w:t>
      </w:r>
      <w:r w:rsidRPr="000E289C">
        <w:rPr>
          <w:rFonts w:ascii="宋体" w:eastAsia="宋体" w:hAnsi="宋体" w:cs="宋体"/>
          <w:color w:val="333333"/>
          <w:spacing w:val="15"/>
          <w:sz w:val="24"/>
          <w:szCs w:val="24"/>
          <w:lang w:eastAsia="zh-CN"/>
        </w:rPr>
        <w:t>个工作日内，一次性告知证券公司需要补正的全部内容。证券公司按照要求补正的，市场监测中心应自受理补正材料之日起</w:t>
      </w:r>
      <w:r w:rsidRPr="000E289C">
        <w:rPr>
          <w:rFonts w:ascii="微软雅黑" w:eastAsia="微软雅黑" w:hAnsi="微软雅黑" w:cs="宋体"/>
          <w:color w:val="333333"/>
          <w:spacing w:val="15"/>
          <w:sz w:val="24"/>
          <w:szCs w:val="24"/>
          <w:lang w:eastAsia="zh-CN"/>
        </w:rPr>
        <w:t>10</w:t>
      </w:r>
      <w:r w:rsidRPr="000E289C">
        <w:rPr>
          <w:rFonts w:ascii="宋体" w:eastAsia="宋体" w:hAnsi="宋体" w:cs="宋体"/>
          <w:color w:val="333333"/>
          <w:spacing w:val="15"/>
          <w:sz w:val="24"/>
          <w:szCs w:val="24"/>
          <w:lang w:eastAsia="zh-CN"/>
        </w:rPr>
        <w:t>个工作内予以备案确认。</w:t>
      </w:r>
    </w:p>
    <w:p w14:paraId="1D4AC252"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第十二条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证券公司应严格按照《备案管理办法》、《专业评价工作指引》、《备案管理指引》及本指引要求向市场监测中心报送备案材料，同时抄报其住所地证监会派出机构。</w:t>
      </w:r>
    </w:p>
    <w:p w14:paraId="580D84AD"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第十三条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市场监测中心将妥善保管证券公司报送的数据信息，建立与证监会及其派出机构、相关自律组织之间的信息共享机制。</w:t>
      </w:r>
    </w:p>
    <w:p w14:paraId="19A7C63A"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第十四条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经证监会批准，市场监测中心可定期或不定期披露证券公司衍生品交易统计信息。</w:t>
      </w:r>
    </w:p>
    <w:p w14:paraId="546C6FB1"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lastRenderedPageBreak/>
        <w:t>第十五条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本指引由市场监测中心负责解释和修订。市场监测中心可根据实际情况修订、完善附表格式和内容。</w:t>
      </w:r>
    </w:p>
    <w:p w14:paraId="5F05C439" w14:textId="77777777" w:rsidR="000E289C" w:rsidRPr="000E289C" w:rsidRDefault="000E289C" w:rsidP="000E289C">
      <w:pPr>
        <w:shd w:val="clear" w:color="auto" w:fill="FFFFFF"/>
        <w:spacing w:after="0" w:line="420" w:lineRule="atLeast"/>
        <w:ind w:firstLine="659"/>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第十六条</w:t>
      </w:r>
      <w:r w:rsidRPr="000E289C">
        <w:rPr>
          <w:rFonts w:ascii="Times New Roman" w:eastAsia="微软雅黑" w:hAnsi="Times New Roman" w:cs="Times New Roman"/>
          <w:color w:val="333333"/>
          <w:spacing w:val="15"/>
          <w:sz w:val="14"/>
          <w:szCs w:val="14"/>
          <w:lang w:eastAsia="zh-CN"/>
        </w:rPr>
        <w:t>     </w:t>
      </w:r>
      <w:r w:rsidRPr="000E289C">
        <w:rPr>
          <w:rFonts w:ascii="宋体" w:eastAsia="宋体" w:hAnsi="宋体" w:cs="宋体"/>
          <w:color w:val="333333"/>
          <w:spacing w:val="15"/>
          <w:sz w:val="24"/>
          <w:szCs w:val="24"/>
          <w:lang w:eastAsia="zh-CN"/>
        </w:rPr>
        <w:t>本指引自公布之日起施行。</w:t>
      </w:r>
    </w:p>
    <w:p w14:paraId="7B45A043" w14:textId="77777777" w:rsidR="000E289C" w:rsidRPr="000E289C" w:rsidRDefault="000E289C" w:rsidP="000E289C">
      <w:pPr>
        <w:shd w:val="clear" w:color="auto" w:fill="FFFFFF"/>
        <w:spacing w:after="0" w:line="420" w:lineRule="atLeast"/>
        <w:rPr>
          <w:rFonts w:ascii="微软雅黑" w:eastAsia="微软雅黑" w:hAnsi="微软雅黑" w:cs="宋体"/>
          <w:color w:val="333333"/>
          <w:spacing w:val="15"/>
          <w:sz w:val="24"/>
          <w:szCs w:val="24"/>
          <w:lang w:eastAsia="zh-CN"/>
        </w:rPr>
      </w:pPr>
      <w:r w:rsidRPr="000E289C">
        <w:rPr>
          <w:rFonts w:ascii="微软雅黑" w:eastAsia="微软雅黑" w:hAnsi="微软雅黑" w:cs="宋体"/>
          <w:color w:val="333333"/>
          <w:spacing w:val="15"/>
          <w:sz w:val="24"/>
          <w:szCs w:val="24"/>
          <w:lang w:eastAsia="zh-CN"/>
        </w:rPr>
        <w:t> </w:t>
      </w:r>
    </w:p>
    <w:p w14:paraId="2C078E63" w14:textId="77777777" w:rsidR="00F11FBA" w:rsidRDefault="00F11FBA"/>
    <w:sectPr w:rsidR="00F11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BA"/>
    <w:rsid w:val="000E289C"/>
    <w:rsid w:val="006D70F8"/>
    <w:rsid w:val="00F11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289C"/>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2026-07-10T05:46:00Z</dcterms:modified>
</cp:coreProperties>
</file>