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08D926B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GoFlow2 使用指南</w:t>
      </w:r>
    </w:p>
    <w:p w14:paraId="7A8006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项目简介</w:t>
      </w:r>
    </w:p>
    <w:p w14:paraId="74F240D6">
      <w:r>
        <w:rPr>
          <w:rFonts w:hint="eastAsia"/>
        </w:rPr>
        <w:t xml:space="preserve">GoFlow2 是一个使用 Go 语言编写的 </w:t>
      </w:r>
      <w:r>
        <w:rPr>
          <w:rFonts w:hint="eastAsia"/>
          <w:b w:val="1"/>
        </w:rPr>
        <w:t>NetFlow/IPFIX/sFlow 网络流采集器</w:t>
      </w:r>
      <w:r>
        <w:rPr>
          <w:rFonts w:hint="eastAsia"/>
        </w:rPr>
        <w:t>。它从不同流协议中收集网络信息（IP、接口、路由器信息），并将其序列化为统一格式输出。</w:t>
      </w:r>
    </w:p>
    <w:p w14:paraId="2A4B24B9">
      <w:r>
        <w:rPr>
          <w:rFonts w:hint="eastAsia"/>
          <w:b w:val="1"/>
        </w:rPr>
        <w:t>适用场景：</w:t>
      </w:r>
    </w:p>
    <w:p w14:paraId="0600177A">
      <w:pPr>
        <w:numPr>
          <w:ilvl w:val="0"/>
          <w:numId w:val="1"/>
        </w:numPr>
      </w:pPr>
      <w:r>
        <w:rPr>
          <w:rFonts w:hint="eastAsia"/>
        </w:rPr>
        <w:t>接收大量网络采样数据，需要水平扩展能力</w:t>
      </w:r>
    </w:p>
    <w:p w14:paraId="265C8613">
      <w:pPr>
        <w:numPr>
          <w:ilvl w:val="0"/>
          <w:numId w:val="1"/>
        </w:numPr>
      </w:pPr>
      <w:r>
        <w:rPr>
          <w:rFonts w:hint="eastAsia"/>
        </w:rPr>
        <w:t>存在协议多样性，需要统一的输出格式</w:t>
      </w:r>
    </w:p>
    <w:p w14:paraId="5D56D2F4">
      <w:pPr>
        <w:numPr>
          <w:ilvl w:val="0"/>
          <w:numId w:val="1"/>
        </w:numPr>
      </w:pPr>
      <w:r>
        <w:rPr>
          <w:rFonts w:hint="eastAsia"/>
        </w:rPr>
        <w:t>需要获取原始采样数据，自行构建聚合与富化处理</w:t>
      </w:r>
    </w:p>
    <w:p w14:paraId="52DADA74">
      <w:r>
        <w:rPr>
          <w:rFonts w:hint="eastAsia"/>
        </w:rPr>
        <w:t>GoFlow2 是数据管道的入口，存储、传输、富化、图表、告警等不在其职责范围内。</w:t>
      </w:r>
    </w:p>
    <w:p w14:paraId="071265E2">
      <w:r>
        <w:rPr>
          <w:rFonts w:hint="eastAsia"/>
          <w:b w:val="1"/>
        </w:rPr>
        <w:t>支持协议：</w:t>
      </w:r>
    </w:p>
    <w:p w14:paraId="54964972">
      <w:pPr>
        <w:numPr>
          <w:ilvl w:val="0"/>
          <w:numId w:val="1"/>
        </w:numPr>
      </w:pPr>
      <w:r>
        <w:t>NetFlow v5</w:t>
      </w:r>
    </w:p>
    <w:p w14:paraId="05248CB7">
      <w:pPr>
        <w:numPr>
          <w:ilvl w:val="0"/>
          <w:numId w:val="1"/>
        </w:numPr>
      </w:pPr>
      <w:r>
        <w:rPr>
          <w:rFonts w:hint="eastAsia"/>
        </w:rPr>
        <w:t>IPFIX / NetFlow v9（采样率由 Option Data Set 提供）</w:t>
      </w:r>
    </w:p>
    <w:p w14:paraId="15CB45C3">
      <w:pPr>
        <w:numPr>
          <w:ilvl w:val="0"/>
          <w:numId w:val="1"/>
        </w:numPr>
      </w:pPr>
      <w:r>
        <w:t>sFlow v5</w:t>
      </w:r>
    </w:p>
    <w:p w14:paraId="615B6A5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核心架构与模块</w:t>
      </w:r>
    </w:p>
    <w:p w14:paraId="73491BF8">
      <w:r>
        <w:rPr>
          <w:rFonts w:hint="eastAsia"/>
        </w:rPr>
        <w:t>GoFlow2 采用模块化设计，各模块可独立替换：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CAEA3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  <w:vAlign w:val="center"/>
          </w:tcPr>
          <w:p w14:paraId="65EE53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目录</w:t>
            </w:r>
          </w:p>
        </w:tc>
        <w:tc>
          <w:tcPr>
            <w:tcW w:w="2768" w:type="dxa"/>
            <w:vAlign w:val="center"/>
          </w:tcPr>
          <w:p w14:paraId="5ECFC3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768" w:type="dxa"/>
            <w:vAlign w:val="center"/>
          </w:tcPr>
          <w:p w14:paraId="0C9ED227">
            <w:r>
              <w:t>decoder</w:t>
            </w:r>
          </w:p>
        </w:tc>
        <w:tc>
          <w:tcPr>
            <w:tcW w:w="2768" w:type="dxa"/>
            <w:vAlign w:val="center"/>
          </w:tcPr>
          <w:p w14:paraId="5849C1FA">
            <w:r>
              <w:t>decoders/</w:t>
            </w:r>
          </w:p>
        </w:tc>
        <w:tc>
          <w:tcPr>
            <w:tcW w:w="2768" w:type="dxa"/>
            <w:vAlign w:val="center"/>
          </w:tcPr>
          <w:p w14:paraId="3CCB08C2">
            <w:r>
              <w:rPr>
                <w:rFonts w:hint="eastAsia"/>
              </w:rPr>
              <w:t>将流数据包的载荷解码为结构体</w:t>
            </w:r>
          </w:p>
        </w:tc>
      </w:tr>
      <w:tr>
        <w:trPr/>
        <w:tc>
          <w:tcPr>
            <w:tcW w:w="2768" w:type="dxa"/>
            <w:vAlign w:val="center"/>
          </w:tcPr>
          <w:p w14:paraId="08726755">
            <w:r>
              <w:t>producer</w:t>
            </w:r>
          </w:p>
        </w:tc>
        <w:tc>
          <w:tcPr>
            <w:tcW w:w="2768" w:type="dxa"/>
            <w:vAlign w:val="center"/>
          </w:tcPr>
          <w:p w14:paraId="54127E2C">
            <w:r>
              <w:t>producer/</w:t>
            </w:r>
          </w:p>
        </w:tc>
        <w:tc>
          <w:tcPr>
            <w:tcW w:w="2768" w:type="dxa"/>
            <w:vAlign w:val="center"/>
          </w:tcPr>
          <w:p w14:paraId="5E6FB112">
            <w:r>
              <w:rPr>
                <w:rFonts w:hint="eastAsia"/>
              </w:rPr>
              <w:t>将采样记录转换为其他格式（protobuf / raw）</w:t>
            </w:r>
          </w:p>
        </w:tc>
      </w:tr>
      <w:tr>
        <w:trPr/>
        <w:tc>
          <w:tcPr>
            <w:tcW w:w="2768" w:type="dxa"/>
            <w:vAlign w:val="center"/>
          </w:tcPr>
          <w:p w14:paraId="6E56DAA1">
            <w:r>
              <w:t>format</w:t>
            </w:r>
          </w:p>
        </w:tc>
        <w:tc>
          <w:tcPr>
            <w:tcW w:w="2768" w:type="dxa"/>
            <w:vAlign w:val="center"/>
          </w:tcPr>
          <w:p w14:paraId="7E590235">
            <w:r>
              <w:t>format/</w:t>
            </w:r>
          </w:p>
        </w:tc>
        <w:tc>
          <w:tcPr>
            <w:tcW w:w="2768" w:type="dxa"/>
            <w:vAlign w:val="center"/>
          </w:tcPr>
          <w:p w14:paraId="4C7B00E8">
            <w:r>
              <w:rPr>
                <w:rFonts w:hint="eastAsia"/>
              </w:rPr>
              <w:t>消息格式化工具（json、text、bin、csv）</w:t>
            </w:r>
          </w:p>
        </w:tc>
      </w:tr>
      <w:tr>
        <w:trPr/>
        <w:tc>
          <w:tcPr>
            <w:tcW w:w="2768" w:type="dxa"/>
            <w:vAlign w:val="center"/>
          </w:tcPr>
          <w:p w14:paraId="36D9B596">
            <w:r>
              <w:t>transport</w:t>
            </w:r>
          </w:p>
        </w:tc>
        <w:tc>
          <w:tcPr>
            <w:tcW w:w="2768" w:type="dxa"/>
            <w:vAlign w:val="center"/>
          </w:tcPr>
          <w:p w14:paraId="23A4959C">
            <w:r>
              <w:t>transport/</w:t>
            </w:r>
          </w:p>
        </w:tc>
        <w:tc>
          <w:tcPr>
            <w:tcW w:w="2768" w:type="dxa"/>
            <w:vAlign w:val="center"/>
          </w:tcPr>
          <w:p w14:paraId="14B90FE2">
            <w:r>
              <w:rPr>
                <w:rFonts w:hint="eastAsia"/>
              </w:rPr>
              <w:t>消息传输（file、kafka、netcat）</w:t>
            </w:r>
          </w:p>
        </w:tc>
      </w:tr>
      <w:tr>
        <w:trPr/>
        <w:tc>
          <w:tcPr>
            <w:tcW w:w="2768" w:type="dxa"/>
            <w:vAlign w:val="center"/>
          </w:tcPr>
          <w:p w14:paraId="68C907AD">
            <w:r>
              <w:rPr>
                <w:rFonts w:hint="eastAsia"/>
              </w:rPr>
              <w:t>应用封装</w:t>
            </w:r>
          </w:p>
        </w:tc>
        <w:tc>
          <w:tcPr>
            <w:tcW w:w="2768" w:type="dxa"/>
            <w:vAlign w:val="center"/>
          </w:tcPr>
          <w:p w14:paraId="11DB06C2">
            <w:r>
              <w:t>pkg/goflow2/</w:t>
            </w:r>
          </w:p>
        </w:tc>
        <w:tc>
          <w:tcPr>
            <w:tcW w:w="2768" w:type="dxa"/>
            <w:vAlign w:val="center"/>
          </w:tcPr>
          <w:p w14:paraId="64DC9A1F">
            <w:r>
              <w:rPr>
                <w:rFonts w:hint="eastAsia"/>
              </w:rPr>
              <w:t>配置、日志、构建器、采集器、HTTP 服务器</w:t>
            </w:r>
          </w:p>
        </w:tc>
      </w:tr>
    </w:tbl>
    <w:p w14:paraId="3E2CDB49">
      <w:r>
        <w:rPr>
          <w:rFonts w:hint="eastAsia"/>
          <w:b w:val="1"/>
        </w:rPr>
        <w:t>协议差异说明：</w:t>
      </w:r>
      <w:r>
        <w:rPr>
          <w:rFonts w:hint="eastAsia"/>
        </w:rPr>
        <w:t xml:space="preserve"> sFlow 是无状态协议，直接发送数据包头；NetFlow/IPFIX 依赖模板（Template），需等待 Option Template 与 Data Template 接收完毕才能完整解码，采样率缓存在 FlowStore 中，支持 TTL 与 JSON 持久化。</w:t>
      </w:r>
    </w:p>
    <w:p w14:paraId="309383F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快速开始</w:t>
      </w:r>
    </w:p>
    <w:p w14:paraId="40803B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下载运行</w:t>
      </w:r>
    </w:p>
    <w:p w14:paraId="70F6A18A">
      <w:r>
        <w:rPr>
          <w:rFonts w:hint="eastAsia"/>
        </w:rPr>
        <w:t>下载对应操作系统的最新 release 后直接运行：</w:t>
      </w:r>
    </w:p>
    <w:p w14:paraId="0E804534"/>
    <w:p w14:paraId="15CF2313">
      <w:r>
        <w:drawing>
          <wp:inline distT="0" distB="0" distL="0" distR="0">
            <wp:extent cx="5760720" cy="5760720"/>
            <wp:effectExtent l="0" t="0" r="0" b="0"/>
            <wp:docPr id="2" name="文本框 one1m6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0659763">
                        <w:pPr>
                          <w:jc w:val="left"/>
                        </w:pPr>
                        <w:r>
                          <w:t>./goflow2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默认行为：在 </w:t>
      </w:r>
      <w:r>
        <w:rPr>
          <w:rFonts w:ascii="Consolas" w:hAnsi="Consolas" w:eastAsia="Consolas" w:cs="Consolas"/>
          <w:shd w:val="clear" w:fill="f5f5f5"/>
        </w:rPr>
        <w:t>:6343</w:t>
      </w:r>
      <w:r>
        <w:rPr>
          <w:rFonts w:hint="eastAsia"/>
        </w:rPr>
        <w:t xml:space="preserve"> 启动 sFlow 采集器，在 </w:t>
      </w:r>
      <w:r>
        <w:rPr>
          <w:rFonts w:ascii="Consolas" w:hAnsi="Consolas" w:eastAsia="Consolas" w:cs="Consolas"/>
          <w:shd w:val="clear" w:fill="f5f5f5"/>
        </w:rPr>
        <w:t>:2055</w:t>
      </w:r>
      <w:r>
        <w:rPr>
          <w:rFonts w:hint="eastAsia"/>
        </w:rPr>
        <w:t xml:space="preserve"> 启动 NetFlow v9/IPFIX 采集器，收到的采样以 JSON 格式打印到 stdout。</w:t>
      </w:r>
    </w:p>
    <w:p w14:paraId="3CDF62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Docker 运行</w:t>
      </w:r>
    </w:p>
    <w:p w14:paraId="6EEC72D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4" name="文本框 nxj60g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D903962">
                        <w:pPr>
                          <w:jc w:val="left"/>
                        </w:pPr>
                        <w:r>
                          <w:t>sudo docker run -p 6343:6343/udp -p 2055:2055/udp -ti netsampler/goflow2:latest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3.3 源码构建</w:t>
      </w:r>
    </w:p>
    <w:p w14:paraId="0EFB21F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6" name="文本框 3cfs0h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11049F8">
                        <w:pPr>
                          <w:jc w:val="left"/>
                        </w:pPr>
                        <w:r>
                          <w:t>make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4. 监听配置（-listen）</w:t>
      </w:r>
    </w:p>
    <w:p w14:paraId="2C652370">
      <w:r>
        <w:rPr>
          <w:rFonts w:ascii="Consolas" w:hAnsi="Consolas" w:eastAsia="Consolas" w:cs="Consolas"/>
          <w:shd w:val="clear" w:fill="f5f5f5"/>
        </w:rPr>
        <w:t>-listen</w:t>
      </w:r>
      <w:r>
        <w:rPr>
          <w:rFonts w:hint="eastAsia"/>
        </w:rPr>
        <w:t xml:space="preserve"> 默认值为 </w:t>
      </w:r>
      <w:r>
        <w:rPr>
          <w:rFonts w:ascii="Consolas" w:hAnsi="Consolas" w:eastAsia="Consolas" w:cs="Consolas"/>
          <w:shd w:val="clear" w:fill="f5f5f5"/>
        </w:rPr>
        <w:t>sflow://:6343,netflow://:2055</w:t>
      </w:r>
      <w:r>
        <w:rPr>
          <w:rFonts w:hint="eastAsia"/>
        </w:rPr>
        <w:t xml:space="preserve">。通过 URI 形式配置监听端口，scheme 可选 </w:t>
      </w:r>
      <w:r>
        <w:rPr>
          <w:rFonts w:ascii="Consolas" w:hAnsi="Consolas" w:eastAsia="Consolas" w:cs="Consolas"/>
          <w:shd w:val="clear" w:fill="f5f5f5"/>
        </w:rPr>
        <w:t>netflow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sflow</w:t>
      </w:r>
      <w:r>
        <w:rPr>
          <w:rFonts w:hint="eastAsia"/>
        </w:rPr>
        <w:t xml:space="preserve"> 或 </w:t>
      </w:r>
      <w:r>
        <w:rPr>
          <w:rFonts w:ascii="Consolas" w:hAnsi="Consolas" w:eastAsia="Consolas" w:cs="Consolas"/>
          <w:shd w:val="clear" w:fill="f5f5f5"/>
        </w:rPr>
        <w:t>flow</w:t>
      </w:r>
      <w:r>
        <w:rPr>
          <w:rFonts w:hint="eastAsia"/>
        </w:rPr>
        <w:t>（两者兼有），多个条目以逗号分隔。</w:t>
      </w:r>
    </w:p>
    <w:p w14:paraId="1AC95A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支持的查询参数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3F6B8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2AEF21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230051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14F2D65">
            <w:r>
              <w:t>count</w:t>
            </w:r>
          </w:p>
        </w:tc>
        <w:tc>
          <w:tcPr>
            <w:tcW w:w="2768" w:type="dxa"/>
            <w:vAlign w:val="center"/>
          </w:tcPr>
          <w:p w14:paraId="6FA4465B">
            <w:r>
              <w:t>1</w:t>
            </w:r>
          </w:p>
        </w:tc>
        <w:tc>
          <w:tcPr>
            <w:tcW w:w="2768" w:type="dxa"/>
            <w:vAlign w:val="center"/>
          </w:tcPr>
          <w:p w14:paraId="1ADCE671">
            <w:r>
              <w:rPr>
                <w:rFonts w:hint="eastAsia"/>
              </w:rPr>
              <w:t>同一地址端口上创建的 UDP socket 数量（基于 SO_REUSEPORT，内核分发）</w:t>
            </w:r>
          </w:p>
        </w:tc>
      </w:tr>
      <w:tr>
        <w:trPr/>
        <w:tc>
          <w:tcPr>
            <w:tcW w:w="2768" w:type="dxa"/>
            <w:vAlign w:val="center"/>
          </w:tcPr>
          <w:p w14:paraId="44C9F900">
            <w:r>
              <w:t>workers</w:t>
            </w:r>
          </w:p>
        </w:tc>
        <w:tc>
          <w:tcPr>
            <w:tcW w:w="2768" w:type="dxa"/>
            <w:vAlign w:val="center"/>
          </w:tcPr>
          <w:p w14:paraId="1064E893">
            <w:r>
              <w:t>count × 2</w:t>
            </w:r>
          </w:p>
        </w:tc>
        <w:tc>
          <w:tcPr>
            <w:tcW w:w="2768" w:type="dxa"/>
            <w:vAlign w:val="center"/>
          </w:tcPr>
          <w:p w14:paraId="6AB68BB7">
            <w:r>
              <w:rPr>
                <w:rFonts w:hint="eastAsia"/>
              </w:rPr>
              <w:t>解码 worker goroutine 数量</w:t>
            </w:r>
          </w:p>
        </w:tc>
      </w:tr>
      <w:tr>
        <w:trPr/>
        <w:tc>
          <w:tcPr>
            <w:tcW w:w="2768" w:type="dxa"/>
            <w:vAlign w:val="center"/>
          </w:tcPr>
          <w:p w14:paraId="36DD2ACA">
            <w:r>
              <w:t>blocking</w:t>
            </w:r>
          </w:p>
        </w:tc>
        <w:tc>
          <w:tcPr>
            <w:tcW w:w="2768" w:type="dxa"/>
            <w:vAlign w:val="center"/>
          </w:tcPr>
          <w:p w14:paraId="0524F55F">
            <w:r>
              <w:t>false</w:t>
            </w:r>
          </w:p>
        </w:tc>
        <w:tc>
          <w:tcPr>
            <w:tcW w:w="2768" w:type="dxa"/>
            <w:vAlign w:val="center"/>
          </w:tcPr>
          <w:p w14:paraId="7700A429">
            <w:r>
              <w:rPr>
                <w:rFonts w:hint="eastAsia"/>
              </w:rPr>
              <w:t>true 时 receiver 阻塞等待队列空位（不丢弃）；false 时队列满直接丢弃</w:t>
            </w:r>
          </w:p>
        </w:tc>
      </w:tr>
      <w:tr>
        <w:trPr/>
        <w:tc>
          <w:tcPr>
            <w:tcW w:w="2768" w:type="dxa"/>
            <w:vAlign w:val="center"/>
          </w:tcPr>
          <w:p w14:paraId="7C567EEA">
            <w:r>
              <w:t>queue_size</w:t>
            </w:r>
          </w:p>
        </w:tc>
        <w:tc>
          <w:tcPr>
            <w:tcW w:w="2768" w:type="dxa"/>
            <w:vAlign w:val="center"/>
          </w:tcPr>
          <w:p w14:paraId="15806134">
            <w:r>
              <w:rPr>
                <w:rFonts w:hint="eastAsia"/>
              </w:rPr>
              <w:t>非阻塞模式 1000000；阻塞模式 0</w:t>
            </w:r>
          </w:p>
        </w:tc>
        <w:tc>
          <w:tcPr>
            <w:tcW w:w="2768" w:type="dxa"/>
            <w:vAlign w:val="center"/>
          </w:tcPr>
          <w:p w14:paraId="00B94388">
            <w:r>
              <w:rPr>
                <w:rFonts w:hint="eastAsia"/>
              </w:rPr>
              <w:t>dispatch 队列容量（0 表示同步模式，无缓冲）</w:t>
            </w:r>
          </w:p>
        </w:tc>
      </w:tr>
    </w:tbl>
    <w:p w14:paraId="6D599A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配置示例</w:t>
      </w:r>
    </w:p>
    <w:p w14:paraId="711F5E54">
      <w:r>
        <w:drawing>
          <wp:inline distT="0" distB="0" distL="0" distR="0">
            <wp:extent cx="5760720" cy="5760720"/>
            <wp:effectExtent l="0" t="0" r="0" b="0"/>
            <wp:docPr id="8" name="文本框 6j6mvk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6CBF98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4 个并行 sFlow socket（默认 8 个解码 worker）+ 1 个 NetFlow socket</w:t>
                        </w:r>
                      </w:p>
                      <w:p w14:paraId="2E390D24">
                        <w:pPr>
                          <w:jc w:val="left"/>
                        </w:pPr>
                        <w:r>
                          <w:t>./goflow2 -listen 'sflow://:6343?count=4,netflow://:2055'</w:t>
                        </w:r>
                      </w:p>
                      <w:p w14:paraId="4DF070A6">
                        <w:pPr>
                          <w:jc w:val="left"/>
                        </w:pPr>
                      </w:p>
                      <w:p w14:paraId="15346F1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显式指定 workers 与队列，并禁用丢弃（背压模式）</w:t>
                        </w:r>
                      </w:p>
                      <w:p w14:paraId="612BAB8D">
                        <w:pPr>
                          <w:jc w:val="left"/>
                        </w:pPr>
                        <w:r>
                          <w:t>./goflow2 -listen 'sflow://:6343?count=4&amp;workers=8&amp;blocking=true&amp;queue_size=100000'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处理结构：</w:t>
      </w:r>
      <w:r>
        <w:rPr>
          <w:rFonts w:hint="eastAsia"/>
        </w:rPr>
        <w:t xml:space="preserve"> 每个 socket 的接收 goroutine 从内核读取 UDP 包（缓冲区取自 sync.Pool，默认 9000 字节），投递到共享 dispatch channel；workers 个解码 goroutine 竞争消费并执行解码。队列满时的丢弃发生在 </w:t>
      </w:r>
      <w:r>
        <w:rPr>
          <w:rFonts w:hint="eastAsia"/>
          <w:b w:val="1"/>
        </w:rPr>
        <w:t>UDP 接收层</w:t>
      </w:r>
      <w:r>
        <w:rPr>
          <w:rFonts w:hint="eastAsia"/>
        </w:rPr>
        <w:t>（dispatch 入队失败处），该包不会进入解码流程，丢弃计数由 Prometheus 指标记录。</w:t>
      </w:r>
    </w:p>
    <w:p w14:paraId="77D9B65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输出格式（-format）</w:t>
      </w:r>
    </w:p>
    <w:p w14:paraId="74009B0E">
      <w:r>
        <w:rPr>
          <w:rFonts w:ascii="Consolas" w:hAnsi="Consolas" w:eastAsia="Consolas" w:cs="Consolas"/>
          <w:shd w:val="clear" w:fill="f5f5f5"/>
        </w:rPr>
        <w:t>-format</w:t>
      </w:r>
      <w:r>
        <w:rPr>
          <w:rFonts w:hint="eastAsia"/>
        </w:rPr>
        <w:t xml:space="preserve"> 默认值为 </w:t>
      </w:r>
      <w:r>
        <w:rPr>
          <w:rFonts w:ascii="Consolas" w:hAnsi="Consolas" w:eastAsia="Consolas" w:cs="Consolas"/>
          <w:shd w:val="clear" w:fill="f5f5f5"/>
        </w:rPr>
        <w:t>json</w:t>
      </w:r>
      <w:r>
        <w:rPr>
          <w:rFonts w:hint="eastAsia"/>
        </w:rPr>
        <w:t>。可用值由已注册的格式驱动决定：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32C23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格式</w:t>
            </w:r>
          </w:p>
        </w:tc>
        <w:tc>
          <w:tcPr>
            <w:tcW w:w="2768" w:type="dxa"/>
            <w:vAlign w:val="center"/>
          </w:tcPr>
          <w:p w14:paraId="043633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参数值</w:t>
            </w:r>
          </w:p>
        </w:tc>
        <w:tc>
          <w:tcPr>
            <w:tcW w:w="2768" w:type="dxa"/>
            <w:vAlign w:val="center"/>
          </w:tcPr>
          <w:p w14:paraId="03D69B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04EBCE0">
            <w:r>
              <w:t>JSON</w:t>
            </w:r>
          </w:p>
        </w:tc>
        <w:tc>
          <w:tcPr>
            <w:tcW w:w="2768" w:type="dxa"/>
            <w:vAlign w:val="center"/>
          </w:tcPr>
          <w:p w14:paraId="0AFFC03B">
            <w:r>
              <w:t>json</w:t>
            </w:r>
          </w:p>
        </w:tc>
        <w:tc>
          <w:tcPr>
            <w:tcW w:w="2768" w:type="dxa"/>
            <w:vAlign w:val="center"/>
          </w:tcPr>
          <w:p w14:paraId="09395443">
            <w:r>
              <w:rPr>
                <w:rFonts w:hint="eastAsia"/>
              </w:rPr>
              <w:t>默认格式，适合小数据量直接消费</w:t>
            </w:r>
          </w:p>
        </w:tc>
      </w:tr>
      <w:tr>
        <w:trPr/>
        <w:tc>
          <w:tcPr>
            <w:tcW w:w="2768" w:type="dxa"/>
            <w:vAlign w:val="center"/>
          </w:tcPr>
          <w:p w14:paraId="53F2D0AA">
            <w:r>
              <w:rPr>
                <w:rFonts w:hint="eastAsia"/>
              </w:rPr>
              <w:t>Protobuf 二进制</w:t>
            </w:r>
          </w:p>
        </w:tc>
        <w:tc>
          <w:tcPr>
            <w:tcW w:w="2768" w:type="dxa"/>
            <w:vAlign w:val="center"/>
          </w:tcPr>
          <w:p w14:paraId="64808662">
            <w:r>
              <w:t>bin</w:t>
            </w:r>
          </w:p>
        </w:tc>
        <w:tc>
          <w:tcPr>
            <w:tcW w:w="2768" w:type="dxa"/>
            <w:vAlign w:val="center"/>
          </w:tcPr>
          <w:p w14:paraId="03C95707">
            <w:r>
              <w:rPr>
                <w:rFonts w:hint="eastAsia"/>
              </w:rPr>
              <w:t>推荐大数据量场景，varint 长度前缀</w:t>
            </w:r>
          </w:p>
        </w:tc>
      </w:tr>
      <w:tr>
        <w:trPr/>
        <w:tc>
          <w:tcPr>
            <w:tcW w:w="2768" w:type="dxa"/>
            <w:vAlign w:val="center"/>
          </w:tcPr>
          <w:p w14:paraId="14F9A095">
            <w:r>
              <w:rPr>
                <w:rFonts w:hint="eastAsia"/>
              </w:rPr>
              <w:t>文本</w:t>
            </w:r>
          </w:p>
        </w:tc>
        <w:tc>
          <w:tcPr>
            <w:tcW w:w="2768" w:type="dxa"/>
            <w:vAlign w:val="center"/>
          </w:tcPr>
          <w:p w14:paraId="4F955E7C">
            <w:r>
              <w:t>text</w:t>
            </w:r>
          </w:p>
        </w:tc>
        <w:tc>
          <w:tcPr>
            <w:tcW w:w="2768" w:type="dxa"/>
            <w:vAlign w:val="center"/>
          </w:tcPr>
          <w:p w14:paraId="3DD6E1E0">
            <w:r>
              <w:rPr>
                <w:rFonts w:hint="eastAsia"/>
              </w:rPr>
              <w:t>人类可读文本</w:t>
            </w:r>
          </w:p>
        </w:tc>
      </w:tr>
      <w:tr>
        <w:trPr/>
        <w:tc>
          <w:tcPr>
            <w:tcW w:w="2768" w:type="dxa"/>
            <w:vAlign w:val="center"/>
          </w:tcPr>
          <w:p w14:paraId="7097495B">
            <w:r>
              <w:t>CSV</w:t>
            </w:r>
          </w:p>
        </w:tc>
        <w:tc>
          <w:tcPr>
            <w:tcW w:w="2768" w:type="dxa"/>
            <w:vAlign w:val="center"/>
          </w:tcPr>
          <w:p w14:paraId="097F1051">
            <w:r>
              <w:t>csv</w:t>
            </w:r>
          </w:p>
        </w:tc>
        <w:tc>
          <w:tcPr>
            <w:tcW w:w="2768" w:type="dxa"/>
            <w:vAlign w:val="center"/>
          </w:tcPr>
          <w:p w14:paraId="0FB9BC4D">
            <w:r>
              <w:rPr>
                <w:rFonts w:hint="eastAsia"/>
              </w:rPr>
              <w:t>RFC 4180 转义，无表头</w:t>
            </w:r>
          </w:p>
        </w:tc>
      </w:tr>
    </w:tbl>
    <w:p w14:paraId="473BDC9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生产者选择（-produce）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8133A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573B34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480082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C641172">
            <w:r>
              <w:t>-produce</w:t>
            </w:r>
          </w:p>
        </w:tc>
        <w:tc>
          <w:tcPr>
            <w:tcW w:w="2768" w:type="dxa"/>
            <w:vAlign w:val="center"/>
          </w:tcPr>
          <w:p w14:paraId="0E36DCE7">
            <w:r>
              <w:t>sample</w:t>
            </w:r>
          </w:p>
        </w:tc>
        <w:tc>
          <w:tcPr>
            <w:tcW w:w="2768" w:type="dxa"/>
            <w:vAlign w:val="center"/>
          </w:tcPr>
          <w:p w14:paraId="1C4ADD00">
            <w:r>
              <w:rPr>
                <w:rFonts w:hint="eastAsia"/>
              </w:rPr>
              <w:t>producer 方法；sample 表示结构化（protobuf）producer，raw 表示原始记录 producer</w:t>
            </w:r>
          </w:p>
        </w:tc>
      </w:tr>
    </w:tbl>
    <w:p w14:paraId="3B59D23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CSV 输出</w:t>
      </w:r>
    </w:p>
    <w:p w14:paraId="7FC99B19">
      <w:r>
        <w:drawing>
          <wp:inline distT="0" distB="0" distL="0" distR="0">
            <wp:extent cx="5760720" cy="5760720"/>
            <wp:effectExtent l="0" t="0" r="0" b="0"/>
            <wp:docPr id="10" name="文本框 w7u6vk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BB5BD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输出到文件，默认以竖线 | 分隔</w:t>
                        </w:r>
                      </w:p>
                      <w:p w14:paraId="520228FA">
                        <w:pPr>
                          <w:jc w:val="left"/>
                        </w:pPr>
                        <w:r>
                          <w:t>goflow2 -listen sflow://:6343 -format csv -transport file</w:t>
                        </w:r>
                      </w:p>
                      <w:p w14:paraId="704B040B">
                        <w:pPr>
                          <w:jc w:val="left"/>
                        </w:pPr>
                      </w:p>
                      <w:p w14:paraId="3C9C8DA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指定分隔符为逗号</w:t>
                        </w:r>
                      </w:p>
                      <w:p w14:paraId="09748928">
                        <w:pPr>
                          <w:jc w:val="left"/>
                        </w:pPr>
                        <w:r>
                          <w:t>goflow2 -listen sflow://:6343 -format csv -format.csv.delimiter "," -transport file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02D33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0F2723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00078B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DE521DF">
            <w:r>
              <w:t>-format.csv.delimiter</w:t>
            </w:r>
          </w:p>
        </w:tc>
        <w:tc>
          <w:tcPr>
            <w:tcW w:w="2768" w:type="dxa"/>
            <w:vAlign w:val="center"/>
          </w:tcPr>
          <w:p w14:paraId="3049D1AE">
            <w:r>
              <w:t>\</w:t>
            </w:r>
          </w:p>
        </w:tc>
        <w:tc>
          <w:tcPr>
            <w:tcW w:w="2768" w:type="dxa"/>
            <w:vAlign w:val="center"/>
          </w:tcPr>
          <w:p w14:paraId="13CB96B6">
            <w:r>
              <w:rPr>
                <w:rFonts w:hint="eastAsia"/>
              </w:rPr>
              <w:t>CSV 字段分隔符，单个字符</w:t>
            </w:r>
          </w:p>
        </w:tc>
      </w:tr>
    </w:tbl>
    <w:p w14:paraId="68DA4A00">
      <w:r>
        <w:rPr>
          <w:rFonts w:hint="eastAsia"/>
        </w:rPr>
        <w:t xml:space="preserve">CSV 特性：无表头；字段顺序与 mapping 中 </w:t>
      </w:r>
      <w:r>
        <w:rPr>
          <w:rFonts w:ascii="Consolas" w:hAnsi="Consolas" w:eastAsia="Consolas" w:cs="Consolas"/>
          <w:shd w:val="clear" w:fill="f5f5f5"/>
        </w:rPr>
        <w:t>formatter.fields</w:t>
      </w:r>
      <w:r>
        <w:rPr>
          <w:rFonts w:hint="eastAsia"/>
        </w:rPr>
        <w:t xml:space="preserve"> 一致；缺失字段输出空串保证列对齐；切片字段（如 as_path）输出为 </w:t>
      </w:r>
      <w:r>
        <w:rPr>
          <w:rFonts w:ascii="Consolas" w:hAnsi="Consolas" w:eastAsia="Consolas" w:cs="Consolas"/>
          <w:shd w:val="clear" w:fill="f5f5f5"/>
        </w:rPr>
        <w:t>[v1,v2,...]</w:t>
      </w:r>
      <w:r>
        <w:rPr>
          <w:rFonts w:hint="eastAsia"/>
        </w:rPr>
        <w:t>。</w:t>
      </w:r>
    </w:p>
    <w:p w14:paraId="0180996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自定义字段映射（-mapping）</w:t>
      </w:r>
    </w:p>
    <w:p w14:paraId="7C6407C8">
      <w:r>
        <w:rPr>
          <w:rFonts w:hint="eastAsia"/>
        </w:rPr>
        <w:t>对不常见的模板字段，可传入映射文件而无需改代码：</w:t>
      </w:r>
    </w:p>
    <w:p w14:paraId="15B2E43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12" name="文本框 4jnkuv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6827F5A">
                        <w:pPr>
                          <w:jc w:val="left"/>
                        </w:pPr>
                        <w:r>
                          <w:t>ipfix:</w:t>
                        </w:r>
                      </w:p>
                      <w:p w14:paraId="65E667FA">
                        <w:pPr>
                          <w:jc w:val="left"/>
                        </w:pPr>
                        <w:r>
                          <w:t xml:space="preserve">  mapping:</w:t>
                        </w:r>
                      </w:p>
                      <w:p w14:paraId="679FDEF0">
                        <w:pPr>
                          <w:jc w:val="left"/>
                        </w:pPr>
                        <w:r>
                          <w:t xml:space="preserve">    - field: 252</w:t>
                        </w:r>
                      </w:p>
                      <w:p w14:paraId="78E2628E">
                        <w:pPr>
                          <w:jc w:val="left"/>
                        </w:pPr>
                        <w:r>
                          <w:t xml:space="preserve">      destination: in_if</w:t>
                        </w:r>
                      </w:p>
                      <w:p w14:paraId="7A83CA10">
                        <w:pPr>
                          <w:jc w:val="left"/>
                        </w:pPr>
                        <w:r>
                          <w:t xml:space="preserve">    - field: 253</w:t>
                        </w:r>
                      </w:p>
                      <w:p w14:paraId="6D7582C8">
                        <w:pPr>
                          <w:jc w:val="left"/>
                        </w:pPr>
                        <w:r>
                          <w:t xml:space="preserve">      destination: out_if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5760720" cy="5760720"/>
            <wp:effectExtent l="0" t="0" r="0" b="0"/>
            <wp:docPr id="14" name="文本框 lwyzcw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2707699">
                        <w:pPr>
                          <w:jc w:val="left"/>
                        </w:pPr>
                        <w:r>
                          <w:t>goflow2 -mapping mapping.yaml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6. 传输方式（-transport）</w:t>
      </w:r>
    </w:p>
    <w:p w14:paraId="4600A3F3">
      <w:r>
        <w:rPr>
          <w:rFonts w:ascii="Consolas" w:hAnsi="Consolas" w:eastAsia="Consolas" w:cs="Consolas"/>
          <w:shd w:val="clear" w:fill="f5f5f5"/>
        </w:rPr>
        <w:t>-transport</w:t>
      </w:r>
      <w:r>
        <w:rPr>
          <w:rFonts w:hint="eastAsia"/>
        </w:rPr>
        <w:t xml:space="preserve"> 默认值为 </w:t>
      </w:r>
      <w:r>
        <w:rPr>
          <w:rFonts w:ascii="Consolas" w:hAnsi="Consolas" w:eastAsia="Consolas" w:cs="Consolas"/>
          <w:shd w:val="clear" w:fill="f5f5f5"/>
        </w:rPr>
        <w:t>file</w:t>
      </w:r>
      <w:r>
        <w:rPr>
          <w:rFonts w:hint="eastAsia"/>
        </w:rPr>
        <w:t>。可用值：</w:t>
      </w:r>
      <w:r>
        <w:rPr>
          <w:rFonts w:ascii="Consolas" w:hAnsi="Consolas" w:eastAsia="Consolas" w:cs="Consolas"/>
          <w:shd w:val="clear" w:fill="f5f5f5"/>
        </w:rPr>
        <w:t>file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kafka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netcat</w:t>
      </w:r>
      <w:r>
        <w:rPr>
          <w:rFonts w:hint="eastAsia"/>
        </w:rPr>
        <w:t>。</w:t>
      </w:r>
    </w:p>
    <w:p w14:paraId="5F488C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文件 / stdout（file）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06D69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6EA5F5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618161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17C1005">
            <w:r>
              <w:t>-transport.file</w:t>
            </w:r>
          </w:p>
        </w:tc>
        <w:tc>
          <w:tcPr>
            <w:tcW w:w="2768" w:type="dxa"/>
            <w:vAlign w:val="center"/>
          </w:tcPr>
          <w:p w14:paraId="5A035E86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72C980AC">
            <w:r>
              <w:rPr>
                <w:rFonts w:hint="eastAsia"/>
              </w:rPr>
              <w:t>输出文件路径；留空则输出到 stdout</w:t>
            </w:r>
          </w:p>
        </w:tc>
      </w:tr>
      <w:tr>
        <w:trPr/>
        <w:tc>
          <w:tcPr>
            <w:tcW w:w="2768" w:type="dxa"/>
            <w:vAlign w:val="center"/>
          </w:tcPr>
          <w:p w14:paraId="15B67DFB">
            <w:r>
              <w:t>-transport.file.sep</w:t>
            </w:r>
          </w:p>
        </w:tc>
        <w:tc>
          <w:tcPr>
            <w:tcW w:w="2768" w:type="dxa"/>
            <w:vAlign w:val="center"/>
          </w:tcPr>
          <w:p w14:paraId="0C56DD3D">
            <w:r>
              <w:t>\n</w:t>
            </w:r>
          </w:p>
        </w:tc>
        <w:tc>
          <w:tcPr>
            <w:tcW w:w="2768" w:type="dxa"/>
            <w:vAlign w:val="center"/>
          </w:tcPr>
          <w:p w14:paraId="3BF5105C">
            <w:r>
              <w:rPr>
                <w:rFonts w:hint="eastAsia"/>
              </w:rPr>
              <w:t>行分隔符</w:t>
            </w:r>
          </w:p>
        </w:tc>
      </w:tr>
    </w:tbl>
    <w:p w14:paraId="60F533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16" name="文本框 ymeqf9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6E9703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输出到日志文件，方便对接 Loki / Splunk / Fluentd 等</w:t>
                        </w:r>
                      </w:p>
                      <w:p w14:paraId="1371F89C">
                        <w:pPr>
                          <w:jc w:val="left"/>
                        </w:pPr>
                        <w:r>
                          <w:t>./goflow2 -transport.file /var/logs/goflow2.log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b w:val="1"/>
          <w:sz w:val="32"/>
        </w:rPr>
        <w:t>6.2 Kafka</w:t>
      </w:r>
    </w:p>
    <w:p w14:paraId="552BDB0C">
      <w:r>
        <w:drawing>
          <wp:inline distT="0" distB="0" distL="0" distR="0">
            <wp:extent cx="5760720" cy="5760720"/>
            <wp:effectExtent l="0" t="0" r="0" b="0"/>
            <wp:docPr id="18" name="文本框 qhewqf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8349D63">
                        <w:pPr>
                          <w:jc w:val="left"/>
                        </w:pPr>
                        <w:r>
                          <w:t>./goflow2 -transport=kafka \</w:t>
                        </w:r>
                      </w:p>
                      <w:p w14:paraId="4986F8AE">
                        <w:pPr>
                          <w:jc w:val="left"/>
                        </w:pPr>
                        <w:r>
                          <w:t xml:space="preserve">  -transport.kafka.brokers=localhost:9092 \</w:t>
                        </w:r>
                      </w:p>
                      <w:p w14:paraId="529B9328">
                        <w:pPr>
                          <w:jc w:val="left"/>
                        </w:pPr>
                        <w:r>
                          <w:t xml:space="preserve">  -transport.kafka.topic=flows \</w:t>
                        </w:r>
                      </w:p>
                      <w:p w14:paraId="75B49BF6">
                        <w:pPr>
                          <w:jc w:val="left"/>
                        </w:pPr>
                        <w:r>
                          <w:t xml:space="preserve">  -format=bin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连接与 topic：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C03BB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651332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5C72E0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C4F995F">
            <w:r>
              <w:t>-transport.kafka.brokers</w:t>
            </w:r>
          </w:p>
        </w:tc>
        <w:tc>
          <w:tcPr>
            <w:tcW w:w="2768" w:type="dxa"/>
            <w:vAlign w:val="center"/>
          </w:tcPr>
          <w:p w14:paraId="3D81DE22">
            <w:r>
              <w:t>127.0.0.1:9092,[::1]:9092</w:t>
            </w:r>
          </w:p>
        </w:tc>
        <w:tc>
          <w:tcPr>
            <w:tcW w:w="2768" w:type="dxa"/>
            <w:vAlign w:val="center"/>
          </w:tcPr>
          <w:p w14:paraId="19139E3A">
            <w:r>
              <w:rPr>
                <w:rFonts w:hint="eastAsia"/>
              </w:rPr>
              <w:t>broker 列表，逗号分隔</w:t>
            </w:r>
          </w:p>
        </w:tc>
      </w:tr>
      <w:tr>
        <w:trPr/>
        <w:tc>
          <w:tcPr>
            <w:tcW w:w="2768" w:type="dxa"/>
            <w:vAlign w:val="center"/>
          </w:tcPr>
          <w:p w14:paraId="56E4229E">
            <w:r>
              <w:t>-transport.kafka.srv</w:t>
            </w:r>
          </w:p>
        </w:tc>
        <w:tc>
          <w:tcPr>
            <w:tcW w:w="2768" w:type="dxa"/>
            <w:vAlign w:val="center"/>
          </w:tcPr>
          <w:p w14:paraId="2B81F12E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2FDD5ADC">
            <w:r>
              <w:rPr>
                <w:rFonts w:hint="eastAsia"/>
              </w:rPr>
              <w:t>通过 SRV 记录解析 broker 列表（与 brokers 二选一）</w:t>
            </w:r>
          </w:p>
        </w:tc>
      </w:tr>
      <w:tr>
        <w:trPr/>
        <w:tc>
          <w:tcPr>
            <w:tcW w:w="2768" w:type="dxa"/>
            <w:vAlign w:val="center"/>
          </w:tcPr>
          <w:p w14:paraId="1803CE1E">
            <w:r>
              <w:t>-transport.kafka.topic</w:t>
            </w:r>
          </w:p>
        </w:tc>
        <w:tc>
          <w:tcPr>
            <w:tcW w:w="2768" w:type="dxa"/>
            <w:vAlign w:val="center"/>
          </w:tcPr>
          <w:p w14:paraId="67589769">
            <w:r>
              <w:t>flow-messages</w:t>
            </w:r>
          </w:p>
        </w:tc>
        <w:tc>
          <w:tcPr>
            <w:tcW w:w="2768" w:type="dxa"/>
            <w:vAlign w:val="center"/>
          </w:tcPr>
          <w:p w14:paraId="14A427D8">
            <w:r>
              <w:rPr>
                <w:rFonts w:hint="eastAsia"/>
              </w:rPr>
              <w:t>目标 topic</w:t>
            </w:r>
          </w:p>
        </w:tc>
      </w:tr>
      <w:tr>
        <w:trPr/>
        <w:tc>
          <w:tcPr>
            <w:tcW w:w="2768" w:type="dxa"/>
            <w:vAlign w:val="center"/>
          </w:tcPr>
          <w:p w14:paraId="453ECDB7">
            <w:r>
              <w:t>-transport.kafka.version</w:t>
            </w:r>
          </w:p>
        </w:tc>
        <w:tc>
          <w:tcPr>
            <w:tcW w:w="2768" w:type="dxa"/>
            <w:vAlign w:val="center"/>
          </w:tcPr>
          <w:p w14:paraId="11A57524">
            <w:r>
              <w:t>2.8.0</w:t>
            </w:r>
          </w:p>
        </w:tc>
        <w:tc>
          <w:tcPr>
            <w:tcW w:w="2768" w:type="dxa"/>
            <w:vAlign w:val="center"/>
          </w:tcPr>
          <w:p w14:paraId="477A602F">
            <w:r>
              <w:rPr>
                <w:rFonts w:hint="eastAsia"/>
              </w:rPr>
              <w:t>Kafka 版本</w:t>
            </w:r>
          </w:p>
        </w:tc>
      </w:tr>
      <w:tr>
        <w:trPr/>
        <w:tc>
          <w:tcPr>
            <w:tcW w:w="2768" w:type="dxa"/>
            <w:vAlign w:val="center"/>
          </w:tcPr>
          <w:p w14:paraId="77930B6B">
            <w:r>
              <w:t>-transport.kafka.hashing</w:t>
            </w:r>
          </w:p>
        </w:tc>
        <w:tc>
          <w:tcPr>
            <w:tcW w:w="2768" w:type="dxa"/>
            <w:vAlign w:val="center"/>
          </w:tcPr>
          <w:p w14:paraId="43ED0B1F">
            <w:r>
              <w:t>false</w:t>
            </w:r>
          </w:p>
        </w:tc>
        <w:tc>
          <w:tcPr>
            <w:tcW w:w="2768" w:type="dxa"/>
            <w:vAlign w:val="center"/>
          </w:tcPr>
          <w:p w14:paraId="324E2D5B">
            <w:r>
              <w:rPr>
                <w:rFonts w:hint="eastAsia"/>
              </w:rPr>
              <w:t>启用分区哈希</w:t>
            </w:r>
          </w:p>
        </w:tc>
      </w:tr>
    </w:tbl>
    <w:p w14:paraId="601EB9C7">
      <w:r>
        <w:rPr>
          <w:rFonts w:hint="eastAsia"/>
          <w:b w:val="1"/>
        </w:rPr>
        <w:t>批量与压缩：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B3E1D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7027D6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68B864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17C5082">
            <w:r>
              <w:t>-transport.kafka.maxmsgbytes</w:t>
            </w:r>
          </w:p>
        </w:tc>
        <w:tc>
          <w:tcPr>
            <w:tcW w:w="2768" w:type="dxa"/>
            <w:vAlign w:val="center"/>
          </w:tcPr>
          <w:p w14:paraId="217A280D">
            <w:r>
              <w:t>1000000</w:t>
            </w:r>
          </w:p>
        </w:tc>
        <w:tc>
          <w:tcPr>
            <w:tcW w:w="2768" w:type="dxa"/>
            <w:vAlign w:val="center"/>
          </w:tcPr>
          <w:p w14:paraId="75DAB9A4">
            <w:r>
              <w:rPr>
                <w:rFonts w:hint="eastAsia"/>
              </w:rPr>
              <w:t>单条消息最大字节数</w:t>
            </w:r>
          </w:p>
        </w:tc>
      </w:tr>
      <w:tr>
        <w:trPr/>
        <w:tc>
          <w:tcPr>
            <w:tcW w:w="2768" w:type="dxa"/>
            <w:vAlign w:val="center"/>
          </w:tcPr>
          <w:p w14:paraId="7877F04A">
            <w:r>
              <w:t>-transport.kafka.flushbytes</w:t>
            </w:r>
          </w:p>
        </w:tc>
        <w:tc>
          <w:tcPr>
            <w:tcW w:w="2768" w:type="dxa"/>
            <w:vAlign w:val="center"/>
          </w:tcPr>
          <w:p w14:paraId="3301C8EF">
            <w:r>
              <w:t>sarama.MaxRequestSize</w:t>
            </w:r>
          </w:p>
        </w:tc>
        <w:tc>
          <w:tcPr>
            <w:tcW w:w="2768" w:type="dxa"/>
            <w:vAlign w:val="center"/>
          </w:tcPr>
          <w:p w14:paraId="1EF38187">
            <w:r>
              <w:rPr>
                <w:rFonts w:hint="eastAsia"/>
              </w:rPr>
              <w:t>触发 flush 的字节阈值</w:t>
            </w:r>
          </w:p>
        </w:tc>
      </w:tr>
      <w:tr>
        <w:trPr/>
        <w:tc>
          <w:tcPr>
            <w:tcW w:w="2768" w:type="dxa"/>
            <w:vAlign w:val="center"/>
          </w:tcPr>
          <w:p w14:paraId="035D6632">
            <w:r>
              <w:t>-transport.kafka.flushfreq</w:t>
            </w:r>
          </w:p>
        </w:tc>
        <w:tc>
          <w:tcPr>
            <w:tcW w:w="2768" w:type="dxa"/>
            <w:vAlign w:val="center"/>
          </w:tcPr>
          <w:p w14:paraId="7B8137C8">
            <w:r>
              <w:t>5s</w:t>
            </w:r>
          </w:p>
        </w:tc>
        <w:tc>
          <w:tcPr>
            <w:tcW w:w="2768" w:type="dxa"/>
            <w:vAlign w:val="center"/>
          </w:tcPr>
          <w:p w14:paraId="00D7FECC">
            <w:r>
              <w:rPr>
                <w:rFonts w:hint="eastAsia"/>
              </w:rPr>
              <w:t>定时 flush 间隔</w:t>
            </w:r>
          </w:p>
        </w:tc>
      </w:tr>
      <w:tr>
        <w:trPr/>
        <w:tc>
          <w:tcPr>
            <w:tcW w:w="2768" w:type="dxa"/>
            <w:vAlign w:val="center"/>
          </w:tcPr>
          <w:p w14:paraId="29129A8B">
            <w:r>
              <w:t>-transport.kafka.compression</w:t>
            </w:r>
          </w:p>
        </w:tc>
        <w:tc>
          <w:tcPr>
            <w:tcW w:w="2768" w:type="dxa"/>
            <w:vAlign w:val="center"/>
          </w:tcPr>
          <w:p w14:paraId="275BA28F">
            <w:r>
              <w:rPr>
                <w:rFonts w:hint="eastAsia"/>
              </w:rPr>
              <w:t>空（不压缩）</w:t>
            </w:r>
          </w:p>
        </w:tc>
        <w:tc>
          <w:tcPr>
            <w:tcW w:w="2768" w:type="dxa"/>
            <w:vAlign w:val="center"/>
          </w:tcPr>
          <w:p w14:paraId="0BFC40CD">
            <w:r>
              <w:rPr>
                <w:rFonts w:hint="eastAsia"/>
              </w:rPr>
              <w:t>压缩算法，如 gzip、snappy、lz4、zstd</w:t>
            </w:r>
          </w:p>
        </w:tc>
      </w:tr>
    </w:tbl>
    <w:p w14:paraId="36033786">
      <w:pPr>
        <w:ind w:left="240"/>
      </w:pPr>
      <w:r>
        <w:rPr>
          <w:rFonts w:hint="eastAsia"/>
        </w:rPr>
        <w:t xml:space="preserve">分区默认随机，可在 formatter 中配置 </w:t>
      </w:r>
      <w:r>
        <w:rPr>
          <w:rFonts w:ascii="Consolas" w:hAnsi="Consolas" w:eastAsia="Consolas" w:cs="Consolas"/>
          <w:shd w:val="clear" w:fill="f5f5f5"/>
        </w:rPr>
        <w:t>key</w:t>
      </w:r>
      <w:r>
        <w:rPr>
          <w:rFonts w:hint="eastAsia"/>
        </w:rPr>
        <w:t xml:space="preserve"> 实现按字段分区（配合 hashing）。</w:t>
      </w:r>
    </w:p>
    <w:p w14:paraId="41732016">
      <w:r>
        <w:rPr>
          <w:rFonts w:hint="eastAsia"/>
          <w:b w:val="1"/>
        </w:rPr>
        <w:t>TLS：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6138E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510378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5624C6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15E0241">
            <w:r>
              <w:t>-transport.kafka.tls</w:t>
            </w:r>
          </w:p>
        </w:tc>
        <w:tc>
          <w:tcPr>
            <w:tcW w:w="2768" w:type="dxa"/>
            <w:vAlign w:val="center"/>
          </w:tcPr>
          <w:p w14:paraId="5DD602FC">
            <w:r>
              <w:t>false</w:t>
            </w:r>
          </w:p>
        </w:tc>
        <w:tc>
          <w:tcPr>
            <w:tcW w:w="2768" w:type="dxa"/>
            <w:vAlign w:val="center"/>
          </w:tcPr>
          <w:p w14:paraId="4A076B78">
            <w:r>
              <w:rPr>
                <w:rFonts w:hint="eastAsia"/>
              </w:rPr>
              <w:t>启用 TLS</w:t>
            </w:r>
          </w:p>
        </w:tc>
      </w:tr>
      <w:tr>
        <w:trPr/>
        <w:tc>
          <w:tcPr>
            <w:tcW w:w="2768" w:type="dxa"/>
            <w:vAlign w:val="center"/>
          </w:tcPr>
          <w:p w14:paraId="5894DA01">
            <w:r>
              <w:t>-transport.kafka.tls.ca</w:t>
            </w:r>
          </w:p>
        </w:tc>
        <w:tc>
          <w:tcPr>
            <w:tcW w:w="2768" w:type="dxa"/>
            <w:vAlign w:val="center"/>
          </w:tcPr>
          <w:p w14:paraId="3FF8C8BC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4FFBF032">
            <w:r>
              <w:rPr>
                <w:rFonts w:hint="eastAsia"/>
              </w:rPr>
              <w:t>CA 证书路径</w:t>
            </w:r>
          </w:p>
        </w:tc>
      </w:tr>
      <w:tr>
        <w:trPr/>
        <w:tc>
          <w:tcPr>
            <w:tcW w:w="2768" w:type="dxa"/>
            <w:vAlign w:val="center"/>
          </w:tcPr>
          <w:p w14:paraId="556D2F40">
            <w:r>
              <w:t>-transport.kafka.tls.client</w:t>
            </w:r>
          </w:p>
        </w:tc>
        <w:tc>
          <w:tcPr>
            <w:tcW w:w="2768" w:type="dxa"/>
            <w:vAlign w:val="center"/>
          </w:tcPr>
          <w:p w14:paraId="28C8C7CC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06BFBFB1">
            <w:r>
              <w:rPr>
                <w:rFonts w:hint="eastAsia"/>
              </w:rPr>
              <w:t>客户端证书</w:t>
            </w:r>
          </w:p>
        </w:tc>
      </w:tr>
      <w:tr>
        <w:trPr/>
        <w:tc>
          <w:tcPr>
            <w:tcW w:w="2768" w:type="dxa"/>
            <w:vAlign w:val="center"/>
          </w:tcPr>
          <w:p w14:paraId="36812518">
            <w:r>
              <w:t>-transport.kafka.tls.key</w:t>
            </w:r>
          </w:p>
        </w:tc>
        <w:tc>
          <w:tcPr>
            <w:tcW w:w="2768" w:type="dxa"/>
            <w:vAlign w:val="center"/>
          </w:tcPr>
          <w:p w14:paraId="0B2A8D84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58DA8A07">
            <w:r>
              <w:rPr>
                <w:rFonts w:hint="eastAsia"/>
              </w:rPr>
              <w:t>客户端私钥</w:t>
            </w:r>
          </w:p>
        </w:tc>
      </w:tr>
      <w:tr>
        <w:trPr/>
        <w:tc>
          <w:tcPr>
            <w:tcW w:w="2768" w:type="dxa"/>
            <w:vAlign w:val="center"/>
          </w:tcPr>
          <w:p w14:paraId="21812A48">
            <w:r>
              <w:t>-transport.kafka.tls.insecure</w:t>
            </w:r>
          </w:p>
        </w:tc>
        <w:tc>
          <w:tcPr>
            <w:tcW w:w="2768" w:type="dxa"/>
            <w:vAlign w:val="center"/>
          </w:tcPr>
          <w:p w14:paraId="7D011AC5">
            <w:r>
              <w:t>false</w:t>
            </w:r>
          </w:p>
        </w:tc>
        <w:tc>
          <w:tcPr>
            <w:tcW w:w="2768" w:type="dxa"/>
            <w:vAlign w:val="center"/>
          </w:tcPr>
          <w:p w14:paraId="41AFDD7F">
            <w:r>
              <w:rPr>
                <w:rFonts w:hint="eastAsia"/>
              </w:rPr>
              <w:t>跳过 TLS 校验</w:t>
            </w:r>
          </w:p>
        </w:tc>
      </w:tr>
    </w:tbl>
    <w:p w14:paraId="581DCE9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Netcat（TCP 推流）</w:t>
      </w:r>
    </w:p>
    <w:p w14:paraId="1C811E88">
      <w:r>
        <w:drawing>
          <wp:inline distT="0" distB="0" distL="0" distR="0">
            <wp:extent cx="5760720" cy="5760720"/>
            <wp:effectExtent l="0" t="0" r="0" b="0"/>
            <wp:docPr id="20" name="文本框 iffkx0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78ED62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多目标负载分担（round-robin，每条记录只发往一个目标）</w:t>
                        </w:r>
                      </w:p>
                      <w:p w14:paraId="271EBDC6">
                        <w:pPr>
                          <w:jc w:val="left"/>
                        </w:pPr>
                        <w:r>
                          <w:t>goflow2 -listen sflow://:6343 -format json -transport netcat \</w:t>
                        </w:r>
                      </w:p>
                      <w:p w14:paraId="6A02A857">
                        <w:pPr>
                          <w:jc w:val="left"/>
                        </w:pPr>
                        <w:r>
                          <w:t xml:space="preserve">  -transport.netcat.targets 10.0.0.1:9001,10.0.0.2:9001,10.0.0.3:9001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3EC78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2CF2E7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23CA17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5CDF14E">
            <w:r>
              <w:t>-transport.netcat.targets</w:t>
            </w:r>
          </w:p>
        </w:tc>
        <w:tc>
          <w:tcPr>
            <w:tcW w:w="2768" w:type="dxa"/>
            <w:vAlign w:val="center"/>
          </w:tcPr>
          <w:p w14:paraId="4A31BC5F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033C64E2">
            <w:r>
              <w:rPr>
                <w:rFonts w:hint="eastAsia"/>
              </w:rPr>
              <w:t>目标地址列表，逗号分隔 host:port</w:t>
            </w:r>
          </w:p>
        </w:tc>
      </w:tr>
      <w:tr>
        <w:trPr/>
        <w:tc>
          <w:tcPr>
            <w:tcW w:w="2768" w:type="dxa"/>
            <w:vAlign w:val="center"/>
          </w:tcPr>
          <w:p w14:paraId="5E011385">
            <w:r>
              <w:t>-transport.netcat.sep</w:t>
            </w:r>
          </w:p>
        </w:tc>
        <w:tc>
          <w:tcPr>
            <w:tcW w:w="2768" w:type="dxa"/>
            <w:vAlign w:val="center"/>
          </w:tcPr>
          <w:p w14:paraId="55DCE2B7">
            <w:r>
              <w:t>\n</w:t>
            </w:r>
          </w:p>
        </w:tc>
        <w:tc>
          <w:tcPr>
            <w:tcW w:w="2768" w:type="dxa"/>
            <w:vAlign w:val="center"/>
          </w:tcPr>
          <w:p w14:paraId="002B8C92">
            <w:r>
              <w:rPr>
                <w:rFonts w:hint="eastAsia"/>
              </w:rPr>
              <w:t>行结束符</w:t>
            </w:r>
          </w:p>
        </w:tc>
      </w:tr>
      <w:tr>
        <w:trPr/>
        <w:tc>
          <w:tcPr>
            <w:tcW w:w="2768" w:type="dxa"/>
            <w:vAlign w:val="center"/>
          </w:tcPr>
          <w:p w14:paraId="6B4850C4">
            <w:r>
              <w:t>-transport.netcat.dial.timeout</w:t>
            </w:r>
          </w:p>
        </w:tc>
        <w:tc>
          <w:tcPr>
            <w:tcW w:w="2768" w:type="dxa"/>
            <w:vAlign w:val="center"/>
          </w:tcPr>
          <w:p w14:paraId="622CC74A">
            <w:r>
              <w:t>3s</w:t>
            </w:r>
          </w:p>
        </w:tc>
        <w:tc>
          <w:tcPr>
            <w:tcW w:w="2768" w:type="dxa"/>
            <w:vAlign w:val="center"/>
          </w:tcPr>
          <w:p w14:paraId="1D5C67AC">
            <w:r>
              <w:rPr>
                <w:rFonts w:hint="eastAsia"/>
              </w:rPr>
              <w:t>拨号超时</w:t>
            </w:r>
          </w:p>
        </w:tc>
      </w:tr>
      <w:tr>
        <w:trPr/>
        <w:tc>
          <w:tcPr>
            <w:tcW w:w="2768" w:type="dxa"/>
            <w:vAlign w:val="center"/>
          </w:tcPr>
          <w:p w14:paraId="32C83DF1">
            <w:r>
              <w:t>-transport.netcat.reconnect.interval</w:t>
            </w:r>
          </w:p>
        </w:tc>
        <w:tc>
          <w:tcPr>
            <w:tcW w:w="2768" w:type="dxa"/>
            <w:vAlign w:val="center"/>
          </w:tcPr>
          <w:p w14:paraId="29F3412B">
            <w:r>
              <w:t>3s</w:t>
            </w:r>
          </w:p>
        </w:tc>
        <w:tc>
          <w:tcPr>
            <w:tcW w:w="2768" w:type="dxa"/>
            <w:vAlign w:val="center"/>
          </w:tcPr>
          <w:p w14:paraId="27CA1D27">
            <w:r>
              <w:rPr>
                <w:rFonts w:hint="eastAsia"/>
              </w:rPr>
              <w:t>断线重连间隔</w:t>
            </w:r>
          </w:p>
        </w:tc>
      </w:tr>
      <w:tr>
        <w:trPr/>
        <w:tc>
          <w:tcPr>
            <w:tcW w:w="2768" w:type="dxa"/>
            <w:vAlign w:val="center"/>
          </w:tcPr>
          <w:p w14:paraId="367CA85B">
            <w:r>
              <w:t>-transport.netcat.queue</w:t>
            </w:r>
          </w:p>
        </w:tc>
        <w:tc>
          <w:tcPr>
            <w:tcW w:w="2768" w:type="dxa"/>
            <w:vAlign w:val="center"/>
          </w:tcPr>
          <w:p w14:paraId="612E92B6">
            <w:r>
              <w:t>1024</w:t>
            </w:r>
          </w:p>
        </w:tc>
        <w:tc>
          <w:tcPr>
            <w:tcW w:w="2768" w:type="dxa"/>
            <w:vAlign w:val="center"/>
          </w:tcPr>
          <w:p w14:paraId="7137CD20">
            <w:r>
              <w:rPr>
                <w:rFonts w:hint="eastAsia"/>
              </w:rPr>
              <w:t>每目标队列深度</w:t>
            </w:r>
          </w:p>
        </w:tc>
      </w:tr>
      <w:tr>
        <w:trPr/>
        <w:tc>
          <w:tcPr>
            <w:tcW w:w="2768" w:type="dxa"/>
            <w:vAlign w:val="center"/>
          </w:tcPr>
          <w:p w14:paraId="6DB17486">
            <w:r>
              <w:t>-transport.netcat.drop</w:t>
            </w:r>
          </w:p>
        </w:tc>
        <w:tc>
          <w:tcPr>
            <w:tcW w:w="2768" w:type="dxa"/>
            <w:vAlign w:val="center"/>
          </w:tcPr>
          <w:p w14:paraId="1848E691">
            <w:r>
              <w:t>true</w:t>
            </w:r>
          </w:p>
        </w:tc>
        <w:tc>
          <w:tcPr>
            <w:tcW w:w="2768" w:type="dxa"/>
            <w:vAlign w:val="center"/>
          </w:tcPr>
          <w:p w14:paraId="222596C7">
            <w:r>
              <w:rPr>
                <w:rFonts w:hint="eastAsia"/>
              </w:rPr>
              <w:t>队列满时丢弃新数据；false 时阻塞 Send（背压）</w:t>
            </w:r>
          </w:p>
        </w:tc>
      </w:tr>
    </w:tbl>
    <w:p w14:paraId="5C6C9FBC">
      <w:r>
        <w:rPr>
          <w:rFonts w:hint="eastAsia"/>
          <w:b w:val="1"/>
        </w:rPr>
        <w:t>高吞吐实现要点：</w:t>
      </w:r>
      <w:r>
        <w:rPr>
          <w:rFonts w:hint="eastAsia"/>
        </w:rPr>
        <w:t xml:space="preserve"> Send 采用原子计数 round-robin 选目标并做非阻塞入队，producer 不等待网络 I/O；每个目标由独立 writer goroutine 维护连接与重连，多目标即多条并行 TCP 连接分摊流量。</w:t>
      </w:r>
    </w:p>
    <w:p w14:paraId="355809D1">
      <w:r>
        <w:rPr>
          <w:rFonts w:hint="eastAsia"/>
          <w:b w:val="1"/>
        </w:rPr>
        <w:t>关于背压：</w:t>
      </w:r>
      <w:r>
        <w:rPr>
          <w:rFonts w:ascii="Consolas" w:hAnsi="Consolas" w:eastAsia="Consolas" w:cs="Consolas"/>
          <w:shd w:val="clear" w:fill="f5f5f5"/>
        </w:rPr>
        <w:t>drop=false</w:t>
      </w:r>
      <w:r>
        <w:rPr>
          <w:rFonts w:hint="eastAsia"/>
        </w:rPr>
        <w:t xml:space="preserve"> 时队列满会阻塞 Send，背压将逐级上溯（Send → formatSend → DecodeFlow → 解码 worker → dispatch 队列）。由于 UDP 无流控，压力最终仍会以丢包形式释放：</w:t>
      </w:r>
      <w:r>
        <w:rPr>
          <w:rFonts w:ascii="Consolas" w:hAnsi="Consolas" w:eastAsia="Consolas" w:cs="Consolas"/>
          <w:shd w:val="clear" w:fill="f5f5f5"/>
        </w:rPr>
        <w:t>blocking=false</w:t>
      </w:r>
      <w:r>
        <w:rPr>
          <w:rFonts w:hint="eastAsia"/>
        </w:rPr>
        <w:t xml:space="preserve"> 时丢在 dispatch 入队处（有 Prometheus 指标）；</w:t>
      </w:r>
      <w:r>
        <w:rPr>
          <w:rFonts w:ascii="Consolas" w:hAnsi="Consolas" w:eastAsia="Consolas" w:cs="Consolas"/>
          <w:shd w:val="clear" w:fill="f5f5f5"/>
        </w:rPr>
        <w:t>blocking=true</w:t>
      </w:r>
      <w:r>
        <w:rPr>
          <w:rFonts w:hint="eastAsia"/>
        </w:rPr>
        <w:t xml:space="preserve"> 时丢在内核 UDP 缓冲区（不可见）。真正的“不丢数据”需要下游消费能力 ≥ 生产速率。</w:t>
      </w:r>
    </w:p>
    <w:p w14:paraId="625DDAF4">
      <w:r>
        <w:rPr>
          <w:rFonts w:hint="eastAsia"/>
          <w:b w:val="1"/>
        </w:rPr>
        <w:t>性能调优建议：</w:t>
      </w:r>
      <w:r>
        <w:rPr>
          <w:rFonts w:hint="eastAsia"/>
        </w:rPr>
        <w:t xml:space="preserve"> 低延迟场景用 queue=256 且 drop=true；高吞吐场景用 queue=4096；不允许丢数据时设 drop=false（背压模式）。</w:t>
      </w:r>
    </w:p>
    <w:p w14:paraId="6CF7C8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Kafka Kerberos 认证</w:t>
      </w:r>
    </w:p>
    <w:p w14:paraId="0395767E">
      <w:r>
        <w:rPr>
          <w:rFonts w:hint="eastAsia"/>
        </w:rPr>
        <w:t>在启用 Kerberos 的 Kafka 集群中，使用 GSSAPI 认证（</w:t>
      </w:r>
      <w:r>
        <w:rPr>
          <w:rFonts w:ascii="Consolas" w:hAnsi="Consolas" w:eastAsia="Consolas" w:cs="Consolas"/>
          <w:shd w:val="clear" w:fill="f5f5f5"/>
        </w:rPr>
        <w:t>-transport.kafka.sasl gssapi</w:t>
      </w:r>
      <w:r>
        <w:rPr>
          <w:rFonts w:hint="eastAsia"/>
        </w:rPr>
        <w:t>）：</w:t>
      </w:r>
    </w:p>
    <w:p w14:paraId="1AEFB8A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2" name="文本框 139wel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47B39B6">
                        <w:pPr>
                          <w:jc w:val="left"/>
                        </w:pPr>
                        <w:r>
                          <w:t>goflow2 -listen sflow://:6343 -format json -transport kafka \</w:t>
                        </w:r>
                      </w:p>
                      <w:p w14:paraId="754F8A7F">
                        <w:pPr>
                          <w:jc w:val="left"/>
                        </w:pPr>
                        <w:r>
                          <w:t xml:space="preserve">  -transport.kafka.brokers kafka-1.example.com:9093 \</w:t>
                        </w:r>
                      </w:p>
                      <w:p w14:paraId="4AA916FB">
                        <w:pPr>
                          <w:jc w:val="left"/>
                        </w:pPr>
                        <w:r>
                          <w:t xml:space="preserve">  -transport.kafka.tls \</w:t>
                        </w:r>
                      </w:p>
                      <w:p w14:paraId="549EE931">
                        <w:pPr>
                          <w:jc w:val="left"/>
                        </w:pPr>
                        <w:r>
                          <w:t xml:space="preserve">  -transport.kafka.tls.ca /etc/kafka/ca.pem \</w:t>
                        </w:r>
                      </w:p>
                      <w:p w14:paraId="3F95F38D">
                        <w:pPr>
                          <w:jc w:val="left"/>
                        </w:pPr>
                        <w:r>
                          <w:t xml:space="preserve">  -transport.kafka.sasl gssapi \</w:t>
                        </w:r>
                      </w:p>
                      <w:p w14:paraId="437EC8F2">
                        <w:pPr>
                          <w:jc w:val="left"/>
                        </w:pPr>
                        <w:r>
                          <w:t xml:space="preserve">  -transport.kafka.sasl.kerberos.username goflow2 \</w:t>
                        </w:r>
                      </w:p>
                      <w:p w14:paraId="2B2CCCF9">
                        <w:pPr>
                          <w:jc w:val="left"/>
                        </w:pPr>
                        <w:r>
                          <w:t xml:space="preserve">  -transport.kafka.sasl.kerberos.keytab /etc/krb5/goflow2.keytab \</w:t>
                        </w:r>
                      </w:p>
                      <w:p w14:paraId="69B1DDBB">
                        <w:pPr>
                          <w:jc w:val="left"/>
                        </w:pPr>
                        <w:r>
                          <w:t xml:space="preserve">  -transport.kafka.sasl.kerberos.realm EXAMPLE.COM \</w:t>
                        </w:r>
                      </w:p>
                      <w:p w14:paraId="0EACFC5B">
                        <w:pPr>
                          <w:jc w:val="left"/>
                        </w:pPr>
                        <w:r>
                          <w:t xml:space="preserve">  -transport.kafka.sasl.kerberos.service-name kafka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7.1 SASL 算法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3F721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参数值</w:t>
            </w:r>
          </w:p>
        </w:tc>
        <w:tc>
          <w:tcPr>
            <w:tcW w:w="2768" w:type="dxa"/>
            <w:vAlign w:val="center"/>
          </w:tcPr>
          <w:p w14:paraId="695806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认证方式</w:t>
            </w:r>
          </w:p>
        </w:tc>
        <w:tc>
          <w:tcPr>
            <w:tcW w:w="2768" w:type="dxa"/>
            <w:vAlign w:val="center"/>
          </w:tcPr>
          <w:p w14:paraId="1C0155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凭证来源</w:t>
            </w:r>
          </w:p>
        </w:tc>
      </w:tr>
      <w:tr>
        <w:trPr/>
        <w:tc>
          <w:tcPr>
            <w:tcW w:w="2768" w:type="dxa"/>
            <w:vAlign w:val="center"/>
          </w:tcPr>
          <w:p w14:paraId="6181FCBE">
            <w:r>
              <w:t>none</w:t>
            </w:r>
          </w:p>
        </w:tc>
        <w:tc>
          <w:tcPr>
            <w:tcW w:w="2768" w:type="dxa"/>
            <w:vAlign w:val="center"/>
          </w:tcPr>
          <w:p w14:paraId="71912324">
            <w:r>
              <w:rPr>
                <w:rFonts w:hint="eastAsia"/>
              </w:rPr>
              <w:t>无认证（默认）</w:t>
            </w:r>
          </w:p>
        </w:tc>
        <w:tc>
          <w:tcPr>
            <w:tcW w:w="2768" w:type="dxa"/>
            <w:vAlign w:val="center"/>
          </w:tcPr>
          <w:p w14:paraId="5A2C9A60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4C4BD3F4">
            <w:r>
              <w:t>plain</w:t>
            </w:r>
          </w:p>
        </w:tc>
        <w:tc>
          <w:tcPr>
            <w:tcW w:w="2768" w:type="dxa"/>
            <w:vAlign w:val="center"/>
          </w:tcPr>
          <w:p w14:paraId="7A332B4C">
            <w:r>
              <w:rPr>
                <w:rFonts w:hint="eastAsia"/>
              </w:rPr>
              <w:t>用户名 / 密码</w:t>
            </w:r>
          </w:p>
        </w:tc>
        <w:tc>
          <w:tcPr>
            <w:tcW w:w="2768" w:type="dxa"/>
            <w:vAlign w:val="center"/>
          </w:tcPr>
          <w:p w14:paraId="258770F9">
            <w:r>
              <w:rPr>
                <w:rFonts w:hint="eastAsia"/>
              </w:rPr>
              <w:t>环境变量 KAFKA_SASL_USER / KAFKA_SASL_PASS</w:t>
            </w:r>
          </w:p>
        </w:tc>
      </w:tr>
      <w:tr>
        <w:trPr/>
        <w:tc>
          <w:tcPr>
            <w:tcW w:w="2768" w:type="dxa"/>
            <w:vAlign w:val="center"/>
          </w:tcPr>
          <w:p w14:paraId="78C80F90">
            <w:r>
              <w:t>scram-sha256</w:t>
            </w:r>
          </w:p>
        </w:tc>
        <w:tc>
          <w:tcPr>
            <w:tcW w:w="2768" w:type="dxa"/>
            <w:vAlign w:val="center"/>
          </w:tcPr>
          <w:p w14:paraId="3F13162E">
            <w:r>
              <w:t>SCRAM-SHA-256</w:t>
            </w:r>
          </w:p>
        </w:tc>
        <w:tc>
          <w:tcPr>
            <w:tcW w:w="2768" w:type="dxa"/>
            <w:vAlign w:val="center"/>
          </w:tcPr>
          <w:p w14:paraId="26FBA8EC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  <w:vAlign w:val="center"/>
          </w:tcPr>
          <w:p w14:paraId="7D02DDC5">
            <w:r>
              <w:t>scram-sha512</w:t>
            </w:r>
          </w:p>
        </w:tc>
        <w:tc>
          <w:tcPr>
            <w:tcW w:w="2768" w:type="dxa"/>
            <w:vAlign w:val="center"/>
          </w:tcPr>
          <w:p w14:paraId="304872DE">
            <w:r>
              <w:t>SCRAM-SHA-512</w:t>
            </w:r>
          </w:p>
        </w:tc>
        <w:tc>
          <w:tcPr>
            <w:tcW w:w="2768" w:type="dxa"/>
            <w:vAlign w:val="center"/>
          </w:tcPr>
          <w:p w14:paraId="3B6C80E0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  <w:vAlign w:val="center"/>
          </w:tcPr>
          <w:p w14:paraId="4B073B16">
            <w:r>
              <w:t>gssapi</w:t>
            </w:r>
          </w:p>
        </w:tc>
        <w:tc>
          <w:tcPr>
            <w:tcW w:w="2768" w:type="dxa"/>
            <w:vAlign w:val="center"/>
          </w:tcPr>
          <w:p w14:paraId="096D828F">
            <w:r>
              <w:t>Kerberos (GSSAPI)</w:t>
            </w:r>
          </w:p>
        </w:tc>
        <w:tc>
          <w:tcPr>
            <w:tcW w:w="2768" w:type="dxa"/>
            <w:vAlign w:val="center"/>
          </w:tcPr>
          <w:p w14:paraId="44F17064">
            <w:r>
              <w:rPr>
                <w:rFonts w:hint="eastAsia"/>
              </w:rPr>
              <w:t>keytab 文件</w:t>
            </w:r>
          </w:p>
        </w:tc>
      </w:tr>
    </w:tbl>
    <w:p w14:paraId="02834D5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Kerberos 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0DE4A8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  <w:vAlign w:val="center"/>
          </w:tcPr>
          <w:p w14:paraId="74D8EE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  <w:vAlign w:val="center"/>
          </w:tcPr>
          <w:p w14:paraId="1DFA60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076" w:type="dxa"/>
            <w:vAlign w:val="center"/>
          </w:tcPr>
          <w:p w14:paraId="04DDD6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  <w:vAlign w:val="center"/>
          </w:tcPr>
          <w:p w14:paraId="0BEDD1B5">
            <w:r>
              <w:t>-transport.kafka.sasl.kerberos.username</w:t>
            </w:r>
          </w:p>
        </w:tc>
        <w:tc>
          <w:tcPr>
            <w:tcW w:w="2076" w:type="dxa"/>
            <w:vAlign w:val="center"/>
          </w:tcPr>
          <w:p w14:paraId="55359C1B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  <w:vAlign w:val="center"/>
          </w:tcPr>
          <w:p w14:paraId="3E91196C">
            <w:r>
              <w:rPr>
                <w:rFonts w:hint="eastAsia"/>
              </w:rPr>
              <w:t>空</w:t>
            </w:r>
          </w:p>
        </w:tc>
        <w:tc>
          <w:tcPr>
            <w:tcW w:w="2076" w:type="dxa"/>
            <w:vAlign w:val="center"/>
          </w:tcPr>
          <w:p w14:paraId="52F10AB1">
            <w:r>
              <w:rPr>
                <w:rFonts w:hint="eastAsia"/>
              </w:rPr>
              <w:t>客户端 principal（不含 realm），如 goflow2</w:t>
            </w:r>
          </w:p>
        </w:tc>
      </w:tr>
      <w:tr>
        <w:trPr/>
        <w:tc>
          <w:tcPr>
            <w:tcW w:w="2076" w:type="dxa"/>
            <w:vAlign w:val="center"/>
          </w:tcPr>
          <w:p w14:paraId="1B81469E">
            <w:r>
              <w:t>-transport.kafka.sasl.kerberos.keytab</w:t>
            </w:r>
          </w:p>
        </w:tc>
        <w:tc>
          <w:tcPr>
            <w:tcW w:w="2076" w:type="dxa"/>
            <w:vAlign w:val="center"/>
          </w:tcPr>
          <w:p w14:paraId="6666282D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  <w:vAlign w:val="center"/>
          </w:tcPr>
          <w:p w14:paraId="4CDDF77B">
            <w:r>
              <w:rPr>
                <w:rFonts w:hint="eastAsia"/>
              </w:rPr>
              <w:t>空</w:t>
            </w:r>
          </w:p>
        </w:tc>
        <w:tc>
          <w:tcPr>
            <w:tcW w:w="2076" w:type="dxa"/>
            <w:vAlign w:val="center"/>
          </w:tcPr>
          <w:p w14:paraId="45F49035">
            <w:r>
              <w:rPr>
                <w:rFonts w:hint="eastAsia"/>
              </w:rPr>
              <w:t>keytab 文件路径</w:t>
            </w:r>
          </w:p>
        </w:tc>
      </w:tr>
      <w:tr>
        <w:trPr/>
        <w:tc>
          <w:tcPr>
            <w:tcW w:w="2076" w:type="dxa"/>
            <w:vAlign w:val="center"/>
          </w:tcPr>
          <w:p w14:paraId="6071011B">
            <w:r>
              <w:t>-transport.kafka.sasl.kerberos.realm</w:t>
            </w:r>
          </w:p>
        </w:tc>
        <w:tc>
          <w:tcPr>
            <w:tcW w:w="2076" w:type="dxa"/>
            <w:vAlign w:val="center"/>
          </w:tcPr>
          <w:p w14:paraId="4EAC9CAD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  <w:vAlign w:val="center"/>
          </w:tcPr>
          <w:p w14:paraId="15C85AF0">
            <w:r>
              <w:rPr>
                <w:rFonts w:hint="eastAsia"/>
              </w:rPr>
              <w:t>空</w:t>
            </w:r>
          </w:p>
        </w:tc>
        <w:tc>
          <w:tcPr>
            <w:tcW w:w="2076" w:type="dxa"/>
            <w:vAlign w:val="center"/>
          </w:tcPr>
          <w:p w14:paraId="206A232D">
            <w:r>
              <w:rPr>
                <w:rFonts w:hint="eastAsia"/>
              </w:rPr>
              <w:t>Kerberos realm，如 EXAMPLE.COM</w:t>
            </w:r>
          </w:p>
        </w:tc>
      </w:tr>
      <w:tr>
        <w:trPr/>
        <w:tc>
          <w:tcPr>
            <w:tcW w:w="2076" w:type="dxa"/>
            <w:vAlign w:val="center"/>
          </w:tcPr>
          <w:p w14:paraId="1D817F9C">
            <w:r>
              <w:t>-transport.kafka.sasl.kerberos.service-name</w:t>
            </w:r>
          </w:p>
        </w:tc>
        <w:tc>
          <w:tcPr>
            <w:tcW w:w="2076" w:type="dxa"/>
            <w:vAlign w:val="center"/>
          </w:tcPr>
          <w:p w14:paraId="78262728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4CAE6FB7">
            <w:r>
              <w:t>kafka</w:t>
            </w:r>
          </w:p>
        </w:tc>
        <w:tc>
          <w:tcPr>
            <w:tcW w:w="2076" w:type="dxa"/>
            <w:vAlign w:val="center"/>
          </w:tcPr>
          <w:p w14:paraId="0ED83610">
            <w:r>
              <w:rPr>
                <w:rFonts w:hint="eastAsia"/>
              </w:rPr>
              <w:t>Kafka 服务名（SPN 前缀）</w:t>
            </w:r>
          </w:p>
        </w:tc>
      </w:tr>
      <w:tr>
        <w:trPr/>
        <w:tc>
          <w:tcPr>
            <w:tcW w:w="2076" w:type="dxa"/>
            <w:vAlign w:val="center"/>
          </w:tcPr>
          <w:p w14:paraId="365A8BB3">
            <w:r>
              <w:t>-transport.kafka.sasl.kerberos.config</w:t>
            </w:r>
          </w:p>
        </w:tc>
        <w:tc>
          <w:tcPr>
            <w:tcW w:w="2076" w:type="dxa"/>
            <w:vAlign w:val="center"/>
          </w:tcPr>
          <w:p w14:paraId="78EC63D6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  <w:vAlign w:val="center"/>
          </w:tcPr>
          <w:p w14:paraId="46483227">
            <w:r>
              <w:rPr>
                <w:rFonts w:hint="eastAsia"/>
              </w:rPr>
              <w:t>空</w:t>
            </w:r>
          </w:p>
        </w:tc>
        <w:tc>
          <w:tcPr>
            <w:tcW w:w="2076" w:type="dxa"/>
            <w:vAlign w:val="center"/>
          </w:tcPr>
          <w:p w14:paraId="722A1E46">
            <w:r>
              <w:rPr>
                <w:rFonts w:hint="eastAsia"/>
              </w:rPr>
              <w:t>krb5.conf 路径；为空时依次读 KRB5_CONFIG 环境变量、/etc/krb5.conf，两者都不存在则启动报错</w:t>
            </w:r>
          </w:p>
        </w:tc>
      </w:tr>
      <w:tr>
        <w:trPr/>
        <w:tc>
          <w:tcPr>
            <w:tcW w:w="2076" w:type="dxa"/>
            <w:vAlign w:val="center"/>
          </w:tcPr>
          <w:p w14:paraId="16B6BC0F">
            <w:r>
              <w:t>-transport.kafka.sasl.kerberos.disable-paf-x-fast</w:t>
            </w:r>
          </w:p>
        </w:tc>
        <w:tc>
          <w:tcPr>
            <w:tcW w:w="2076" w:type="dxa"/>
            <w:vAlign w:val="center"/>
          </w:tcPr>
          <w:p w14:paraId="7C10FB91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40912BE4">
            <w:r>
              <w:t>false</w:t>
            </w:r>
          </w:p>
        </w:tc>
        <w:tc>
          <w:tcPr>
            <w:tcW w:w="2076" w:type="dxa"/>
            <w:vAlign w:val="center"/>
          </w:tcPr>
          <w:p w14:paraId="36DBF94E">
            <w:r>
              <w:rPr>
                <w:rFonts w:hint="eastAsia"/>
              </w:rPr>
              <w:t>禁用 PA-FX-FAST（兼容旧版 KDC）</w:t>
            </w:r>
          </w:p>
        </w:tc>
      </w:tr>
    </w:tbl>
    <w:p w14:paraId="46D8C1D0">
      <w:r>
        <w:rPr>
          <w:rFonts w:hint="eastAsia"/>
          <w:b w:val="1"/>
        </w:rPr>
        <w:t>前提条件：</w:t>
      </w:r>
    </w:p>
    <w:p w14:paraId="3F91669C">
      <w:pPr>
        <w:numPr>
          <w:ilvl w:val="0"/>
          <w:numId w:val="2"/>
        </w:numPr>
      </w:pPr>
      <w:r>
        <w:rPr>
          <w:rFonts w:hint="eastAsia"/>
        </w:rPr>
        <w:t>Broker 地址必须使用 FQDN（SPN 为 kafka/broker_fqdn@REALM）</w:t>
      </w:r>
    </w:p>
    <w:p w14:paraId="4B81EBFC">
      <w:pPr>
        <w:numPr>
          <w:ilvl w:val="0"/>
          <w:numId w:val="2"/>
        </w:numPr>
      </w:pPr>
      <w:r>
        <w:rPr>
          <w:rFonts w:hint="eastAsia"/>
        </w:rPr>
        <w:t>keytab 中包含客户端 principal 密钥，命名规范为 goflow2@REALM</w:t>
      </w:r>
    </w:p>
    <w:p w14:paraId="6906AD1B">
      <w:pPr>
        <w:numPr>
          <w:ilvl w:val="0"/>
          <w:numId w:val="2"/>
        </w:numPr>
      </w:pPr>
      <w:r>
        <w:rPr>
          <w:rFonts w:hint="eastAsia"/>
        </w:rPr>
        <w:t>网络可达 KDC 的 88 端口与 broker 的 9093 端口</w:t>
      </w:r>
    </w:p>
    <w:p w14:paraId="50256D21">
      <w:r>
        <w:rPr>
          <w:rFonts w:hint="eastAsia"/>
          <w:b w:val="1"/>
        </w:rPr>
        <w:t>验证：</w:t>
      </w:r>
    </w:p>
    <w:p w14:paraId="2CC856F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4" name="文本框 398pm9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A796B2D">
                        <w:pPr>
                          <w:jc w:val="left"/>
                        </w:pPr>
                        <w:r>
                          <w:t>klist -kte /etc/krb5/goflow2.keytab</w:t>
                        </w:r>
                      </w:p>
                      <w:p w14:paraId="7D5E316B">
                        <w:pPr>
                          <w:jc w:val="left"/>
                        </w:pPr>
                        <w:r>
                          <w:t>kinit goflow2 -k -t /etc/krb5/goflow2.keytab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8. 通用运行参数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BECF8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3CEA0F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3B03AF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06CCF76">
            <w:r>
              <w:t>-loglevel</w:t>
            </w:r>
          </w:p>
        </w:tc>
        <w:tc>
          <w:tcPr>
            <w:tcW w:w="2768" w:type="dxa"/>
            <w:vAlign w:val="center"/>
          </w:tcPr>
          <w:p w14:paraId="5BDD7EE1">
            <w:r>
              <w:t>info</w:t>
            </w:r>
          </w:p>
        </w:tc>
        <w:tc>
          <w:tcPr>
            <w:tcW w:w="2768" w:type="dxa"/>
            <w:vAlign w:val="center"/>
          </w:tcPr>
          <w:p w14:paraId="7A6722F5">
            <w:r>
              <w:rPr>
                <w:rFonts w:hint="eastAsia"/>
              </w:rPr>
              <w:t>日志级别（debug / info / warn / error）</w:t>
            </w:r>
          </w:p>
        </w:tc>
      </w:tr>
      <w:tr>
        <w:trPr/>
        <w:tc>
          <w:tcPr>
            <w:tcW w:w="2768" w:type="dxa"/>
            <w:vAlign w:val="center"/>
          </w:tcPr>
          <w:p w14:paraId="2B81B45C">
            <w:r>
              <w:t>-logfmt</w:t>
            </w:r>
          </w:p>
        </w:tc>
        <w:tc>
          <w:tcPr>
            <w:tcW w:w="2768" w:type="dxa"/>
            <w:vAlign w:val="center"/>
          </w:tcPr>
          <w:p w14:paraId="1A7873D0">
            <w:r>
              <w:t>normal</w:t>
            </w:r>
          </w:p>
        </w:tc>
        <w:tc>
          <w:tcPr>
            <w:tcW w:w="2768" w:type="dxa"/>
            <w:vAlign w:val="center"/>
          </w:tcPr>
          <w:p w14:paraId="07C85250">
            <w:r>
              <w:rPr>
                <w:rFonts w:hint="eastAsia"/>
              </w:rPr>
              <w:t>日志格式（normal / json）</w:t>
            </w:r>
          </w:p>
        </w:tc>
      </w:tr>
      <w:tr>
        <w:trPr/>
        <w:tc>
          <w:tcPr>
            <w:tcW w:w="2768" w:type="dxa"/>
            <w:vAlign w:val="center"/>
          </w:tcPr>
          <w:p w14:paraId="7590D5DC">
            <w:r>
              <w:t>-addr</w:t>
            </w:r>
          </w:p>
        </w:tc>
        <w:tc>
          <w:tcPr>
            <w:tcW w:w="2768" w:type="dxa"/>
            <w:vAlign w:val="center"/>
          </w:tcPr>
          <w:p w14:paraId="5A11D1AB">
            <w:r>
              <w:t>:8080</w:t>
            </w:r>
          </w:p>
        </w:tc>
        <w:tc>
          <w:tcPr>
            <w:tcW w:w="2768" w:type="dxa"/>
            <w:vAlign w:val="center"/>
          </w:tcPr>
          <w:p w14:paraId="0367E70E">
            <w:r>
              <w:rPr>
                <w:rFonts w:hint="eastAsia"/>
              </w:rPr>
              <w:t>HTTP / metrics 服务监听地址</w:t>
            </w:r>
          </w:p>
        </w:tc>
      </w:tr>
      <w:tr>
        <w:trPr/>
        <w:tc>
          <w:tcPr>
            <w:tcW w:w="2768" w:type="dxa"/>
            <w:vAlign w:val="center"/>
          </w:tcPr>
          <w:p w14:paraId="4D113EA7">
            <w:r>
              <w:t>-store.http.path</w:t>
            </w:r>
          </w:p>
        </w:tc>
        <w:tc>
          <w:tcPr>
            <w:tcW w:w="2768" w:type="dxa"/>
            <w:vAlign w:val="center"/>
          </w:tcPr>
          <w:p w14:paraId="33AA7E53">
            <w:r>
              <w:t>/store</w:t>
            </w:r>
          </w:p>
        </w:tc>
        <w:tc>
          <w:tcPr>
            <w:tcW w:w="2768" w:type="dxa"/>
            <w:vAlign w:val="center"/>
          </w:tcPr>
          <w:p w14:paraId="38EA7155">
            <w:r>
              <w:rPr>
                <w:rFonts w:hint="eastAsia"/>
              </w:rPr>
              <w:t>FlowStore 的 HTTP 路径</w:t>
            </w:r>
          </w:p>
        </w:tc>
      </w:tr>
      <w:tr>
        <w:trPr/>
        <w:tc>
          <w:tcPr>
            <w:tcW w:w="2768" w:type="dxa"/>
            <w:vAlign w:val="center"/>
          </w:tcPr>
          <w:p w14:paraId="74828224">
            <w:r>
              <w:t>-err.cnt</w:t>
            </w:r>
          </w:p>
        </w:tc>
        <w:tc>
          <w:tcPr>
            <w:tcW w:w="2768" w:type="dxa"/>
            <w:vAlign w:val="center"/>
          </w:tcPr>
          <w:p w14:paraId="73A51C7A">
            <w:r>
              <w:t>10</w:t>
            </w:r>
          </w:p>
        </w:tc>
        <w:tc>
          <w:tcPr>
            <w:tcW w:w="2768" w:type="dxa"/>
            <w:vAlign w:val="center"/>
          </w:tcPr>
          <w:p w14:paraId="0AEE1382">
            <w:r>
              <w:rPr>
                <w:rFonts w:hint="eastAsia"/>
              </w:rPr>
              <w:t>错误批量静默的最大条数</w:t>
            </w:r>
          </w:p>
        </w:tc>
      </w:tr>
      <w:tr>
        <w:trPr/>
        <w:tc>
          <w:tcPr>
            <w:tcW w:w="2768" w:type="dxa"/>
            <w:vAlign w:val="center"/>
          </w:tcPr>
          <w:p w14:paraId="468780F7">
            <w:r>
              <w:t>-err.int</w:t>
            </w:r>
          </w:p>
        </w:tc>
        <w:tc>
          <w:tcPr>
            <w:tcW w:w="2768" w:type="dxa"/>
            <w:vAlign w:val="center"/>
          </w:tcPr>
          <w:p w14:paraId="6F6C4ABA">
            <w:r>
              <w:t>10s</w:t>
            </w:r>
          </w:p>
        </w:tc>
        <w:tc>
          <w:tcPr>
            <w:tcW w:w="2768" w:type="dxa"/>
            <w:vAlign w:val="center"/>
          </w:tcPr>
          <w:p w14:paraId="3CF159EF">
            <w:r>
              <w:rPr>
                <w:rFonts w:hint="eastAsia"/>
              </w:rPr>
              <w:t>错误静默的时间窗口</w:t>
            </w:r>
          </w:p>
        </w:tc>
      </w:tr>
      <w:tr>
        <w:trPr/>
        <w:tc>
          <w:tcPr>
            <w:tcW w:w="2768" w:type="dxa"/>
            <w:vAlign w:val="center"/>
          </w:tcPr>
          <w:p w14:paraId="715D5958">
            <w:r>
              <w:t>-mapping</w:t>
            </w:r>
          </w:p>
        </w:tc>
        <w:tc>
          <w:tcPr>
            <w:tcW w:w="2768" w:type="dxa"/>
            <w:vAlign w:val="center"/>
          </w:tcPr>
          <w:p w14:paraId="5BF0C6C4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6CDBDF50">
            <w:r>
              <w:rPr>
                <w:rFonts w:hint="eastAsia"/>
              </w:rPr>
              <w:t>自定义字段映射配置文件</w:t>
            </w:r>
          </w:p>
        </w:tc>
      </w:tr>
    </w:tbl>
    <w:p w14:paraId="3A251EF7">
      <w:r>
        <w:rPr>
          <w:rFonts w:hint="eastAsia"/>
          <w:b w:val="1"/>
        </w:rPr>
        <w:t>模板存储（NetFlow/IPFIX）：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2F8A1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49DEB5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32FE69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CB6AC25">
            <w:r>
              <w:t>-templates.ttl</w:t>
            </w:r>
          </w:p>
        </w:tc>
        <w:tc>
          <w:tcPr>
            <w:tcW w:w="2768" w:type="dxa"/>
            <w:vAlign w:val="center"/>
          </w:tcPr>
          <w:p w14:paraId="171142E7">
            <w:r>
              <w:t>0</w:t>
            </w:r>
          </w:p>
        </w:tc>
        <w:tc>
          <w:tcPr>
            <w:tcW w:w="2768" w:type="dxa"/>
            <w:vAlign w:val="center"/>
          </w:tcPr>
          <w:p w14:paraId="1094F3CF">
            <w:r>
              <w:rPr>
                <w:rFonts w:hint="eastAsia"/>
              </w:rPr>
              <w:t>模板过期时间（0 表示不过期）</w:t>
            </w:r>
          </w:p>
        </w:tc>
      </w:tr>
      <w:tr>
        <w:trPr/>
        <w:tc>
          <w:tcPr>
            <w:tcW w:w="2768" w:type="dxa"/>
            <w:vAlign w:val="center"/>
          </w:tcPr>
          <w:p w14:paraId="66BC55BC">
            <w:r>
              <w:t>-templates.sweep-interval</w:t>
            </w:r>
          </w:p>
        </w:tc>
        <w:tc>
          <w:tcPr>
            <w:tcW w:w="2768" w:type="dxa"/>
            <w:vAlign w:val="center"/>
          </w:tcPr>
          <w:p w14:paraId="6F91C5FE">
            <w:r>
              <w:t>1m</w:t>
            </w:r>
          </w:p>
        </w:tc>
        <w:tc>
          <w:tcPr>
            <w:tcW w:w="2768" w:type="dxa"/>
            <w:vAlign w:val="center"/>
          </w:tcPr>
          <w:p w14:paraId="423E9484">
            <w:r>
              <w:rPr>
                <w:rFonts w:hint="eastAsia"/>
              </w:rPr>
              <w:t>模板过期清理扫描间隔</w:t>
            </w:r>
          </w:p>
        </w:tc>
      </w:tr>
      <w:tr>
        <w:trPr/>
        <w:tc>
          <w:tcPr>
            <w:tcW w:w="2768" w:type="dxa"/>
            <w:vAlign w:val="center"/>
          </w:tcPr>
          <w:p w14:paraId="5DCD54C8">
            <w:r>
              <w:t>-templates.ttl.extend-on-access</w:t>
            </w:r>
          </w:p>
        </w:tc>
        <w:tc>
          <w:tcPr>
            <w:tcW w:w="2768" w:type="dxa"/>
            <w:vAlign w:val="center"/>
          </w:tcPr>
          <w:p w14:paraId="293AFCC7">
            <w:r>
              <w:t>false</w:t>
            </w:r>
          </w:p>
        </w:tc>
        <w:tc>
          <w:tcPr>
            <w:tcW w:w="2768" w:type="dxa"/>
            <w:vAlign w:val="center"/>
          </w:tcPr>
          <w:p w14:paraId="229429FE">
            <w:r>
              <w:rPr>
                <w:rFonts w:hint="eastAsia"/>
              </w:rPr>
              <w:t>访问时延长模板 TTL</w:t>
            </w:r>
          </w:p>
        </w:tc>
      </w:tr>
    </w:tbl>
    <w:p w14:paraId="50B8951A">
      <w:r>
        <w:rPr>
          <w:rFonts w:hint="eastAsia"/>
          <w:b w:val="1"/>
        </w:rPr>
        <w:t>采样率存储：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99465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60B9FC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698192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41FDB9E">
            <w:r>
              <w:t>-sampling.ttl</w:t>
            </w:r>
          </w:p>
        </w:tc>
        <w:tc>
          <w:tcPr>
            <w:tcW w:w="2768" w:type="dxa"/>
            <w:vAlign w:val="center"/>
          </w:tcPr>
          <w:p w14:paraId="2FB4236A">
            <w:r>
              <w:t>0</w:t>
            </w:r>
          </w:p>
        </w:tc>
        <w:tc>
          <w:tcPr>
            <w:tcW w:w="2768" w:type="dxa"/>
            <w:vAlign w:val="center"/>
          </w:tcPr>
          <w:p w14:paraId="7325FD3B">
            <w:r>
              <w:rPr>
                <w:rFonts w:hint="eastAsia"/>
              </w:rPr>
              <w:t>采样率缓存过期时间（0 表示不过期）</w:t>
            </w:r>
          </w:p>
        </w:tc>
      </w:tr>
      <w:tr>
        <w:trPr/>
        <w:tc>
          <w:tcPr>
            <w:tcW w:w="2768" w:type="dxa"/>
            <w:vAlign w:val="center"/>
          </w:tcPr>
          <w:p w14:paraId="23EA7666">
            <w:r>
              <w:t>-sampling.sweep-interval</w:t>
            </w:r>
          </w:p>
        </w:tc>
        <w:tc>
          <w:tcPr>
            <w:tcW w:w="2768" w:type="dxa"/>
            <w:vAlign w:val="center"/>
          </w:tcPr>
          <w:p w14:paraId="2482E824">
            <w:r>
              <w:t>1m</w:t>
            </w:r>
          </w:p>
        </w:tc>
        <w:tc>
          <w:tcPr>
            <w:tcW w:w="2768" w:type="dxa"/>
            <w:vAlign w:val="center"/>
          </w:tcPr>
          <w:p w14:paraId="3DCDDF88">
            <w:r>
              <w:rPr>
                <w:rFonts w:hint="eastAsia"/>
              </w:rPr>
              <w:t>采样率过期清理扫描间隔</w:t>
            </w:r>
          </w:p>
        </w:tc>
      </w:tr>
      <w:tr>
        <w:trPr/>
        <w:tc>
          <w:tcPr>
            <w:tcW w:w="2768" w:type="dxa"/>
            <w:vAlign w:val="center"/>
          </w:tcPr>
          <w:p w14:paraId="1AE5096E">
            <w:r>
              <w:t>-sampling.ttl.extend-on-access</w:t>
            </w:r>
          </w:p>
        </w:tc>
        <w:tc>
          <w:tcPr>
            <w:tcW w:w="2768" w:type="dxa"/>
            <w:vAlign w:val="center"/>
          </w:tcPr>
          <w:p w14:paraId="656D1ADB">
            <w:r>
              <w:t>false</w:t>
            </w:r>
          </w:p>
        </w:tc>
        <w:tc>
          <w:tcPr>
            <w:tcW w:w="2768" w:type="dxa"/>
            <w:vAlign w:val="center"/>
          </w:tcPr>
          <w:p w14:paraId="1C230B4A">
            <w:r>
              <w:rPr>
                <w:rFonts w:hint="eastAsia"/>
              </w:rPr>
              <w:t>访问时延长采样率 TTL</w:t>
            </w:r>
          </w:p>
        </w:tc>
      </w:tr>
    </w:tbl>
    <w:p w14:paraId="3C489A2A">
      <w:r>
        <w:rPr>
          <w:rFonts w:hint="eastAsia"/>
          <w:b w:val="1"/>
        </w:rPr>
        <w:t>FlowStore 持久化：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7438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768" w:type="dxa"/>
            <w:vAlign w:val="center"/>
          </w:tcPr>
          <w:p w14:paraId="4C6A32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默认值</w:t>
            </w:r>
          </w:p>
        </w:tc>
        <w:tc>
          <w:tcPr>
            <w:tcW w:w="2768" w:type="dxa"/>
            <w:vAlign w:val="center"/>
          </w:tcPr>
          <w:p w14:paraId="3581E1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A941639">
            <w:r>
              <w:t>-store.json.path</w:t>
            </w:r>
          </w:p>
        </w:tc>
        <w:tc>
          <w:tcPr>
            <w:tcW w:w="2768" w:type="dxa"/>
            <w:vAlign w:val="center"/>
          </w:tcPr>
          <w:p w14:paraId="5F3F9CEB">
            <w:r>
              <w:rPr>
                <w:rFonts w:hint="eastAsia"/>
              </w:rPr>
              <w:t>空</w:t>
            </w:r>
          </w:p>
        </w:tc>
        <w:tc>
          <w:tcPr>
            <w:tcW w:w="2768" w:type="dxa"/>
            <w:vAlign w:val="center"/>
          </w:tcPr>
          <w:p w14:paraId="7EC880F3">
            <w:r>
              <w:rPr>
                <w:rFonts w:hint="eastAsia"/>
              </w:rPr>
              <w:t>共享 FlowStore 的 JSON 输出路径（空表示不持久化）</w:t>
            </w:r>
          </w:p>
        </w:tc>
      </w:tr>
      <w:tr>
        <w:trPr/>
        <w:tc>
          <w:tcPr>
            <w:tcW w:w="2768" w:type="dxa"/>
            <w:vAlign w:val="center"/>
          </w:tcPr>
          <w:p w14:paraId="27EA480C">
            <w:r>
              <w:t>-store.json.interval</w:t>
            </w:r>
          </w:p>
        </w:tc>
        <w:tc>
          <w:tcPr>
            <w:tcW w:w="2768" w:type="dxa"/>
            <w:vAlign w:val="center"/>
          </w:tcPr>
          <w:p w14:paraId="4CC982BD">
            <w:r>
              <w:t>10s</w:t>
            </w:r>
          </w:p>
        </w:tc>
        <w:tc>
          <w:tcPr>
            <w:tcW w:w="2768" w:type="dxa"/>
            <w:vAlign w:val="center"/>
          </w:tcPr>
          <w:p w14:paraId="0374F014">
            <w:r>
              <w:rPr>
                <w:rFonts w:hint="eastAsia"/>
              </w:rPr>
              <w:t>JSON 写入间隔</w:t>
            </w:r>
          </w:p>
        </w:tc>
      </w:tr>
    </w:tbl>
    <w:p w14:paraId="3BB98D45">
      <w:r>
        <w:rPr>
          <w:rFonts w:hint="eastAsia"/>
        </w:rPr>
        <w:t>配置优先级：Flags &gt; 环境变量 &gt; 代码默认值。</w:t>
      </w:r>
    </w:p>
    <w:p w14:paraId="35E369A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Enricher 富化工具</w:t>
      </w:r>
    </w:p>
    <w:p w14:paraId="50D9C27E">
      <w:r>
        <w:rPr>
          <w:rFonts w:hint="eastAsia"/>
        </w:rPr>
        <w:t>cmd/enricher 提供基础富化能力，通过管道对接 GoFlow 的二进制输出，自动将源/目的 IP 映射为 ASN 与国家信息：</w:t>
      </w:r>
    </w:p>
    <w:p w14:paraId="064AEAD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6" name="文本框 09o989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5E21562">
                        <w:pPr>
                          <w:jc w:val="left"/>
                        </w:pPr>
                        <w:r>
                          <w:t>./goflow2 -transport.file.sep= -format=bin | \</w:t>
                        </w:r>
                      </w:p>
                      <w:p w14:paraId="271046AA">
                        <w:pPr>
                          <w:jc w:val="left"/>
                        </w:pPr>
                        <w:r>
                          <w:t xml:space="preserve">  ./enricher -db.asn path-to/GeoLite2-ASN.mmdb -db.country path-to/GeoLite2-Country.mmdb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10. 生产部署</w:t>
      </w:r>
    </w:p>
    <w:p w14:paraId="1982DFB3">
      <w:r>
        <w:rPr>
          <w:rFonts w:hint="eastAsia"/>
        </w:rPr>
        <w:t>更大规模的生产环境推荐 Kafka + protobuf。流处理可用 Flink、Kafka Streams、kSQLdb；直接入库可用 ClickHouse 等数仓。</w:t>
      </w:r>
    </w:p>
    <w:p w14:paraId="412C1C8C">
      <w:r>
        <w:rPr>
          <w:rFonts w:hint="eastAsia"/>
        </w:rPr>
        <w:t>仓库提供了 docker-compose 示例管道（compose/ 目录）：</w:t>
      </w:r>
    </w:p>
    <w:p w14:paraId="4C1C093C">
      <w:pPr>
        <w:numPr>
          <w:ilvl w:val="0"/>
          <w:numId w:val="1"/>
        </w:numPr>
      </w:pPr>
      <w:r>
        <w:rPr>
          <w:rFonts w:hint="eastAsia"/>
        </w:rPr>
        <w:t>Kafka + ClickHouse + Grafana（compose/kcg）</w:t>
      </w:r>
    </w:p>
    <w:p w14:paraId="16DD5FB5">
      <w:pPr>
        <w:numPr>
          <w:ilvl w:val="0"/>
          <w:numId w:val="1"/>
        </w:numPr>
      </w:pPr>
      <w:r>
        <w:rPr>
          <w:rFonts w:hint="eastAsia"/>
        </w:rPr>
        <w:t>Logstash + Elastic + Kibana（compose/elk）</w:t>
      </w:r>
    </w:p>
    <w:p w14:paraId="21BD4B80">
      <w:r>
        <w:rPr>
          <w:rFonts w:hint="eastAsia"/>
          <w:b w:val="1"/>
        </w:rPr>
        <w:t>输出格式选择建议：</w:t>
      </w:r>
      <w:r>
        <w:rPr>
          <w:rFonts w:hint="eastAsia"/>
        </w:rPr>
        <w:t xml:space="preserve"> 小数据量直接消费可用 JSON；大负载优先 protobuf（二进制表示、可扩展富化字段，自定义字段建议使用 ID ≥ 1000）。</w:t>
      </w:r>
    </w:p>
    <w:p w14:paraId="58AEDAB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 常见问题与故障排查</w:t>
      </w:r>
    </w:p>
    <w:p w14:paraId="68B735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CSV 输出问题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127E5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768" w:type="dxa"/>
            <w:vAlign w:val="center"/>
          </w:tcPr>
          <w:p w14:paraId="560679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5F66D9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解决</w:t>
            </w:r>
          </w:p>
        </w:tc>
      </w:tr>
      <w:tr>
        <w:trPr/>
        <w:tc>
          <w:tcPr>
            <w:tcW w:w="2768" w:type="dxa"/>
            <w:vAlign w:val="center"/>
          </w:tcPr>
          <w:p w14:paraId="4C9414FE">
            <w:r>
              <w:rPr>
                <w:rFonts w:hint="eastAsia"/>
              </w:rPr>
              <w:t>列数不一致</w:t>
            </w:r>
          </w:p>
        </w:tc>
        <w:tc>
          <w:tcPr>
            <w:tcW w:w="2768" w:type="dxa"/>
            <w:vAlign w:val="center"/>
          </w:tcPr>
          <w:p w14:paraId="333C6F26">
            <w:r>
              <w:rPr>
                <w:rFonts w:hint="eastAsia"/>
              </w:rPr>
              <w:t>mapping.fields 配置有误</w:t>
            </w:r>
          </w:p>
        </w:tc>
        <w:tc>
          <w:tcPr>
            <w:tcW w:w="2768" w:type="dxa"/>
            <w:vAlign w:val="center"/>
          </w:tcPr>
          <w:p w14:paraId="6A141E1F">
            <w:r>
              <w:rPr>
                <w:rFonts w:hint="eastAsia"/>
              </w:rPr>
              <w:t>检查 fields 列表</w:t>
            </w:r>
          </w:p>
        </w:tc>
      </w:tr>
      <w:tr>
        <w:trPr/>
        <w:tc>
          <w:tcPr>
            <w:tcW w:w="2768" w:type="dxa"/>
            <w:vAlign w:val="center"/>
          </w:tcPr>
          <w:p w14:paraId="58551E03">
            <w:r>
              <w:rPr>
                <w:rFonts w:hint="eastAsia"/>
              </w:rPr>
              <w:t>缺失列错位</w:t>
            </w:r>
          </w:p>
        </w:tc>
        <w:tc>
          <w:tcPr>
            <w:tcW w:w="2768" w:type="dxa"/>
            <w:vAlign w:val="center"/>
          </w:tcPr>
          <w:p w14:paraId="608650ED">
            <w:r>
              <w:rPr>
                <w:rFonts w:hint="eastAsia"/>
              </w:rPr>
              <w:t>使用了虚拟字段但未定义 renderer</w:t>
            </w:r>
          </w:p>
        </w:tc>
        <w:tc>
          <w:tcPr>
            <w:tcW w:w="2768" w:type="dxa"/>
            <w:vAlign w:val="center"/>
          </w:tcPr>
          <w:p w14:paraId="5C108BC5">
            <w:r>
              <w:rPr>
                <w:rFonts w:hint="eastAsia"/>
              </w:rPr>
              <w:t>确认 renderer 存在</w:t>
            </w:r>
          </w:p>
        </w:tc>
      </w:tr>
    </w:tbl>
    <w:p w14:paraId="192A6C2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Netcat 传输问题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E02F2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768" w:type="dxa"/>
            <w:vAlign w:val="center"/>
          </w:tcPr>
          <w:p w14:paraId="07E340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0CCBB2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解决</w:t>
            </w:r>
          </w:p>
        </w:tc>
      </w:tr>
      <w:tr>
        <w:trPr/>
        <w:tc>
          <w:tcPr>
            <w:tcW w:w="2768" w:type="dxa"/>
            <w:vAlign w:val="center"/>
          </w:tcPr>
          <w:p w14:paraId="5B5B51F1">
            <w:r>
              <w:rPr>
                <w:rFonts w:hint="eastAsia"/>
              </w:rPr>
              <w:t>连接失败</w:t>
            </w:r>
          </w:p>
        </w:tc>
        <w:tc>
          <w:tcPr>
            <w:tcW w:w="2768" w:type="dxa"/>
            <w:vAlign w:val="center"/>
          </w:tcPr>
          <w:p w14:paraId="27D8F104">
            <w:r>
              <w:rPr>
                <w:rFonts w:hint="eastAsia"/>
              </w:rPr>
              <w:t>目标未监听</w:t>
            </w:r>
          </w:p>
        </w:tc>
        <w:tc>
          <w:tcPr>
            <w:tcW w:w="2768" w:type="dxa"/>
            <w:vAlign w:val="center"/>
          </w:tcPr>
          <w:p w14:paraId="7B2DE68C">
            <w:r>
              <w:rPr>
                <w:rFonts w:hint="eastAsia"/>
              </w:rPr>
              <w:t>确认对端服务已启动</w:t>
            </w:r>
          </w:p>
        </w:tc>
      </w:tr>
      <w:tr>
        <w:trPr/>
        <w:tc>
          <w:tcPr>
            <w:tcW w:w="2768" w:type="dxa"/>
            <w:vAlign w:val="center"/>
          </w:tcPr>
          <w:p w14:paraId="69CD0669">
            <w:r>
              <w:rPr>
                <w:rFonts w:hint="eastAsia"/>
              </w:rPr>
              <w:t>数据未到达</w:t>
            </w:r>
          </w:p>
        </w:tc>
        <w:tc>
          <w:tcPr>
            <w:tcW w:w="2768" w:type="dxa"/>
            <w:vAlign w:val="center"/>
          </w:tcPr>
          <w:p w14:paraId="79C75FE6">
            <w:r>
              <w:rPr>
                <w:rFonts w:hint="eastAsia"/>
              </w:rPr>
              <w:t>对端断开未重连</w:t>
            </w:r>
          </w:p>
        </w:tc>
        <w:tc>
          <w:tcPr>
            <w:tcW w:w="2768" w:type="dxa"/>
            <w:vAlign w:val="center"/>
          </w:tcPr>
          <w:p w14:paraId="2981D830">
            <w:r>
              <w:rPr>
                <w:rFonts w:hint="eastAsia"/>
              </w:rPr>
              <w:t>开启 -loglevel debug 查看重连日志</w:t>
            </w:r>
          </w:p>
        </w:tc>
      </w:tr>
      <w:tr>
        <w:trPr/>
        <w:tc>
          <w:tcPr>
            <w:tcW w:w="2768" w:type="dxa"/>
            <w:vAlign w:val="center"/>
          </w:tcPr>
          <w:p w14:paraId="740229A6">
            <w:r>
              <w:rPr>
                <w:rFonts w:hint="eastAsia"/>
              </w:rPr>
              <w:t>背压严重</w:t>
            </w:r>
          </w:p>
        </w:tc>
        <w:tc>
          <w:tcPr>
            <w:tcW w:w="2768" w:type="dxa"/>
            <w:vAlign w:val="center"/>
          </w:tcPr>
          <w:p w14:paraId="3614630F">
            <w:r>
              <w:rPr>
                <w:rFonts w:hint="eastAsia"/>
              </w:rPr>
              <w:t>drop=false 且对端消费慢</w:t>
            </w:r>
          </w:p>
        </w:tc>
        <w:tc>
          <w:tcPr>
            <w:tcW w:w="2768" w:type="dxa"/>
            <w:vAlign w:val="center"/>
          </w:tcPr>
          <w:p w14:paraId="610E24AA">
            <w:r>
              <w:rPr>
                <w:rFonts w:hint="eastAsia"/>
              </w:rPr>
              <w:t>调大 queue 或改 drop=true</w:t>
            </w:r>
          </w:p>
        </w:tc>
      </w:tr>
      <w:tr>
        <w:trPr/>
        <w:tc>
          <w:tcPr>
            <w:tcW w:w="2768" w:type="dxa"/>
            <w:vAlign w:val="center"/>
          </w:tcPr>
          <w:p w14:paraId="54AFDA6C">
            <w:r>
              <w:rPr>
                <w:rFonts w:hint="eastAsia"/>
              </w:rPr>
              <w:t>采集端出现丢包指标</w:t>
            </w:r>
          </w:p>
        </w:tc>
        <w:tc>
          <w:tcPr>
            <w:tcW w:w="2768" w:type="dxa"/>
            <w:vAlign w:val="center"/>
          </w:tcPr>
          <w:p w14:paraId="48550CA9">
            <w:r>
              <w:rPr>
                <w:rFonts w:hint="eastAsia"/>
              </w:rPr>
              <w:t>drop=false 传导至 dispatch 队列满</w:t>
            </w:r>
          </w:p>
        </w:tc>
        <w:tc>
          <w:tcPr>
            <w:tcW w:w="2768" w:type="dxa"/>
            <w:vAlign w:val="center"/>
          </w:tcPr>
          <w:p w14:paraId="734B4404">
            <w:r>
              <w:rPr>
                <w:rFonts w:hint="eastAsia"/>
              </w:rPr>
              <w:t>提升下游消费能力或接受 drop=true</w:t>
            </w:r>
          </w:p>
        </w:tc>
      </w:tr>
      <w:tr>
        <w:trPr/>
        <w:tc>
          <w:tcPr>
            <w:tcW w:w="2768" w:type="dxa"/>
            <w:vAlign w:val="center"/>
          </w:tcPr>
          <w:p w14:paraId="24E5510D">
            <w:r>
              <w:rPr>
                <w:rFonts w:hint="eastAsia"/>
              </w:rPr>
              <w:t>部分目标未收到</w:t>
            </w:r>
          </w:p>
        </w:tc>
        <w:tc>
          <w:tcPr>
            <w:tcW w:w="2768" w:type="dxa"/>
            <w:vAlign w:val="center"/>
          </w:tcPr>
          <w:p w14:paraId="44C74226">
            <w:r>
              <w:rPr>
                <w:rFonts w:hint="eastAsia"/>
              </w:rPr>
              <w:t>round-robin 正常行为</w:t>
            </w:r>
          </w:p>
        </w:tc>
        <w:tc>
          <w:tcPr>
            <w:tcW w:w="2768" w:type="dxa"/>
            <w:vAlign w:val="center"/>
          </w:tcPr>
          <w:p w14:paraId="5B8E6CCA">
            <w:r>
              <w:rPr>
                <w:rFonts w:hint="eastAsia"/>
              </w:rPr>
              <w:t>多目标时数据按目标分片</w:t>
            </w:r>
          </w:p>
        </w:tc>
      </w:tr>
    </w:tbl>
    <w:p w14:paraId="40027BA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Kafka Kerberos 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722D3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768" w:type="dxa"/>
            <w:vAlign w:val="center"/>
          </w:tcPr>
          <w:p w14:paraId="4FCB42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369450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解决</w:t>
            </w:r>
          </w:p>
        </w:tc>
      </w:tr>
      <w:tr>
        <w:trPr/>
        <w:tc>
          <w:tcPr>
            <w:tcW w:w="2768" w:type="dxa"/>
            <w:vAlign w:val="center"/>
          </w:tcPr>
          <w:p w14:paraId="0F90A0E3">
            <w:r>
              <w:t>GSSAPI mechanism unauthorized</w:t>
            </w:r>
          </w:p>
        </w:tc>
        <w:tc>
          <w:tcPr>
            <w:tcW w:w="2768" w:type="dxa"/>
            <w:vAlign w:val="center"/>
          </w:tcPr>
          <w:p w14:paraId="4190BE48">
            <w:r>
              <w:rPr>
                <w:rFonts w:hint="eastAsia"/>
              </w:rPr>
              <w:t>username/realm/keytab 配置错误</w:t>
            </w:r>
          </w:p>
        </w:tc>
        <w:tc>
          <w:tcPr>
            <w:tcW w:w="2768" w:type="dxa"/>
            <w:vAlign w:val="center"/>
          </w:tcPr>
          <w:p w14:paraId="13B3DC15">
            <w:r>
              <w:rPr>
                <w:rFonts w:hint="eastAsia"/>
              </w:rPr>
              <w:t>检查 principal 与 keytab 是否匹配</w:t>
            </w:r>
          </w:p>
        </w:tc>
      </w:tr>
      <w:tr>
        <w:trPr/>
        <w:tc>
          <w:tcPr>
            <w:tcW w:w="2768" w:type="dxa"/>
            <w:vAlign w:val="center"/>
          </w:tcPr>
          <w:p w14:paraId="1F4D33E9">
            <w:r>
              <w:rPr>
                <w:rFonts w:hint="eastAsia"/>
              </w:rPr>
              <w:t>kerberos config 相关启动报错</w:t>
            </w:r>
          </w:p>
        </w:tc>
        <w:tc>
          <w:tcPr>
            <w:tcW w:w="2768" w:type="dxa"/>
            <w:vAlign w:val="center"/>
          </w:tcPr>
          <w:p w14:paraId="6AF0685D">
            <w:r>
              <w:rPr>
                <w:rFonts w:hint="eastAsia"/>
              </w:rPr>
              <w:t>krb5.conf 路径无效且环境变量未设置</w:t>
            </w:r>
          </w:p>
        </w:tc>
        <w:tc>
          <w:tcPr>
            <w:tcW w:w="2768" w:type="dxa"/>
            <w:vAlign w:val="center"/>
          </w:tcPr>
          <w:p w14:paraId="19636E01">
            <w:r>
              <w:rPr>
                <w:rFonts w:hint="eastAsia"/>
              </w:rPr>
              <w:t>用 -transport.kafka.sasl.kerberos.config 指定</w:t>
            </w:r>
          </w:p>
        </w:tc>
      </w:tr>
      <w:tr>
        <w:trPr/>
        <w:tc>
          <w:tcPr>
            <w:tcW w:w="2768" w:type="dxa"/>
            <w:vAlign w:val="center"/>
          </w:tcPr>
          <w:p w14:paraId="2ED71DDE">
            <w:r>
              <w:t>Service principal not found</w:t>
            </w:r>
          </w:p>
        </w:tc>
        <w:tc>
          <w:tcPr>
            <w:tcW w:w="2768" w:type="dxa"/>
            <w:vAlign w:val="center"/>
          </w:tcPr>
          <w:p w14:paraId="4EE68AF6">
            <w:r>
              <w:rPr>
                <w:rFonts w:hint="eastAsia"/>
              </w:rPr>
              <w:t>broker FQDN 无法解析</w:t>
            </w:r>
          </w:p>
        </w:tc>
        <w:tc>
          <w:tcPr>
            <w:tcW w:w="2768" w:type="dxa"/>
            <w:vAlign w:val="center"/>
          </w:tcPr>
          <w:p w14:paraId="095D6B1F">
            <w:r>
              <w:rPr>
                <w:rFonts w:hint="eastAsia"/>
              </w:rPr>
              <w:t>使用 FQDN 而非 IP</w:t>
            </w:r>
          </w:p>
        </w:tc>
      </w:tr>
      <w:tr>
        <w:trPr/>
        <w:tc>
          <w:tcPr>
            <w:tcW w:w="2768" w:type="dxa"/>
            <w:vAlign w:val="center"/>
          </w:tcPr>
          <w:p w14:paraId="294BDA04">
            <w:r>
              <w:rPr>
                <w:rFonts w:hint="eastAsia"/>
              </w:rPr>
              <w:t>PA-FX-FAST 兼容问题</w:t>
            </w:r>
          </w:p>
        </w:tc>
        <w:tc>
          <w:tcPr>
            <w:tcW w:w="2768" w:type="dxa"/>
            <w:vAlign w:val="center"/>
          </w:tcPr>
          <w:p w14:paraId="27EDB9FE">
            <w:r>
              <w:rPr>
                <w:rFonts w:hint="eastAsia"/>
              </w:rPr>
              <w:t>旧版 KDC 不支持 FAST</w:t>
            </w:r>
          </w:p>
        </w:tc>
        <w:tc>
          <w:tcPr>
            <w:tcW w:w="2768" w:type="dxa"/>
            <w:vAlign w:val="center"/>
          </w:tcPr>
          <w:p w14:paraId="57E7B041">
            <w:r>
              <w:rPr>
                <w:rFonts w:hint="eastAsia"/>
              </w:rPr>
              <w:t>加 disable-paf-x-fast=true</w:t>
            </w:r>
          </w:p>
        </w:tc>
      </w:tr>
    </w:tbl>
    <w:p w14:paraId="09D52FB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其他注意事项</w:t>
      </w:r>
    </w:p>
    <w:p w14:paraId="4BA2F61B">
      <w:pPr>
        <w:numPr>
          <w:ilvl w:val="0"/>
          <w:numId w:val="1"/>
        </w:numPr>
      </w:pPr>
      <w:r>
        <w:rPr>
          <w:rFonts w:hint="eastAsia"/>
        </w:rPr>
        <w:t>UDP 默认缓冲区为 9000 字节</w:t>
      </w:r>
    </w:p>
    <w:p w14:paraId="40905BBD">
      <w:pPr>
        <w:numPr>
          <w:ilvl w:val="0"/>
          <w:numId w:val="1"/>
        </w:numPr>
      </w:pPr>
      <w:r>
        <w:rPr>
          <w:rFonts w:hint="eastAsia"/>
        </w:rPr>
        <w:t>已内置针对 sFlow 的防 DoS 保护（长度字段为 32 位，存在记录数与列表项数假设）</w:t>
      </w:r>
    </w:p>
    <w:p w14:paraId="2002087B">
      <w:pPr>
        <w:numPr>
          <w:ilvl w:val="0"/>
          <w:numId w:val="1"/>
        </w:numPr>
      </w:pPr>
      <w:r>
        <w:rPr>
          <w:rFonts w:hint="eastAsia"/>
        </w:rPr>
        <w:t>更多协议细节参见 docs/protocols.md，性能调优参见 docs/performance.md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2026-09-24T09:33:42Z</dcterms:created>
  <dcterms:modified xsi:type="dcterms:W3CDTF">2026-09-24T09:33:42Z</dcterms:modified>
</cp:coreProperties>
</file>