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B6150" w14:textId="77777777" w:rsidR="00434528" w:rsidRDefault="00000000">
      <w:pPr>
        <w:pStyle w:val="Title"/>
      </w:pPr>
      <w:r>
        <w:t>Fair carbon aware coordination in CityLearn</w:t>
      </w:r>
    </w:p>
    <w:p w14:paraId="7A811925" w14:textId="77777777" w:rsidR="00434528" w:rsidRDefault="00000000">
      <w:pPr>
        <w:pStyle w:val="Subtitle"/>
      </w:pPr>
      <w:r>
        <w:t>Literature review and project implications</w:t>
      </w:r>
    </w:p>
    <w:p w14:paraId="5478AC97" w14:textId="77777777" w:rsidR="00434528" w:rsidRDefault="00000000">
      <w:pPr>
        <w:pStyle w:val="Heading1"/>
      </w:pPr>
      <w:r>
        <w:t>1 Scope and connection to the project</w:t>
      </w:r>
    </w:p>
    <w:p w14:paraId="3482054E" w14:textId="77777777" w:rsidR="00434528" w:rsidRDefault="00000000">
      <w:r>
        <w:t xml:space="preserve">The central research question is: </w:t>
      </w:r>
      <w:r>
        <w:rPr>
          <w:b/>
        </w:rPr>
        <w:t>Can coordinated building control reduce operational carbon emissions while preserving acceptable occupant comfort and protecting buildings that experience the worst comfort outcomes?</w:t>
      </w:r>
    </w:p>
    <w:p w14:paraId="7B12631D" w14:textId="77777777" w:rsidR="00434528" w:rsidRDefault="00000000">
      <w:r>
        <w:t xml:space="preserve">This review draws on the accessible chat </w:t>
      </w:r>
      <w:r>
        <w:rPr>
          <w:i/>
        </w:rPr>
        <w:t>Explore CityLearn project</w:t>
      </w:r>
      <w:r>
        <w:t xml:space="preserve">, </w:t>
      </w:r>
      <w:r>
        <w:rPr>
          <w:rFonts w:ascii="Consolas" w:hAnsi="Consolas"/>
          <w:sz w:val="20"/>
        </w:rPr>
        <w:t>Notes - CityLearn.docx</w:t>
      </w:r>
      <w:r>
        <w:t xml:space="preserve">, the project README, the controller and reward implementations, and the canonical saved experiment outputs. The referenced </w:t>
      </w:r>
      <w:r>
        <w:rPr>
          <w:i/>
        </w:rPr>
        <w:t>Deep Research</w:t>
      </w:r>
      <w:r>
        <w:t xml:space="preserve"> chat could not be retrieved in full; its cached preview establishes an interest in how to read reinforcement-learning papers, but does not expose the assistant's research discussion. This review does not assume access to missing conversations or uploads.</w:t>
      </w:r>
    </w:p>
    <w:p w14:paraId="0B715151" w14:textId="77777777" w:rsidR="00434528" w:rsidRDefault="00000000">
      <w:r>
        <w:t>The project currently compares five approaches: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872"/>
        <w:gridCol w:w="3600"/>
        <w:gridCol w:w="3888"/>
      </w:tblGrid>
      <w:tr w:rsidR="00434528" w14:paraId="283D1DC0" w14:textId="77777777">
        <w:trPr>
          <w:cantSplit/>
          <w:tblHeader/>
        </w:trPr>
        <w:tc>
          <w:tcPr>
            <w:tcW w:w="1872" w:type="dxa"/>
            <w:shd w:val="clear" w:color="auto" w:fill="234A65"/>
            <w:vAlign w:val="center"/>
          </w:tcPr>
          <w:p w14:paraId="1549349E" w14:textId="77777777" w:rsidR="00434528" w:rsidRDefault="00000000">
            <w:pPr>
              <w:spacing w:after="0" w:line="240" w:lineRule="auto"/>
            </w:pPr>
            <w:r>
              <w:rPr>
                <w:b/>
                <w:color w:val="FFFFFF"/>
                <w:sz w:val="22"/>
              </w:rPr>
              <w:t>Approach</w:t>
            </w:r>
          </w:p>
        </w:tc>
        <w:tc>
          <w:tcPr>
            <w:tcW w:w="3600" w:type="dxa"/>
            <w:shd w:val="clear" w:color="auto" w:fill="234A65"/>
            <w:vAlign w:val="center"/>
          </w:tcPr>
          <w:p w14:paraId="347460F9" w14:textId="77777777" w:rsidR="00434528" w:rsidRDefault="00000000">
            <w:pPr>
              <w:spacing w:after="0" w:line="240" w:lineRule="auto"/>
            </w:pPr>
            <w:r>
              <w:rPr>
                <w:b/>
                <w:color w:val="FFFFFF"/>
                <w:sz w:val="22"/>
              </w:rPr>
              <w:t>Architecture</w:t>
            </w:r>
          </w:p>
        </w:tc>
        <w:tc>
          <w:tcPr>
            <w:tcW w:w="3888" w:type="dxa"/>
            <w:shd w:val="clear" w:color="auto" w:fill="234A65"/>
            <w:vAlign w:val="center"/>
          </w:tcPr>
          <w:p w14:paraId="6FB9068C" w14:textId="77777777" w:rsidR="00434528" w:rsidRDefault="00000000">
            <w:pPr>
              <w:spacing w:after="0" w:line="240" w:lineRule="auto"/>
            </w:pPr>
            <w:r>
              <w:rPr>
                <w:b/>
                <w:color w:val="FFFFFF"/>
                <w:sz w:val="22"/>
              </w:rPr>
              <w:t>Training objective</w:t>
            </w:r>
          </w:p>
        </w:tc>
      </w:tr>
      <w:tr w:rsidR="00434528" w14:paraId="56E93C1E" w14:textId="77777777">
        <w:trPr>
          <w:cantSplit/>
        </w:trPr>
        <w:tc>
          <w:tcPr>
            <w:tcW w:w="1872" w:type="dxa"/>
            <w:shd w:val="clear" w:color="auto" w:fill="F2F5F7"/>
            <w:vAlign w:val="center"/>
          </w:tcPr>
          <w:p w14:paraId="4BAB1003" w14:textId="77777777" w:rsidR="00434528" w:rsidRDefault="00000000">
            <w:pPr>
              <w:spacing w:after="0" w:line="240" w:lineRule="auto"/>
            </w:pPr>
            <w:r>
              <w:rPr>
                <w:sz w:val="22"/>
              </w:rPr>
              <w:t>BasicRBC</w:t>
            </w:r>
          </w:p>
        </w:tc>
        <w:tc>
          <w:tcPr>
            <w:tcW w:w="3600" w:type="dxa"/>
            <w:shd w:val="clear" w:color="auto" w:fill="F2F5F7"/>
            <w:vAlign w:val="center"/>
          </w:tcPr>
          <w:p w14:paraId="7C9224F1" w14:textId="77777777" w:rsidR="00434528" w:rsidRDefault="00000000">
            <w:pPr>
              <w:spacing w:after="0" w:line="240" w:lineRule="auto"/>
            </w:pPr>
            <w:r>
              <w:rPr>
                <w:sz w:val="22"/>
              </w:rPr>
              <w:t>Fixed hourly rules</w:t>
            </w:r>
          </w:p>
        </w:tc>
        <w:tc>
          <w:tcPr>
            <w:tcW w:w="3888" w:type="dxa"/>
            <w:shd w:val="clear" w:color="auto" w:fill="F2F5F7"/>
            <w:vAlign w:val="center"/>
          </w:tcPr>
          <w:p w14:paraId="0DA03A4C" w14:textId="77777777" w:rsidR="00434528" w:rsidRDefault="00000000">
            <w:pPr>
              <w:spacing w:after="0" w:line="240" w:lineRule="auto"/>
            </w:pPr>
            <w:r>
              <w:rPr>
                <w:sz w:val="22"/>
              </w:rPr>
              <w:t>No learned reward</w:t>
            </w:r>
          </w:p>
        </w:tc>
      </w:tr>
      <w:tr w:rsidR="00434528" w14:paraId="358C6362" w14:textId="77777777">
        <w:trPr>
          <w:cantSplit/>
        </w:trPr>
        <w:tc>
          <w:tcPr>
            <w:tcW w:w="1872" w:type="dxa"/>
            <w:shd w:val="clear" w:color="auto" w:fill="FFFFFF"/>
            <w:vAlign w:val="center"/>
          </w:tcPr>
          <w:p w14:paraId="4CB421D1" w14:textId="77777777" w:rsidR="00434528" w:rsidRDefault="00000000">
            <w:pPr>
              <w:spacing w:after="0" w:line="240" w:lineRule="auto"/>
            </w:pPr>
            <w:r>
              <w:rPr>
                <w:sz w:val="22"/>
              </w:rPr>
              <w:t>Independent SAC</w:t>
            </w:r>
          </w:p>
        </w:tc>
        <w:tc>
          <w:tcPr>
            <w:tcW w:w="3600" w:type="dxa"/>
            <w:shd w:val="clear" w:color="auto" w:fill="FFFFFF"/>
            <w:vAlign w:val="center"/>
          </w:tcPr>
          <w:p w14:paraId="35821D60" w14:textId="77777777" w:rsidR="00434528" w:rsidRDefault="00000000">
            <w:pPr>
              <w:spacing w:after="0" w:line="240" w:lineRule="auto"/>
            </w:pPr>
            <w:r>
              <w:rPr>
                <w:sz w:val="22"/>
              </w:rPr>
              <w:t>Separate SAC policy per building</w:t>
            </w:r>
          </w:p>
        </w:tc>
        <w:tc>
          <w:tcPr>
            <w:tcW w:w="3888" w:type="dxa"/>
            <w:shd w:val="clear" w:color="auto" w:fill="FFFFFF"/>
            <w:vAlign w:val="center"/>
          </w:tcPr>
          <w:p w14:paraId="5BADCC88" w14:textId="77777777" w:rsidR="00434528" w:rsidRDefault="00000000">
            <w:pPr>
              <w:spacing w:after="0" w:line="240" w:lineRule="auto"/>
            </w:pPr>
            <w:r>
              <w:rPr>
                <w:sz w:val="22"/>
              </w:rPr>
              <w:t>Positive local grid import</w:t>
            </w:r>
          </w:p>
        </w:tc>
      </w:tr>
      <w:tr w:rsidR="00434528" w14:paraId="702A2BE8" w14:textId="77777777">
        <w:trPr>
          <w:cantSplit/>
        </w:trPr>
        <w:tc>
          <w:tcPr>
            <w:tcW w:w="1872" w:type="dxa"/>
            <w:shd w:val="clear" w:color="auto" w:fill="F2F5F7"/>
            <w:vAlign w:val="center"/>
          </w:tcPr>
          <w:p w14:paraId="65CD889B" w14:textId="77777777" w:rsidR="00434528" w:rsidRDefault="00000000">
            <w:pPr>
              <w:spacing w:after="0" w:line="240" w:lineRule="auto"/>
            </w:pPr>
            <w:r>
              <w:rPr>
                <w:sz w:val="22"/>
              </w:rPr>
              <w:t>Standard MARLISA</w:t>
            </w:r>
          </w:p>
        </w:tc>
        <w:tc>
          <w:tcPr>
            <w:tcW w:w="3600" w:type="dxa"/>
            <w:shd w:val="clear" w:color="auto" w:fill="F2F5F7"/>
            <w:vAlign w:val="center"/>
          </w:tcPr>
          <w:p w14:paraId="18FE92A1" w14:textId="77777777" w:rsidR="00434528" w:rsidRDefault="00000000">
            <w:pPr>
              <w:spacing w:after="0" w:line="240" w:lineRule="auto"/>
            </w:pPr>
            <w:r>
              <w:rPr>
                <w:sz w:val="22"/>
              </w:rPr>
              <w:t>SAC policies with demand estimation and iterative sequential coordination</w:t>
            </w:r>
          </w:p>
        </w:tc>
        <w:tc>
          <w:tcPr>
            <w:tcW w:w="3888" w:type="dxa"/>
            <w:shd w:val="clear" w:color="auto" w:fill="F2F5F7"/>
            <w:vAlign w:val="center"/>
          </w:tcPr>
          <w:p w14:paraId="794BE8AD" w14:textId="77777777" w:rsidR="00434528" w:rsidRDefault="00000000">
            <w:pPr>
              <w:spacing w:after="0" w:line="240" w:lineRule="auto"/>
            </w:pPr>
            <w:r>
              <w:rPr>
                <w:sz w:val="22"/>
              </w:rPr>
              <w:t xml:space="preserve">CityLearn's district-coupled </w:t>
            </w:r>
            <w:r>
              <w:rPr>
                <w:rFonts w:ascii="Consolas" w:hAnsi="Consolas"/>
                <w:sz w:val="22"/>
              </w:rPr>
              <w:t>MARL</w:t>
            </w:r>
            <w:r>
              <w:rPr>
                <w:sz w:val="22"/>
              </w:rPr>
              <w:t xml:space="preserve"> reward</w:t>
            </w:r>
          </w:p>
        </w:tc>
      </w:tr>
      <w:tr w:rsidR="00434528" w14:paraId="572DF063" w14:textId="77777777">
        <w:trPr>
          <w:cantSplit/>
        </w:trPr>
        <w:tc>
          <w:tcPr>
            <w:tcW w:w="1872" w:type="dxa"/>
            <w:shd w:val="clear" w:color="auto" w:fill="FFFFFF"/>
            <w:vAlign w:val="center"/>
          </w:tcPr>
          <w:p w14:paraId="1CE35540" w14:textId="77777777" w:rsidR="00434528" w:rsidRDefault="00000000">
            <w:pPr>
              <w:spacing w:after="0" w:line="240" w:lineRule="auto"/>
            </w:pPr>
            <w:r>
              <w:rPr>
                <w:sz w:val="22"/>
              </w:rPr>
              <w:t>Carbon-aware MARLISA</w:t>
            </w:r>
          </w:p>
        </w:tc>
        <w:tc>
          <w:tcPr>
            <w:tcW w:w="3600" w:type="dxa"/>
            <w:shd w:val="clear" w:color="auto" w:fill="FFFFFF"/>
            <w:vAlign w:val="center"/>
          </w:tcPr>
          <w:p w14:paraId="584A365D" w14:textId="77777777" w:rsidR="00434528" w:rsidRDefault="00000000">
            <w:pPr>
              <w:spacing w:after="0" w:line="240" w:lineRule="auto"/>
            </w:pPr>
            <w:r>
              <w:rPr>
                <w:sz w:val="22"/>
              </w:rPr>
              <w:t>Same MARLISA controller</w:t>
            </w:r>
          </w:p>
        </w:tc>
        <w:tc>
          <w:tcPr>
            <w:tcW w:w="3888" w:type="dxa"/>
            <w:shd w:val="clear" w:color="auto" w:fill="FFFFFF"/>
            <w:vAlign w:val="center"/>
          </w:tcPr>
          <w:p w14:paraId="32147DE1" w14:textId="77777777" w:rsidR="00434528" w:rsidRDefault="00000000">
            <w:pPr>
              <w:spacing w:after="0" w:line="240" w:lineRule="auto"/>
            </w:pPr>
            <w:r>
              <w:rPr>
                <w:sz w:val="22"/>
              </w:rPr>
              <w:t>Carbon intensity multiplied by positive local grid import</w:t>
            </w:r>
          </w:p>
        </w:tc>
      </w:tr>
      <w:tr w:rsidR="00434528" w14:paraId="43BD0358" w14:textId="77777777">
        <w:trPr>
          <w:cantSplit/>
        </w:trPr>
        <w:tc>
          <w:tcPr>
            <w:tcW w:w="1872" w:type="dxa"/>
            <w:shd w:val="clear" w:color="auto" w:fill="F2F5F7"/>
            <w:vAlign w:val="center"/>
          </w:tcPr>
          <w:p w14:paraId="186BE307" w14:textId="77777777" w:rsidR="00434528" w:rsidRDefault="00000000">
            <w:pPr>
              <w:spacing w:after="0" w:line="240" w:lineRule="auto"/>
            </w:pPr>
            <w:r>
              <w:rPr>
                <w:sz w:val="22"/>
              </w:rPr>
              <w:t>Fair carbon-aware MARLISA</w:t>
            </w:r>
          </w:p>
        </w:tc>
        <w:tc>
          <w:tcPr>
            <w:tcW w:w="3600" w:type="dxa"/>
            <w:shd w:val="clear" w:color="auto" w:fill="F2F5F7"/>
            <w:vAlign w:val="center"/>
          </w:tcPr>
          <w:p w14:paraId="7DF14DF1" w14:textId="77777777" w:rsidR="00434528" w:rsidRDefault="00000000">
            <w:pPr>
              <w:spacing w:after="0" w:line="240" w:lineRule="auto"/>
            </w:pPr>
            <w:r>
              <w:rPr>
                <w:sz w:val="22"/>
              </w:rPr>
              <w:t>Same MARLISA controller</w:t>
            </w:r>
          </w:p>
        </w:tc>
        <w:tc>
          <w:tcPr>
            <w:tcW w:w="3888" w:type="dxa"/>
            <w:shd w:val="clear" w:color="auto" w:fill="F2F5F7"/>
            <w:vAlign w:val="center"/>
          </w:tcPr>
          <w:p w14:paraId="2D4824EA" w14:textId="77777777" w:rsidR="00434528" w:rsidRDefault="00000000">
            <w:pPr>
              <w:spacing w:after="0" w:line="240" w:lineRule="auto"/>
            </w:pPr>
            <w:r>
              <w:rPr>
                <w:sz w:val="22"/>
              </w:rPr>
              <w:t>Carbon, occupied comfort loss, and a shared worst-building/gap penalty</w:t>
            </w:r>
          </w:p>
        </w:tc>
      </w:tr>
    </w:tbl>
    <w:p w14:paraId="453614BF" w14:textId="77777777" w:rsidR="00434528" w:rsidRDefault="00434528">
      <w:pPr>
        <w:spacing w:after="0"/>
      </w:pPr>
    </w:p>
    <w:p w14:paraId="46C6ABB1" w14:textId="77777777" w:rsidR="00434528" w:rsidRDefault="00000000">
      <w:r>
        <w:t xml:space="preserve">The latest project decision is to use </w:t>
      </w:r>
      <w:r>
        <w:rPr>
          <w:rFonts w:ascii="Consolas" w:hAnsi="Consolas"/>
          <w:sz w:val="20"/>
        </w:rPr>
        <w:t>MARL</w:t>
      </w:r>
      <w:r>
        <w:t xml:space="preserve"> for the standard MARLISA approach. Earlier discussion and numerical results using </w:t>
      </w:r>
      <w:r>
        <w:rPr>
          <w:rFonts w:ascii="Consolas" w:hAnsi="Consolas"/>
          <w:sz w:val="20"/>
        </w:rPr>
        <w:t>IndependentSACReward</w:t>
      </w:r>
      <w:r>
        <w:t xml:space="preserve"> for MARLISA have been superseded for the principal five-controller comparison. They remain relevant as motivation for an architecture ablation.</w:t>
      </w:r>
    </w:p>
    <w:p w14:paraId="4EB58A01" w14:textId="77777777" w:rsidR="00434528" w:rsidRDefault="00000000">
      <w:r>
        <w:t>The pilot uses CityLearn 3.0.2, three buildings, and three continuous actions per building: domestic-hot-water storage, electrical storage, and cooling-device power. Learning runs use seed 42, three episodes, and a 720-step window, with deterministic evaluation on the same window. The course guidelines call for responsible-AI considerations and sound experimental analysis; cross-building comfort outcomes provide a concrete connection to those requirements.</w:t>
      </w:r>
    </w:p>
    <w:p w14:paraId="257C2700" w14:textId="77777777" w:rsidR="00434528" w:rsidRDefault="00000000">
      <w:pPr>
        <w:pStyle w:val="Heading1"/>
      </w:pPr>
      <w:r>
        <w:lastRenderedPageBreak/>
        <w:t>2 Review method and evidence limits</w:t>
      </w:r>
    </w:p>
    <w:p w14:paraId="26F0EE4A" w14:textId="77777777" w:rsidR="00434528" w:rsidRDefault="00000000">
      <w:r>
        <w:t xml:space="preserve">Searches used combinations of </w:t>
      </w:r>
      <w:r>
        <w:rPr>
          <w:i/>
        </w:rPr>
        <w:t>CityLearn</w:t>
      </w:r>
      <w:r>
        <w:t xml:space="preserve">, </w:t>
      </w:r>
      <w:r>
        <w:rPr>
          <w:i/>
        </w:rPr>
        <w:t>MARLISA</w:t>
      </w:r>
      <w:r>
        <w:t xml:space="preserve">, </w:t>
      </w:r>
      <w:r>
        <w:rPr>
          <w:i/>
        </w:rPr>
        <w:t>SAC</w:t>
      </w:r>
      <w:r>
        <w:t xml:space="preserve">, </w:t>
      </w:r>
      <w:r>
        <w:rPr>
          <w:i/>
        </w:rPr>
        <w:t>carbon</w:t>
      </w:r>
      <w:r>
        <w:t xml:space="preserve">, </w:t>
      </w:r>
      <w:r>
        <w:rPr>
          <w:i/>
        </w:rPr>
        <w:t>thermal comfort</w:t>
      </w:r>
      <w:r>
        <w:t xml:space="preserve">, </w:t>
      </w:r>
      <w:r>
        <w:rPr>
          <w:i/>
        </w:rPr>
        <w:t>fairness</w:t>
      </w:r>
      <w:r>
        <w:t xml:space="preserve">, </w:t>
      </w:r>
      <w:r>
        <w:rPr>
          <w:i/>
        </w:rPr>
        <w:t>multi-agent MDP</w:t>
      </w:r>
      <w:r>
        <w:t xml:space="preserve">, and </w:t>
      </w:r>
      <w:r>
        <w:rPr>
          <w:i/>
        </w:rPr>
        <w:t>reward design</w:t>
      </w:r>
      <w:r>
        <w:t>. Starting points were the papers already listed in the project notes, the official CityLearn bibliography, and related primary research. Relevant 2026 work was included to avoid an outdated novelty claim. Selected papers contribute to at least one of environment design, continuous control, coordination, carbon/comfort objectives, fairness, transfer, or evaluation.</w:t>
      </w:r>
    </w:p>
    <w:p w14:paraId="03F244B5" w14:textId="77777777" w:rsidR="00434528" w:rsidRDefault="00000000">
      <w:r>
        <w:t>This is a focused narrative review, not a systematic review or an exhaustive census. Primary papers, proceedings, author repositories, and official implementation documentation were preferred. Full text was inspected where accessible, including CityLearn v2, the 2022 challenge report, centralized SAC, the fairness-MDP preprint, and the two recent reward-design manuscripts. Some conclusions rely on abstracts or indexed passages; access levels are listed below. No quantitative meta-analysis combines incompatible datasets, versions, or KPI denominators. Unreplicated author findings are described as reported evidence.</w:t>
      </w:r>
    </w:p>
    <w:p w14:paraId="00429399" w14:textId="77777777" w:rsidR="00434528" w:rsidRDefault="00000000">
      <w:pPr>
        <w:pStyle w:val="Heading1"/>
      </w:pPr>
      <w:r>
        <w:t>3 CityLearn's development changes what a successful controller means</w:t>
      </w:r>
    </w:p>
    <w:p w14:paraId="1524FEC5" w14:textId="77777777" w:rsidR="00434528" w:rsidRDefault="00000000">
      <w:r>
        <w:t xml:space="preserve">Vázquez-Canteli et al. introduced CityLearn as a common environment for implementing, reproducing, and comparing demand-response controllers [1]. Its value for this project is a shared experimental setting: agents can be evaluated on the same building scenario and metrics. A standardized environment enables comparison, but does not automatically make two experiments comparable when rewards, data splits, or control assets differ. </w:t>
      </w:r>
      <w:hyperlink r:id="rId8">
        <w:r>
          <w:rPr>
            <w:color w:val="17578A"/>
            <w:u w:val="single"/>
          </w:rPr>
          <w:t>CityLearn standardization paper</w:t>
        </w:r>
      </w:hyperlink>
    </w:p>
    <w:p w14:paraId="474E8929" w14:textId="77777777" w:rsidR="00434528" w:rsidRDefault="00000000">
      <w:r>
        <w:t xml:space="preserve">Nweye et al.'s CityLearn v2 paper extends the focus to thermal dynamics, occupant interaction, carbon objectives, and resilience [2]. These capabilities support evaluating whether flexible demand preserves building services. The work also demonstrates that controller behavior changes with reward specification. For this project, comfort must therefore be part of both the objective and the reported outcomes. Historical battery-only benchmarks cannot establish performance for a task that also controls cooling. </w:t>
      </w:r>
      <w:hyperlink r:id="rId9">
        <w:r>
          <w:rPr>
            <w:color w:val="17578A"/>
            <w:u w:val="single"/>
          </w:rPr>
          <w:t>CityLearn v2 paper</w:t>
        </w:r>
      </w:hyperlink>
    </w:p>
    <w:p w14:paraId="2AF0B794" w14:textId="77777777" w:rsidR="00434528" w:rsidRDefault="00000000">
      <w:r>
        <w:t xml:space="preserve">The September 2026 CityLearn v3 preprint explicitly addresses service deadlines, changing participants and assets, electrical limits, and failures [3]. It distinguishes requested from applied actions and argues for interpreting aggregate performance alongside participant and service outcomes. This strengthens the rationale for checking whether apparent carbon savings accompany reduced service. The project runs v3.0.2 but uses a legacy challenge scenario; availability of new features does not mean they are enabled in that scenario. </w:t>
      </w:r>
      <w:hyperlink r:id="rId10">
        <w:r>
          <w:rPr>
            <w:color w:val="17578A"/>
            <w:u w:val="single"/>
          </w:rPr>
          <w:t>CityLearn v3 preprint</w:t>
        </w:r>
      </w:hyperlink>
    </w:p>
    <w:p w14:paraId="6FBF71F8" w14:textId="77777777" w:rsidR="00434528" w:rsidRDefault="00000000">
      <w:r>
        <w:rPr>
          <w:b/>
        </w:rPr>
        <w:t>Project implication:</w:t>
      </w:r>
      <w:r>
        <w:t xml:space="preserve"> cite the environment papers, pin the installed version, and document the actual schema. A legacy </w:t>
      </w:r>
      <w:r>
        <w:rPr>
          <w:rFonts w:ascii="Consolas" w:hAnsi="Consolas"/>
          <w:sz w:val="20"/>
        </w:rPr>
        <w:t>env.evaluate()</w:t>
      </w:r>
      <w:r>
        <w:t xml:space="preserve"> result and a newer v3 scorecard should not be treated as interchangeable without checking definitions.</w:t>
      </w:r>
    </w:p>
    <w:p w14:paraId="1E8422B1" w14:textId="77777777" w:rsidR="00434528" w:rsidRDefault="00000000">
      <w:pPr>
        <w:pStyle w:val="Heading1"/>
      </w:pPr>
      <w:r>
        <w:lastRenderedPageBreak/>
        <w:t>4 SAC provides continuous control; MARLISA adds coordination</w:t>
      </w:r>
    </w:p>
    <w:p w14:paraId="4E33B3D8" w14:textId="77777777" w:rsidR="00434528" w:rsidRDefault="00000000">
      <w:r>
        <w:t xml:space="preserve">Haarnoja et al.'s SAC is an off-policy actor-critic method with an entropy-augmented objective [4]. Its stochastic actor and reuse of stored transitions motivate its use for continuous storage and cooling actions. The original paper supports the algorithmic choice; it does not establish that SAC will outperform a well-tuned building controller on this dataset. </w:t>
      </w:r>
      <w:hyperlink r:id="rId11">
        <w:r>
          <w:rPr>
            <w:color w:val="17578A"/>
            <w:u w:val="single"/>
          </w:rPr>
          <w:t>SAC paper</w:t>
        </w:r>
      </w:hyperlink>
    </w:p>
    <w:p w14:paraId="3087539D" w14:textId="77777777" w:rsidR="00434528" w:rsidRDefault="00000000">
      <w:r>
        <w:t xml:space="preserve">Kathirgamanathan et al. apply centralized SAC to district demand-side management [5]. One policy observes and controls the district. This offers an alternative to separate building policies, with different information and scaling requirements. Their result should be read as evidence for centralized continuous control in the historical challenge, rather than evidence about this project's independent SAC baseline. </w:t>
      </w:r>
      <w:hyperlink r:id="rId12">
        <w:r>
          <w:rPr>
            <w:color w:val="17578A"/>
            <w:u w:val="single"/>
          </w:rPr>
          <w:t>Centralized SAC paper</w:t>
        </w:r>
      </w:hyperlink>
    </w:p>
    <w:p w14:paraId="529F8853" w14:textId="77777777" w:rsidR="00434528" w:rsidRDefault="00000000">
      <w:r>
        <w:t xml:space="preserve">MARLISA means Multi-Agent Reinforcement Learning with Iterative Sequential Action Selection [6]. The project implementation uses building-specific SAC policies, learned electricity-demand estimators, and shared coordination variables. Iterative sequential action selection lets later selections incorporate updated estimates from preceding agents. This differs from independent policies acting without coordination information. The original paper's publisher full text was inaccessible in this review; implementation descriptions were checked against official documentation rather than reconstructed from secondary summaries. </w:t>
      </w:r>
      <w:hyperlink r:id="rId13">
        <w:r>
          <w:rPr>
            <w:color w:val="17578A"/>
            <w:u w:val="single"/>
          </w:rPr>
          <w:t>MARLISA implementation documentation</w:t>
        </w:r>
      </w:hyperlink>
    </w:p>
    <w:p w14:paraId="4D3DAD45" w14:textId="77777777" w:rsidR="00434528" w:rsidRDefault="00000000">
      <w:r>
        <w:t xml:space="preserve">Pinto et al. compare cooperative and coordinated building-control architectures [7]. Their comparison is useful because it treats information structure as an experimental variable and uses similar rewards. The accessible conclusion reports differences between the architectures and benefits over its RBC reference, but those findings are scenario-specific. They do not imply MARLISA superiority in the current pilot. </w:t>
      </w:r>
      <w:hyperlink r:id="rId14">
        <w:r>
          <w:rPr>
            <w:color w:val="17578A"/>
            <w:u w:val="single"/>
          </w:rPr>
          <w:t>Pinto et al., author-repository paper</w:t>
        </w:r>
      </w:hyperlink>
    </w:p>
    <w:p w14:paraId="522D1718" w14:textId="77777777" w:rsidR="00434528" w:rsidRDefault="00000000">
      <w:r>
        <w:rPr>
          <w:b/>
        </w:rPr>
        <w:t>Synthesis:</w:t>
      </w:r>
      <w:r>
        <w:t xml:space="preserve"> architecture and reward are separate design decisions. Independent SAC with an import reward versus MARLISA with a district-coupled reward compares complete approaches. It cannot isolate the effect of information sharing. Even a same-reward SAC–MARLISA comparison changes demand estimation and preprocessing as well as coordination; disabling information sharing within MARLISA gives a more targeted additional ablation.</w:t>
      </w:r>
    </w:p>
    <w:p w14:paraId="26DBC432" w14:textId="77777777" w:rsidR="00434528" w:rsidRDefault="00000000">
      <w:pPr>
        <w:pStyle w:val="Heading1"/>
      </w:pPr>
      <w:r>
        <w:t>5 Carbon reduction, load shaping, and comfort are distinct objectives</w:t>
      </w:r>
    </w:p>
    <w:p w14:paraId="580268C9" w14:textId="77777777" w:rsidR="00434528" w:rsidRDefault="00000000">
      <w:r>
        <w:t>The project's carbon reward is:</w:t>
      </w:r>
    </w:p>
    <w:p w14:paraId="6F7AD0D1" w14:textId="77777777" w:rsidR="00434528" w:rsidRDefault="00000000">
      <w:pPr>
        <w:spacing w:before="100" w:after="160"/>
        <w:jc w:val="center"/>
      </w:pPr>
      <m:oMathPara>
        <m:oMath>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max(</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 xml:space="preserve">,0),     </m:t>
          </m:r>
          <m:sSubSup>
            <m:sSubSupPr>
              <m:ctrlPr>
                <w:rPr>
                  <w:rFonts w:ascii="Cambria Math" w:hAnsi="Cambria Math"/>
                </w:rPr>
              </m:ctrlPr>
            </m:sSubSupPr>
            <m:e>
              <m:r>
                <w:rPr>
                  <w:rFonts w:ascii="Cambria Math" w:hAnsi="Cambria Math"/>
                </w:rPr>
                <m:t>r</m:t>
              </m:r>
            </m:e>
            <m:sub>
              <m:r>
                <w:rPr>
                  <w:rFonts w:ascii="Cambria Math" w:hAnsi="Cambria Math"/>
                </w:rPr>
                <m:t>i,t</m:t>
              </m:r>
            </m:sub>
            <m:sup>
              <m:r>
                <w:rPr>
                  <w:rFonts w:ascii="Cambria Math" w:hAnsi="Cambria Math"/>
                </w:rPr>
                <m:t>C</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m:t>
          </m:r>
        </m:oMath>
      </m:oMathPara>
    </w:p>
    <w:p w14:paraId="55A9CE0C" w14:textId="77777777" w:rsidR="00434528" w:rsidRDefault="00000000">
      <w:r>
        <w:t xml:space="preserve">Here, positive </w:t>
      </w:r>
      <m:oMath>
        <m:sSub>
          <m:sSubPr>
            <m:ctrlPr>
              <w:rPr>
                <w:rFonts w:ascii="Cambria Math" w:hAnsi="Cambria Math"/>
              </w:rPr>
            </m:ctrlPr>
          </m:sSubPr>
          <m:e>
            <m:r>
              <w:rPr>
                <w:rFonts w:ascii="Cambria Math" w:hAnsi="Cambria Math"/>
              </w:rPr>
              <m:t>E</m:t>
            </m:r>
          </m:e>
          <m:sub>
            <m:r>
              <w:rPr>
                <w:rFonts w:ascii="Cambria Math" w:hAnsi="Cambria Math"/>
              </w:rPr>
              <m:t>i,t</m:t>
            </m:r>
          </m:sub>
        </m:sSub>
      </m:oMath>
      <w:r>
        <w:t xml:space="preserve"> is grid-import energy and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is the dataset's carbon-intensity signal. Export receives no credit. This is operational emissions accounting within the simulation; it does not measure lifecycle emissions or establish avoided marginal grid emissions.</w:t>
      </w:r>
    </w:p>
    <w:p w14:paraId="6E528064" w14:textId="77777777" w:rsidR="00434528" w:rsidRDefault="00000000">
      <w:r>
        <w:t xml:space="preserve">Electricity reduction and carbon reduction can coincide, but temporal carbon intensity makes them different objectives. Storage can shift imports across hours, while cooling reductions can </w:t>
      </w:r>
      <w:r>
        <w:lastRenderedPageBreak/>
        <w:t>lower imports by reducing delivered service. The latter possibility makes a carbon-only score insufficient for evaluating an occupant-facing controller. This is a hypothesis to examine using actions and temperature trajectories, rather than a causal conclusion established by aggregate KPIs.</w:t>
      </w:r>
    </w:p>
    <w:p w14:paraId="6E147AF4" w14:textId="77777777" w:rsidR="00434528" w:rsidRDefault="00000000">
      <w:r>
        <w:t xml:space="preserve">The 2022 challenge report documents multiple successful approaches, including forecasting, optimization, RL, and hybrid methods [8]. Its top solutions demonstrate that advanced demand-response control is broader than one RL algorithm. The 2022 task was battery-focused, limiting direct comparability with the project's cooling-inclusive task. </w:t>
      </w:r>
      <w:hyperlink r:id="rId15">
        <w:r>
          <w:rPr>
            <w:color w:val="17578A"/>
            <w:u w:val="single"/>
          </w:rPr>
          <w:t>2022 challenge report</w:t>
        </w:r>
      </w:hyperlink>
    </w:p>
    <w:p w14:paraId="22BDE1F2" w14:textId="77777777" w:rsidR="00434528" w:rsidRDefault="00000000">
      <w:r>
        <w:t xml:space="preserve">Garmendia et al.'s CHESCA, the 2023 control-track winner, combines individual building optimization with community-level refinement [9]. It highlights generalization under limited data and the value of interpretable hierarchical control. It motivates a stronger classical or hybrid baseline if time permits; the current BasicRBC is one fixed schedule, not representative of every rule-based controller. </w:t>
      </w:r>
      <w:hyperlink r:id="rId16">
        <w:r>
          <w:rPr>
            <w:color w:val="17578A"/>
            <w:u w:val="single"/>
          </w:rPr>
          <w:t>CHESCA paper</w:t>
        </w:r>
      </w:hyperlink>
    </w:p>
    <w:p w14:paraId="6991CBC4" w14:textId="77777777" w:rsidR="00434528" w:rsidRDefault="00000000">
      <w:r>
        <w:t xml:space="preserve">PIRS replaces a simple comfort proxy with a PMV-based channel while retaining SAC [14]. Its manuscript matches weights for one key comparison and reports multiple seeds; several reported KPIs remain worse than RBC. The useful lesson is controlled reward comparison and explicit comfort assumptions. PMV requires inputs or assumptions beyond air temperature, so it is an extension option rather than a necessary replacement for the current observable setpoint proxy. The reviewed version is an arXiv manuscript; independent replication and final publication details were not verified. </w:t>
      </w:r>
      <w:hyperlink r:id="rId17">
        <w:r>
          <w:rPr>
            <w:color w:val="17578A"/>
            <w:u w:val="single"/>
          </w:rPr>
          <w:t>PIRS manuscript</w:t>
        </w:r>
      </w:hyperlink>
    </w:p>
    <w:p w14:paraId="194309A7" w14:textId="77777777" w:rsidR="00434528" w:rsidRDefault="00000000">
      <w:r>
        <w:rPr>
          <w:b/>
        </w:rPr>
        <w:t>Project implication:</w:t>
      </w:r>
      <w:r>
        <w:t xml:space="preserve"> compare external KPIs across methods, not total rewards with different definitions. Include cost, carbon, peaks, ramping, temperature violations, and service shortfalls. A controller can improve carbon while worsening another objective.</w:t>
      </w:r>
    </w:p>
    <w:p w14:paraId="3BD61147" w14:textId="77777777" w:rsidR="00434528" w:rsidRDefault="00000000">
      <w:pPr>
        <w:pStyle w:val="Heading1"/>
      </w:pPr>
      <w:r>
        <w:t>6 Fairness needs a beneficiary, a time horizon, and an acceptable service level</w:t>
      </w:r>
    </w:p>
    <w:p w14:paraId="1E61A0D2" w14:textId="77777777" w:rsidR="00434528" w:rsidRDefault="00000000">
      <w:r>
        <w:t xml:space="preserve">Ju, Ghosh, and Shroff study fairness over agents' expected cumulative returns, including max-min, proportional, and alpha-fair objectives [10]. Their analysis shows why maximizing a sum can differ from optimizing a nonlinear social-welfare function. The work provides conceptual grounding for protecting poorly served agents. Its guarantees for the studied MDP setting do not transfer to the project's continuous-action SAC controller or instantaneous reward. </w:t>
      </w:r>
      <w:hyperlink r:id="rId18">
        <w:r>
          <w:rPr>
            <w:color w:val="17578A"/>
            <w:u w:val="single"/>
          </w:rPr>
          <w:t>Fairness-MDP paper</w:t>
        </w:r>
      </w:hyperlink>
    </w:p>
    <w:p w14:paraId="22634B78" w14:textId="77777777" w:rsidR="00434528" w:rsidRDefault="00000000">
      <w:r>
        <w:t xml:space="preserve">OccuReward investigates demographic comfort equity in CityLearn using occupant profiles and iterative LLM-assisted reward design [13]. The manuscript reports improved satisfaction distribution after equity feedback. It is closely related recent work, but demographic profile equity differs from fairness across the project's three buildings. The reviewed manuscript also contains tensions between its prose about warmer preferences and the temperature ranges </w:t>
      </w:r>
      <w:r>
        <w:lastRenderedPageBreak/>
        <w:t xml:space="preserve">shown in its tables; large relative improvement percentages should not be treated as portable effect sizes. </w:t>
      </w:r>
      <w:hyperlink r:id="rId19">
        <w:r>
          <w:rPr>
            <w:color w:val="17578A"/>
            <w:u w:val="single"/>
          </w:rPr>
          <w:t>OccuReward manuscript</w:t>
        </w:r>
      </w:hyperlink>
    </w:p>
    <w:p w14:paraId="5652F064" w14:textId="77777777" w:rsidR="00434528" w:rsidRDefault="00000000">
      <w:r>
        <w:t xml:space="preserve">The project implements the following observable proxy, with band </w:t>
      </w:r>
      <m:oMath>
        <m:r>
          <w:rPr>
            <w:rFonts w:ascii="Cambria Math" w:hAnsi="Cambria Math"/>
          </w:rPr>
          <m:t>b=</m:t>
        </m:r>
        <m:sSup>
          <m:sSupPr>
            <m:ctrlPr>
              <w:rPr>
                <w:rFonts w:ascii="Cambria Math" w:hAnsi="Cambria Math"/>
              </w:rPr>
            </m:ctrlPr>
          </m:sSupPr>
          <m:e>
            <m:r>
              <w:rPr>
                <w:rFonts w:ascii="Cambria Math" w:hAnsi="Cambria Math"/>
              </w:rPr>
              <m:t>1</m:t>
            </m:r>
          </m:e>
          <m:sup>
            <m:r>
              <w:rPr>
                <w:rFonts w:ascii="Cambria Math" w:hAnsi="Cambria Math"/>
              </w:rPr>
              <m:t>°</m:t>
            </m:r>
          </m:sup>
        </m:sSup>
        <m:box>
          <m:boxPr>
            <m:ctrlPr>
              <w:rPr>
                <w:rFonts w:ascii="Cambria Math" w:hAnsi="Cambria Math"/>
              </w:rPr>
            </m:ctrlPr>
          </m:boxPr>
          <m:e>
            <m:r>
              <w:rPr>
                <w:rFonts w:ascii="Cambria Math" w:hAnsi="Cambria Math"/>
              </w:rPr>
              <m:t>C</m:t>
            </m:r>
          </m:e>
        </m:box>
      </m:oMath>
      <w:r>
        <w:t>:</w:t>
      </w:r>
    </w:p>
    <w:p w14:paraId="46DD1634" w14:textId="77777777" w:rsidR="00434528" w:rsidRDefault="00000000">
      <w:pPr>
        <w:spacing w:before="100" w:after="160"/>
        <w:jc w:val="center"/>
      </w:pPr>
      <m:oMathPara>
        <m:oMath>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=max(|</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set</m:t>
              </m:r>
            </m:sup>
          </m:sSubSup>
          <m:r>
            <w:rPr>
              <w:rFonts w:ascii="Cambria Math" w:hAnsi="Cambria Math"/>
            </w:rPr>
            <m:t>|-b,0),</m:t>
          </m:r>
        </m:oMath>
      </m:oMathPara>
    </w:p>
    <w:p w14:paraId="2AA9959E" w14:textId="77777777" w:rsidR="00434528" w:rsidRDefault="00000000">
      <w:pPr>
        <w:spacing w:before="100" w:after="160"/>
        <w:jc w:val="center"/>
      </w:pPr>
      <m:oMathPara>
        <m:oMath>
          <m:sSub>
            <m:sSubPr>
              <m:ctrlPr>
                <w:rPr>
                  <w:rFonts w:ascii="Cambria Math" w:hAnsi="Cambria Math"/>
                </w:rPr>
              </m:ctrlPr>
            </m:sSubPr>
            <m:e>
              <m:r>
                <w:rPr>
                  <w:rFonts w:ascii="Cambria Math" w:hAnsi="Cambria Math"/>
                </w:rPr>
                <m:t>L</m:t>
              </m:r>
            </m:e>
            <m:sub>
              <m:r>
                <w:rPr>
                  <w:rFonts w:ascii="Cambria Math" w:hAnsi="Cambria Math"/>
                </w:rPr>
                <m:t>i,t</m:t>
              </m:r>
            </m:sub>
          </m:sSub>
          <m:r>
            <w:rPr>
              <w:rFonts w:ascii="Cambria Math" w:hAnsi="Cambria Math"/>
            </w:rPr>
            <m:t>=</m:t>
          </m:r>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r>
                <w:rPr>
                  <w:rFonts w:ascii="Cambria Math" w:hAnsi="Cambria Math"/>
                </w:rPr>
                <m:t>occupied</m:t>
              </m:r>
            </m:sub>
          </m:sSub>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&gt;0</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m:t>
          </m:r>
        </m:oMath>
      </m:oMathPara>
    </w:p>
    <w:p w14:paraId="46DDA83D" w14:textId="77777777" w:rsidR="00434528" w:rsidRDefault="00000000">
      <w:pPr>
        <w:spacing w:before="100" w:after="160"/>
        <w:jc w:val="cente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L</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i,t</m:t>
              </m:r>
            </m:sub>
          </m:sSub>
          <m:r>
            <w:rPr>
              <w:rFonts w:ascii="Cambria Math" w:hAnsi="Cambria Math"/>
            </w:rPr>
            <m:t>),</m:t>
          </m:r>
        </m:oMath>
      </m:oMathPara>
    </w:p>
    <w:p w14:paraId="408BFDD5" w14:textId="77777777" w:rsidR="00434528" w:rsidRDefault="00000000">
      <w:pPr>
        <w:spacing w:before="100" w:after="160"/>
        <w:jc w:val="center"/>
      </w:pPr>
      <m:oMathPara>
        <m:oMath>
          <m:sSub>
            <m:sSubPr>
              <m:ctrlPr>
                <w:rPr>
                  <w:rFonts w:ascii="Cambria Math" w:hAnsi="Cambria Math"/>
                </w:rPr>
              </m:ctrlPr>
            </m:sSubPr>
            <m:e>
              <m:r>
                <w:rPr>
                  <w:rFonts w:ascii="Cambria Math" w:hAnsi="Cambria Math"/>
                </w:rPr>
                <m:t>r</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 xml:space="preserve"> </m:t>
          </m:r>
          <m:sSub>
            <m:sSubPr>
              <m:ctrlPr>
                <w:rPr>
                  <w:rFonts w:ascii="Cambria Math" w:hAnsi="Cambria Math"/>
                </w:rPr>
              </m:ctrlPr>
            </m:sSubPr>
            <m:e>
              <m:r>
                <w:rPr>
                  <w:rFonts w:ascii="Cambria Math" w:hAnsi="Cambria Math"/>
                </w:rPr>
                <m:t>L</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oMath>
      </m:oMathPara>
    </w:p>
    <w:p w14:paraId="5595ADC4" w14:textId="77777777" w:rsidR="00434528" w:rsidRDefault="00000000">
      <w:r>
        <w:t xml:space="preserve">The current weights are </w:t>
      </w:r>
      <m:oMath>
        <m:r>
          <w:rPr>
            <w:rFonts w:ascii="Cambria Math" w:hAnsi="Cambria Math"/>
          </w:rPr>
          <m:t>(1,0.25,0.25)</m:t>
        </m:r>
      </m:oMath>
      <w:r>
        <w:t xml:space="preserve">. This objective penalizes local discomfort, the worst instantaneous loss, and cross-building dispersion. It is best described as a </w:t>
      </w:r>
      <w:r>
        <w:rPr>
          <w:b/>
        </w:rPr>
        <w:t>comfort and fairness penalty added to MARLISA</w:t>
      </w:r>
      <w:r>
        <w:t>, not a theoretically guaranteed fair-RL algorithm.</w:t>
      </w:r>
    </w:p>
    <w:p w14:paraId="6A382CCA" w14:textId="77777777" w:rsidR="00434528" w:rsidRDefault="00000000">
      <w:r>
        <w:t>Several distinctions matter:</w:t>
      </w:r>
    </w:p>
    <w:p w14:paraId="081B3381" w14:textId="77777777" w:rsidR="00434528" w:rsidRDefault="00000000">
      <w:pPr>
        <w:ind w:left="317" w:hanging="317"/>
      </w:pPr>
      <w:r>
        <w:t xml:space="preserve">1. </w:t>
      </w:r>
      <w:r>
        <w:rPr>
          <w:b/>
        </w:rPr>
        <w:t>Equal poor service is still poor service.</w:t>
      </w:r>
      <w:r>
        <w:t xml:space="preserve"> A small discomfort gap can occur when every building is uncomfortable. Report mean and worst-building discomfort alongside dispersion.</w:t>
      </w:r>
    </w:p>
    <w:p w14:paraId="1693817B" w14:textId="77777777" w:rsidR="00434528" w:rsidRDefault="00000000">
      <w:pPr>
        <w:ind w:left="317" w:hanging="317"/>
      </w:pPr>
      <w:r>
        <w:t xml:space="preserve">2. </w:t>
      </w:r>
      <w:r>
        <w:rPr>
          <w:b/>
        </w:rPr>
        <w:t>Instantaneous fairness differs from cumulative fairness.</w:t>
      </w:r>
      <w:r>
        <w:t xml:space="preserve"> Minimizing a shared penalty at each hour does not directly minimize the maximum episode-level discomfort fraction. For example, rotating violations among buildings and repeatedly violating one building can have the same hourly maximum but different cumulative outcomes.</w:t>
      </w:r>
    </w:p>
    <w:p w14:paraId="33DB0634" w14:textId="77777777" w:rsidR="00434528" w:rsidRDefault="00000000">
      <w:pPr>
        <w:ind w:left="317" w:hanging="317"/>
      </w:pPr>
      <w:r>
        <w:t xml:space="preserve">3. </w:t>
      </w:r>
      <w:r>
        <w:rPr>
          <w:b/>
        </w:rPr>
        <w:t>Unoccupied buildings affect the current gap.</w:t>
      </w:r>
      <w:r>
        <w:t xml:space="preserve"> Their zero loss enters the minimum. With any unoccupied building, the minimum can be zero, making </w:t>
      </w: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=2</m:t>
        </m:r>
        <m:sSub>
          <m:sSubPr>
            <m:ctrlPr>
              <w:rPr>
                <w:rFonts w:ascii="Cambria Math" w:hAnsi="Cambria Math"/>
              </w:rPr>
            </m:ctrlPr>
          </m:sSubPr>
          <m:e>
            <m:r>
              <w:rPr>
                <w:rFonts w:ascii="Cambria Math" w:hAnsi="Cambria Math"/>
              </w:rPr>
              <m:t>max</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L</m:t>
            </m:r>
          </m:e>
          <m:sub>
            <m:r>
              <w:rPr>
                <w:rFonts w:ascii="Cambria Math" w:hAnsi="Cambria Math"/>
              </w:rPr>
              <m:t>i,t</m:t>
            </m:r>
          </m:sub>
        </m:sSub>
      </m:oMath>
      <w:r>
        <w:t>. Compare this definition with a gap restricted to occupied buildings.</w:t>
      </w:r>
    </w:p>
    <w:p w14:paraId="7489CD68" w14:textId="77777777" w:rsidR="00434528" w:rsidRDefault="00000000">
      <w:pPr>
        <w:ind w:left="317" w:hanging="317"/>
      </w:pPr>
      <w:r>
        <w:t xml:space="preserve">4. </w:t>
      </w:r>
      <w:r>
        <w:rPr>
          <w:b/>
        </w:rPr>
        <w:t>Building equality differs from occupant equality.</w:t>
      </w:r>
      <w:r>
        <w:t xml:space="preserve"> Each building currently has equal standing regardless of occupant count. That is a defensible building-level choice, but it cannot support a demographic fairness claim.</w:t>
      </w:r>
    </w:p>
    <w:p w14:paraId="659A0AC9" w14:textId="77777777" w:rsidR="00434528" w:rsidRDefault="00000000">
      <w:pPr>
        <w:ind w:left="317" w:hanging="317"/>
      </w:pPr>
      <w:r>
        <w:t xml:space="preserve">5. </w:t>
      </w:r>
      <w:r>
        <w:rPr>
          <w:b/>
        </w:rPr>
        <w:t>The fair variant changes both comfort and fairness.</w:t>
      </w:r>
      <w:r>
        <w:t xml:space="preserve"> Comparing carbon-only with fair carbon-aware MARLISA cannot identify the contribution of </w:t>
      </w:r>
      <m:oMath>
        <m:sSub>
          <m:sSubPr>
            <m:ctrlPr>
              <w:rPr>
                <w:rFonts w:ascii="Cambria Math" w:hAnsi="Cambria Math"/>
              </w:rPr>
            </m:ctrlPr>
          </m:sSubPr>
          <m:e>
            <m:r>
              <w:rPr>
                <w:rFonts w:ascii="Cambria Math" w:hAnsi="Cambria Math"/>
              </w:rPr>
              <m:t>w</m:t>
            </m:r>
          </m:e>
          <m:sub>
            <m:r>
              <w:rPr>
                <w:rFonts w:ascii="Cambria Math" w:hAnsi="Cambria Math"/>
              </w:rPr>
              <m:t>F</m:t>
            </m:r>
          </m:sub>
        </m:sSub>
      </m:oMath>
      <w:r>
        <w:t xml:space="preserve"> separately from </w:t>
      </w:r>
      <m:oMath>
        <m:sSub>
          <m:sSubPr>
            <m:ctrlPr>
              <w:rPr>
                <w:rFonts w:ascii="Cambria Math" w:hAnsi="Cambria Math"/>
              </w:rPr>
            </m:ctrlPr>
          </m:sSubPr>
          <m:e>
            <m:r>
              <w:rPr>
                <w:rFonts w:ascii="Cambria Math" w:hAnsi="Cambria Math"/>
              </w:rPr>
              <m:t>w</m:t>
            </m:r>
          </m:e>
          <m:sub>
            <m:r>
              <w:rPr>
                <w:rFonts w:ascii="Cambria Math" w:hAnsi="Cambria Math"/>
              </w:rPr>
              <m:t>H</m:t>
            </m:r>
          </m:sub>
        </m:sSub>
      </m:oMath>
      <w:r>
        <w:t>.</w:t>
      </w:r>
    </w:p>
    <w:p w14:paraId="619CB289" w14:textId="77777777" w:rsidR="00434528" w:rsidRDefault="00000000">
      <w:pPr>
        <w:ind w:left="317" w:hanging="317"/>
      </w:pPr>
      <w:r>
        <w:t xml:space="preserve">6. </w:t>
      </w:r>
      <w:r>
        <w:rPr>
          <w:b/>
        </w:rPr>
        <w:t>Weights mix units.</w:t>
      </w:r>
      <w:r>
        <w:t xml:space="preserve"> Carbon and temperature-based loss have different scales. The numerical weights do not imply percentage importance. Inspect component magnitudes and choose normalization constants using training data only.</w:t>
      </w:r>
    </w:p>
    <w:p w14:paraId="537A12BA" w14:textId="77777777" w:rsidR="00434528" w:rsidRDefault="00000000">
      <w:r>
        <w:t xml:space="preserve">Achiam et al.'s constrained-policy work motivates expressing service requirements separately from the optimized reward [11]. A future formulation could minimize emissions subject to per-building discomfort thresholds. A fixed weighted penalty may trade comfort away; it does not guarantee threshold satisfaction. The current project can evaluate those thresholds without implementing CPO. </w:t>
      </w:r>
      <w:hyperlink r:id="rId20">
        <w:r>
          <w:rPr>
            <w:color w:val="17578A"/>
            <w:u w:val="single"/>
          </w:rPr>
          <w:t>Constrained Policy Optimization</w:t>
        </w:r>
      </w:hyperlink>
    </w:p>
    <w:p w14:paraId="0D2D4510" w14:textId="77777777" w:rsidR="00434528" w:rsidRDefault="00000000">
      <w:pPr>
        <w:pStyle w:val="Heading1"/>
      </w:pPr>
      <w:r>
        <w:lastRenderedPageBreak/>
        <w:t>7 What the saved pilot supports</w:t>
      </w:r>
    </w:p>
    <w:p w14:paraId="1CBF21F9" w14:textId="77777777" w:rsidR="00434528" w:rsidRDefault="00000000">
      <w:r>
        <w:t xml:space="preserve">The following values were recalculated from each canonical </w:t>
      </w:r>
      <w:r>
        <w:rPr>
          <w:rFonts w:ascii="Consolas" w:hAnsi="Consolas"/>
          <w:sz w:val="20"/>
        </w:rPr>
        <w:t>outputs/&lt;controller&gt;/kpis.csv</w:t>
      </w:r>
      <w:r>
        <w:t>; smoke-test directories were excluded. Carbon and cost are the existing CityLearn legacy ratios against the built-in reference. They are not ratios against the separately run BasicRBC. Comfort columns are fractions, not normalized energy ratios; average discomfort is the unweighted mean of building fractions.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880"/>
        <w:gridCol w:w="1080"/>
        <w:gridCol w:w="1080"/>
        <w:gridCol w:w="1440"/>
        <w:gridCol w:w="1440"/>
        <w:gridCol w:w="1440"/>
      </w:tblGrid>
      <w:tr w:rsidR="00434528" w14:paraId="34213B37" w14:textId="77777777">
        <w:trPr>
          <w:cantSplit/>
          <w:tblHeader/>
        </w:trPr>
        <w:tc>
          <w:tcPr>
            <w:tcW w:w="2880" w:type="dxa"/>
            <w:shd w:val="clear" w:color="auto" w:fill="234A65"/>
            <w:vAlign w:val="center"/>
          </w:tcPr>
          <w:p w14:paraId="6B8718E8" w14:textId="77777777" w:rsidR="00434528" w:rsidRDefault="00000000">
            <w:pPr>
              <w:spacing w:after="0" w:line="240" w:lineRule="auto"/>
            </w:pPr>
            <w:r>
              <w:rPr>
                <w:b/>
                <w:color w:val="FFFFFF"/>
                <w:sz w:val="21"/>
              </w:rPr>
              <w:t>Controller</w:t>
            </w:r>
          </w:p>
        </w:tc>
        <w:tc>
          <w:tcPr>
            <w:tcW w:w="1080" w:type="dxa"/>
            <w:shd w:val="clear" w:color="auto" w:fill="234A65"/>
            <w:vAlign w:val="center"/>
          </w:tcPr>
          <w:p w14:paraId="38D3791D" w14:textId="77777777" w:rsidR="00434528" w:rsidRDefault="00000000">
            <w:pPr>
              <w:spacing w:after="0" w:line="240" w:lineRule="auto"/>
              <w:jc w:val="center"/>
            </w:pPr>
            <w:r>
              <w:rPr>
                <w:b/>
                <w:color w:val="FFFFFF"/>
                <w:sz w:val="21"/>
              </w:rPr>
              <w:t>Carbon ratio</w:t>
            </w:r>
          </w:p>
        </w:tc>
        <w:tc>
          <w:tcPr>
            <w:tcW w:w="1080" w:type="dxa"/>
            <w:shd w:val="clear" w:color="auto" w:fill="234A65"/>
            <w:vAlign w:val="center"/>
          </w:tcPr>
          <w:p w14:paraId="23DA18B1" w14:textId="77777777" w:rsidR="00434528" w:rsidRDefault="00000000">
            <w:pPr>
              <w:spacing w:after="0" w:line="240" w:lineRule="auto"/>
              <w:jc w:val="center"/>
            </w:pPr>
            <w:r>
              <w:rPr>
                <w:b/>
                <w:color w:val="FFFFFF"/>
                <w:sz w:val="21"/>
              </w:rPr>
              <w:t>Cost ratio</w:t>
            </w:r>
          </w:p>
        </w:tc>
        <w:tc>
          <w:tcPr>
            <w:tcW w:w="1440" w:type="dxa"/>
            <w:shd w:val="clear" w:color="auto" w:fill="234A65"/>
            <w:vAlign w:val="center"/>
          </w:tcPr>
          <w:p w14:paraId="00F1F8E6" w14:textId="77777777" w:rsidR="00434528" w:rsidRDefault="00000000">
            <w:pPr>
              <w:spacing w:after="0" w:line="240" w:lineRule="auto"/>
              <w:jc w:val="center"/>
            </w:pPr>
            <w:r>
              <w:rPr>
                <w:b/>
                <w:color w:val="FFFFFF"/>
                <w:sz w:val="21"/>
              </w:rPr>
              <w:t>Average discomfort</w:t>
            </w:r>
          </w:p>
        </w:tc>
        <w:tc>
          <w:tcPr>
            <w:tcW w:w="1440" w:type="dxa"/>
            <w:shd w:val="clear" w:color="auto" w:fill="234A65"/>
            <w:vAlign w:val="center"/>
          </w:tcPr>
          <w:p w14:paraId="5DE644AD" w14:textId="77777777" w:rsidR="00434528" w:rsidRDefault="00000000">
            <w:pPr>
              <w:spacing w:after="0" w:line="240" w:lineRule="auto"/>
              <w:jc w:val="center"/>
            </w:pPr>
            <w:r>
              <w:rPr>
                <w:b/>
                <w:color w:val="FFFFFF"/>
                <w:sz w:val="21"/>
              </w:rPr>
              <w:t>Worst discomfort</w:t>
            </w:r>
          </w:p>
        </w:tc>
        <w:tc>
          <w:tcPr>
            <w:tcW w:w="1440" w:type="dxa"/>
            <w:shd w:val="clear" w:color="auto" w:fill="234A65"/>
            <w:vAlign w:val="center"/>
          </w:tcPr>
          <w:p w14:paraId="65E598BB" w14:textId="77777777" w:rsidR="00434528" w:rsidRDefault="00000000">
            <w:pPr>
              <w:spacing w:after="0" w:line="240" w:lineRule="auto"/>
              <w:jc w:val="center"/>
            </w:pPr>
            <w:r>
              <w:rPr>
                <w:b/>
                <w:color w:val="FFFFFF"/>
                <w:sz w:val="21"/>
              </w:rPr>
              <w:t>Comfort gap</w:t>
            </w:r>
          </w:p>
        </w:tc>
      </w:tr>
      <w:tr w:rsidR="00434528" w14:paraId="2D356A04" w14:textId="77777777">
        <w:trPr>
          <w:cantSplit/>
        </w:trPr>
        <w:tc>
          <w:tcPr>
            <w:tcW w:w="2880" w:type="dxa"/>
            <w:shd w:val="clear" w:color="auto" w:fill="F2F5F7"/>
            <w:vAlign w:val="center"/>
          </w:tcPr>
          <w:p w14:paraId="79E97B6D" w14:textId="77777777" w:rsidR="00434528" w:rsidRDefault="00000000">
            <w:pPr>
              <w:spacing w:after="0" w:line="240" w:lineRule="auto"/>
            </w:pPr>
            <w:r>
              <w:rPr>
                <w:sz w:val="21"/>
              </w:rPr>
              <w:t>BasicRBC</w:t>
            </w:r>
          </w:p>
        </w:tc>
        <w:tc>
          <w:tcPr>
            <w:tcW w:w="1080" w:type="dxa"/>
            <w:shd w:val="clear" w:color="auto" w:fill="F2F5F7"/>
            <w:vAlign w:val="center"/>
          </w:tcPr>
          <w:p w14:paraId="0D310B9F" w14:textId="77777777" w:rsidR="00434528" w:rsidRDefault="00000000">
            <w:pPr>
              <w:spacing w:after="0" w:line="240" w:lineRule="auto"/>
              <w:jc w:val="center"/>
            </w:pPr>
            <w:r>
              <w:rPr>
                <w:sz w:val="21"/>
              </w:rPr>
              <w:t>1.890</w:t>
            </w:r>
          </w:p>
        </w:tc>
        <w:tc>
          <w:tcPr>
            <w:tcW w:w="1080" w:type="dxa"/>
            <w:shd w:val="clear" w:color="auto" w:fill="F2F5F7"/>
            <w:vAlign w:val="center"/>
          </w:tcPr>
          <w:p w14:paraId="2D979287" w14:textId="77777777" w:rsidR="00434528" w:rsidRDefault="00000000">
            <w:pPr>
              <w:spacing w:after="0" w:line="240" w:lineRule="auto"/>
              <w:jc w:val="center"/>
            </w:pPr>
            <w:r>
              <w:rPr>
                <w:sz w:val="21"/>
              </w:rPr>
              <w:t>1.843</w:t>
            </w:r>
          </w:p>
        </w:tc>
        <w:tc>
          <w:tcPr>
            <w:tcW w:w="1440" w:type="dxa"/>
            <w:shd w:val="clear" w:color="auto" w:fill="F2F5F7"/>
            <w:vAlign w:val="center"/>
          </w:tcPr>
          <w:p w14:paraId="2ADD0EA0" w14:textId="77777777" w:rsidR="00434528" w:rsidRDefault="00000000">
            <w:pPr>
              <w:spacing w:after="0" w:line="240" w:lineRule="auto"/>
              <w:jc w:val="center"/>
            </w:pPr>
            <w:r>
              <w:rPr>
                <w:sz w:val="21"/>
              </w:rPr>
              <w:t>0.947</w:t>
            </w:r>
          </w:p>
        </w:tc>
        <w:tc>
          <w:tcPr>
            <w:tcW w:w="1440" w:type="dxa"/>
            <w:shd w:val="clear" w:color="auto" w:fill="F2F5F7"/>
            <w:vAlign w:val="center"/>
          </w:tcPr>
          <w:p w14:paraId="7D86D1D5" w14:textId="77777777" w:rsidR="00434528" w:rsidRDefault="00000000">
            <w:pPr>
              <w:spacing w:after="0" w:line="240" w:lineRule="auto"/>
              <w:jc w:val="center"/>
            </w:pPr>
            <w:r>
              <w:rPr>
                <w:sz w:val="21"/>
              </w:rPr>
              <w:t>0.975</w:t>
            </w:r>
          </w:p>
        </w:tc>
        <w:tc>
          <w:tcPr>
            <w:tcW w:w="1440" w:type="dxa"/>
            <w:shd w:val="clear" w:color="auto" w:fill="F2F5F7"/>
            <w:vAlign w:val="center"/>
          </w:tcPr>
          <w:p w14:paraId="382CE40C" w14:textId="77777777" w:rsidR="00434528" w:rsidRDefault="00000000">
            <w:pPr>
              <w:spacing w:after="0" w:line="240" w:lineRule="auto"/>
              <w:jc w:val="center"/>
            </w:pPr>
            <w:r>
              <w:rPr>
                <w:sz w:val="21"/>
              </w:rPr>
              <w:t>0.066</w:t>
            </w:r>
          </w:p>
        </w:tc>
      </w:tr>
      <w:tr w:rsidR="00434528" w14:paraId="093C30C6" w14:textId="77777777">
        <w:trPr>
          <w:cantSplit/>
        </w:trPr>
        <w:tc>
          <w:tcPr>
            <w:tcW w:w="2880" w:type="dxa"/>
            <w:shd w:val="clear" w:color="auto" w:fill="FFFFFF"/>
            <w:vAlign w:val="center"/>
          </w:tcPr>
          <w:p w14:paraId="7530E421" w14:textId="77777777" w:rsidR="00434528" w:rsidRDefault="00000000">
            <w:pPr>
              <w:spacing w:after="0" w:line="240" w:lineRule="auto"/>
            </w:pPr>
            <w:r>
              <w:rPr>
                <w:sz w:val="21"/>
              </w:rPr>
              <w:t>Independent SAC</w:t>
            </w:r>
          </w:p>
        </w:tc>
        <w:tc>
          <w:tcPr>
            <w:tcW w:w="1080" w:type="dxa"/>
            <w:shd w:val="clear" w:color="auto" w:fill="FFFFFF"/>
            <w:vAlign w:val="center"/>
          </w:tcPr>
          <w:p w14:paraId="6FACCD88" w14:textId="77777777" w:rsidR="00434528" w:rsidRDefault="00000000">
            <w:pPr>
              <w:spacing w:after="0" w:line="240" w:lineRule="auto"/>
              <w:jc w:val="center"/>
            </w:pPr>
            <w:r>
              <w:rPr>
                <w:sz w:val="21"/>
              </w:rPr>
              <w:t>0.445</w:t>
            </w:r>
          </w:p>
        </w:tc>
        <w:tc>
          <w:tcPr>
            <w:tcW w:w="1080" w:type="dxa"/>
            <w:shd w:val="clear" w:color="auto" w:fill="FFFFFF"/>
            <w:vAlign w:val="center"/>
          </w:tcPr>
          <w:p w14:paraId="5355CADF" w14:textId="77777777" w:rsidR="00434528" w:rsidRDefault="00000000">
            <w:pPr>
              <w:spacing w:after="0" w:line="240" w:lineRule="auto"/>
              <w:jc w:val="center"/>
            </w:pPr>
            <w:r>
              <w:rPr>
                <w:sz w:val="21"/>
              </w:rPr>
              <w:t>0.418</w:t>
            </w:r>
          </w:p>
        </w:tc>
        <w:tc>
          <w:tcPr>
            <w:tcW w:w="1440" w:type="dxa"/>
            <w:shd w:val="clear" w:color="auto" w:fill="FFFFFF"/>
            <w:vAlign w:val="center"/>
          </w:tcPr>
          <w:p w14:paraId="1D54BF94" w14:textId="77777777" w:rsidR="00434528" w:rsidRDefault="00000000">
            <w:pPr>
              <w:spacing w:after="0" w:line="240" w:lineRule="auto"/>
              <w:jc w:val="center"/>
            </w:pPr>
            <w:r>
              <w:rPr>
                <w:sz w:val="21"/>
              </w:rPr>
              <w:t>0.980</w:t>
            </w:r>
          </w:p>
        </w:tc>
        <w:tc>
          <w:tcPr>
            <w:tcW w:w="1440" w:type="dxa"/>
            <w:shd w:val="clear" w:color="auto" w:fill="FFFFFF"/>
            <w:vAlign w:val="center"/>
          </w:tcPr>
          <w:p w14:paraId="57466030" w14:textId="77777777" w:rsidR="00434528" w:rsidRDefault="00000000">
            <w:pPr>
              <w:spacing w:after="0" w:line="240" w:lineRule="auto"/>
              <w:jc w:val="center"/>
            </w:pPr>
            <w:r>
              <w:rPr>
                <w:sz w:val="21"/>
              </w:rPr>
              <w:t>0.982</w:t>
            </w:r>
          </w:p>
        </w:tc>
        <w:tc>
          <w:tcPr>
            <w:tcW w:w="1440" w:type="dxa"/>
            <w:shd w:val="clear" w:color="auto" w:fill="FFFFFF"/>
            <w:vAlign w:val="center"/>
          </w:tcPr>
          <w:p w14:paraId="41E4FFF5" w14:textId="77777777" w:rsidR="00434528" w:rsidRDefault="00000000">
            <w:pPr>
              <w:spacing w:after="0" w:line="240" w:lineRule="auto"/>
              <w:jc w:val="center"/>
            </w:pPr>
            <w:r>
              <w:rPr>
                <w:sz w:val="21"/>
              </w:rPr>
              <w:t>0.004</w:t>
            </w:r>
          </w:p>
        </w:tc>
      </w:tr>
      <w:tr w:rsidR="00434528" w14:paraId="2E604426" w14:textId="77777777">
        <w:trPr>
          <w:cantSplit/>
        </w:trPr>
        <w:tc>
          <w:tcPr>
            <w:tcW w:w="2880" w:type="dxa"/>
            <w:shd w:val="clear" w:color="auto" w:fill="F2F5F7"/>
            <w:vAlign w:val="center"/>
          </w:tcPr>
          <w:p w14:paraId="6527DC71" w14:textId="77777777" w:rsidR="00434528" w:rsidRDefault="00000000">
            <w:pPr>
              <w:spacing w:after="0" w:line="240" w:lineRule="auto"/>
            </w:pPr>
            <w:r>
              <w:rPr>
                <w:sz w:val="21"/>
              </w:rPr>
              <w:t>Standard MARLISA (</w:t>
            </w:r>
            <w:r>
              <w:rPr>
                <w:rFonts w:ascii="Consolas" w:hAnsi="Consolas"/>
                <w:sz w:val="21"/>
              </w:rPr>
              <w:t>MARL</w:t>
            </w:r>
            <w:r>
              <w:rPr>
                <w:sz w:val="21"/>
              </w:rPr>
              <w:t>)</w:t>
            </w:r>
          </w:p>
        </w:tc>
        <w:tc>
          <w:tcPr>
            <w:tcW w:w="1080" w:type="dxa"/>
            <w:shd w:val="clear" w:color="auto" w:fill="F2F5F7"/>
            <w:vAlign w:val="center"/>
          </w:tcPr>
          <w:p w14:paraId="4540C3F3" w14:textId="77777777" w:rsidR="00434528" w:rsidRDefault="00000000">
            <w:pPr>
              <w:spacing w:after="0" w:line="240" w:lineRule="auto"/>
              <w:jc w:val="center"/>
            </w:pPr>
            <w:r>
              <w:rPr>
                <w:sz w:val="21"/>
              </w:rPr>
              <w:t>0.657</w:t>
            </w:r>
          </w:p>
        </w:tc>
        <w:tc>
          <w:tcPr>
            <w:tcW w:w="1080" w:type="dxa"/>
            <w:shd w:val="clear" w:color="auto" w:fill="F2F5F7"/>
            <w:vAlign w:val="center"/>
          </w:tcPr>
          <w:p w14:paraId="60AA2681" w14:textId="77777777" w:rsidR="00434528" w:rsidRDefault="00000000">
            <w:pPr>
              <w:spacing w:after="0" w:line="240" w:lineRule="auto"/>
              <w:jc w:val="center"/>
            </w:pPr>
            <w:r>
              <w:rPr>
                <w:sz w:val="21"/>
              </w:rPr>
              <w:t>0.626</w:t>
            </w:r>
          </w:p>
        </w:tc>
        <w:tc>
          <w:tcPr>
            <w:tcW w:w="1440" w:type="dxa"/>
            <w:shd w:val="clear" w:color="auto" w:fill="F2F5F7"/>
            <w:vAlign w:val="center"/>
          </w:tcPr>
          <w:p w14:paraId="7A940BE9" w14:textId="77777777" w:rsidR="00434528" w:rsidRDefault="00000000">
            <w:pPr>
              <w:spacing w:after="0" w:line="240" w:lineRule="auto"/>
              <w:jc w:val="center"/>
            </w:pPr>
            <w:r>
              <w:rPr>
                <w:sz w:val="21"/>
              </w:rPr>
              <w:t>0.514</w:t>
            </w:r>
          </w:p>
        </w:tc>
        <w:tc>
          <w:tcPr>
            <w:tcW w:w="1440" w:type="dxa"/>
            <w:shd w:val="clear" w:color="auto" w:fill="F2F5F7"/>
            <w:vAlign w:val="center"/>
          </w:tcPr>
          <w:p w14:paraId="1C99DCD0" w14:textId="77777777" w:rsidR="00434528" w:rsidRDefault="00000000">
            <w:pPr>
              <w:spacing w:after="0" w:line="240" w:lineRule="auto"/>
              <w:jc w:val="center"/>
            </w:pPr>
            <w:r>
              <w:rPr>
                <w:sz w:val="21"/>
              </w:rPr>
              <w:t>0.895</w:t>
            </w:r>
          </w:p>
        </w:tc>
        <w:tc>
          <w:tcPr>
            <w:tcW w:w="1440" w:type="dxa"/>
            <w:shd w:val="clear" w:color="auto" w:fill="F2F5F7"/>
            <w:vAlign w:val="center"/>
          </w:tcPr>
          <w:p w14:paraId="55B8D215" w14:textId="77777777" w:rsidR="00434528" w:rsidRDefault="00000000">
            <w:pPr>
              <w:spacing w:after="0" w:line="240" w:lineRule="auto"/>
              <w:jc w:val="center"/>
            </w:pPr>
            <w:r>
              <w:rPr>
                <w:sz w:val="21"/>
              </w:rPr>
              <w:t>0.656</w:t>
            </w:r>
          </w:p>
        </w:tc>
      </w:tr>
      <w:tr w:rsidR="00434528" w14:paraId="012946B7" w14:textId="77777777">
        <w:trPr>
          <w:cantSplit/>
        </w:trPr>
        <w:tc>
          <w:tcPr>
            <w:tcW w:w="2880" w:type="dxa"/>
            <w:shd w:val="clear" w:color="auto" w:fill="FFFFFF"/>
            <w:vAlign w:val="center"/>
          </w:tcPr>
          <w:p w14:paraId="3E233B73" w14:textId="77777777" w:rsidR="00434528" w:rsidRDefault="00000000">
            <w:pPr>
              <w:spacing w:after="0" w:line="240" w:lineRule="auto"/>
            </w:pPr>
            <w:r>
              <w:rPr>
                <w:sz w:val="21"/>
              </w:rPr>
              <w:t>Carbon-aware MARLISA</w:t>
            </w:r>
          </w:p>
        </w:tc>
        <w:tc>
          <w:tcPr>
            <w:tcW w:w="1080" w:type="dxa"/>
            <w:shd w:val="clear" w:color="auto" w:fill="FFFFFF"/>
            <w:vAlign w:val="center"/>
          </w:tcPr>
          <w:p w14:paraId="68AC75DA" w14:textId="77777777" w:rsidR="00434528" w:rsidRDefault="00000000">
            <w:pPr>
              <w:spacing w:after="0" w:line="240" w:lineRule="auto"/>
              <w:jc w:val="center"/>
            </w:pPr>
            <w:r>
              <w:rPr>
                <w:sz w:val="21"/>
              </w:rPr>
              <w:t>0.449</w:t>
            </w:r>
          </w:p>
        </w:tc>
        <w:tc>
          <w:tcPr>
            <w:tcW w:w="1080" w:type="dxa"/>
            <w:shd w:val="clear" w:color="auto" w:fill="FFFFFF"/>
            <w:vAlign w:val="center"/>
          </w:tcPr>
          <w:p w14:paraId="3B322C8C" w14:textId="77777777" w:rsidR="00434528" w:rsidRDefault="00000000">
            <w:pPr>
              <w:spacing w:after="0" w:line="240" w:lineRule="auto"/>
              <w:jc w:val="center"/>
            </w:pPr>
            <w:r>
              <w:rPr>
                <w:sz w:val="21"/>
              </w:rPr>
              <w:t>0.422</w:t>
            </w:r>
          </w:p>
        </w:tc>
        <w:tc>
          <w:tcPr>
            <w:tcW w:w="1440" w:type="dxa"/>
            <w:shd w:val="clear" w:color="auto" w:fill="FFFFFF"/>
            <w:vAlign w:val="center"/>
          </w:tcPr>
          <w:p w14:paraId="0EE3D679" w14:textId="77777777" w:rsidR="00434528" w:rsidRDefault="00000000">
            <w:pPr>
              <w:spacing w:after="0" w:line="240" w:lineRule="auto"/>
              <w:jc w:val="center"/>
            </w:pPr>
            <w:r>
              <w:rPr>
                <w:sz w:val="21"/>
              </w:rPr>
              <w:t>0.979</w:t>
            </w:r>
          </w:p>
        </w:tc>
        <w:tc>
          <w:tcPr>
            <w:tcW w:w="1440" w:type="dxa"/>
            <w:shd w:val="clear" w:color="auto" w:fill="FFFFFF"/>
            <w:vAlign w:val="center"/>
          </w:tcPr>
          <w:p w14:paraId="55A78ABD" w14:textId="77777777" w:rsidR="00434528" w:rsidRDefault="00000000">
            <w:pPr>
              <w:spacing w:after="0" w:line="240" w:lineRule="auto"/>
              <w:jc w:val="center"/>
            </w:pPr>
            <w:r>
              <w:rPr>
                <w:sz w:val="21"/>
              </w:rPr>
              <w:t>0.982</w:t>
            </w:r>
          </w:p>
        </w:tc>
        <w:tc>
          <w:tcPr>
            <w:tcW w:w="1440" w:type="dxa"/>
            <w:shd w:val="clear" w:color="auto" w:fill="FFFFFF"/>
            <w:vAlign w:val="center"/>
          </w:tcPr>
          <w:p w14:paraId="17826A00" w14:textId="77777777" w:rsidR="00434528" w:rsidRDefault="00000000">
            <w:pPr>
              <w:spacing w:after="0" w:line="240" w:lineRule="auto"/>
              <w:jc w:val="center"/>
            </w:pPr>
            <w:r>
              <w:rPr>
                <w:sz w:val="21"/>
              </w:rPr>
              <w:t>0.006</w:t>
            </w:r>
          </w:p>
        </w:tc>
      </w:tr>
      <w:tr w:rsidR="00434528" w14:paraId="1181AA8F" w14:textId="77777777">
        <w:trPr>
          <w:cantSplit/>
        </w:trPr>
        <w:tc>
          <w:tcPr>
            <w:tcW w:w="2880" w:type="dxa"/>
            <w:shd w:val="clear" w:color="auto" w:fill="F2F5F7"/>
            <w:vAlign w:val="center"/>
          </w:tcPr>
          <w:p w14:paraId="278A7D40" w14:textId="77777777" w:rsidR="00434528" w:rsidRDefault="00000000">
            <w:pPr>
              <w:spacing w:after="0" w:line="240" w:lineRule="auto"/>
            </w:pPr>
            <w:r>
              <w:rPr>
                <w:sz w:val="21"/>
              </w:rPr>
              <w:t>Fair carbon-aware MARLISA</w:t>
            </w:r>
          </w:p>
        </w:tc>
        <w:tc>
          <w:tcPr>
            <w:tcW w:w="1080" w:type="dxa"/>
            <w:shd w:val="clear" w:color="auto" w:fill="F2F5F7"/>
            <w:vAlign w:val="center"/>
          </w:tcPr>
          <w:p w14:paraId="06F3BE85" w14:textId="77777777" w:rsidR="00434528" w:rsidRDefault="00000000">
            <w:pPr>
              <w:spacing w:after="0" w:line="240" w:lineRule="auto"/>
              <w:jc w:val="center"/>
            </w:pPr>
            <w:r>
              <w:rPr>
                <w:sz w:val="21"/>
              </w:rPr>
              <w:t>0.873</w:t>
            </w:r>
          </w:p>
        </w:tc>
        <w:tc>
          <w:tcPr>
            <w:tcW w:w="1080" w:type="dxa"/>
            <w:shd w:val="clear" w:color="auto" w:fill="F2F5F7"/>
            <w:vAlign w:val="center"/>
          </w:tcPr>
          <w:p w14:paraId="4FE0B11F" w14:textId="77777777" w:rsidR="00434528" w:rsidRDefault="00000000">
            <w:pPr>
              <w:spacing w:after="0" w:line="240" w:lineRule="auto"/>
              <w:jc w:val="center"/>
            </w:pPr>
            <w:r>
              <w:rPr>
                <w:sz w:val="21"/>
              </w:rPr>
              <w:t>0.856</w:t>
            </w:r>
          </w:p>
        </w:tc>
        <w:tc>
          <w:tcPr>
            <w:tcW w:w="1440" w:type="dxa"/>
            <w:shd w:val="clear" w:color="auto" w:fill="F2F5F7"/>
            <w:vAlign w:val="center"/>
          </w:tcPr>
          <w:p w14:paraId="79F7C850" w14:textId="77777777" w:rsidR="00434528" w:rsidRDefault="00000000">
            <w:pPr>
              <w:spacing w:after="0" w:line="240" w:lineRule="auto"/>
              <w:jc w:val="center"/>
            </w:pPr>
            <w:r>
              <w:rPr>
                <w:sz w:val="21"/>
              </w:rPr>
              <w:t>0.201</w:t>
            </w:r>
          </w:p>
        </w:tc>
        <w:tc>
          <w:tcPr>
            <w:tcW w:w="1440" w:type="dxa"/>
            <w:shd w:val="clear" w:color="auto" w:fill="F2F5F7"/>
            <w:vAlign w:val="center"/>
          </w:tcPr>
          <w:p w14:paraId="31CCA9B0" w14:textId="77777777" w:rsidR="00434528" w:rsidRDefault="00000000">
            <w:pPr>
              <w:spacing w:after="0" w:line="240" w:lineRule="auto"/>
              <w:jc w:val="center"/>
            </w:pPr>
            <w:r>
              <w:rPr>
                <w:sz w:val="21"/>
              </w:rPr>
              <w:t>0.336</w:t>
            </w:r>
          </w:p>
        </w:tc>
        <w:tc>
          <w:tcPr>
            <w:tcW w:w="1440" w:type="dxa"/>
            <w:shd w:val="clear" w:color="auto" w:fill="F2F5F7"/>
            <w:vAlign w:val="center"/>
          </w:tcPr>
          <w:p w14:paraId="13968BE6" w14:textId="77777777" w:rsidR="00434528" w:rsidRDefault="00000000">
            <w:pPr>
              <w:spacing w:after="0" w:line="240" w:lineRule="auto"/>
              <w:jc w:val="center"/>
            </w:pPr>
            <w:r>
              <w:rPr>
                <w:sz w:val="21"/>
              </w:rPr>
              <w:t>0.203</w:t>
            </w:r>
          </w:p>
        </w:tc>
      </w:tr>
    </w:tbl>
    <w:p w14:paraId="3678E5AC" w14:textId="77777777" w:rsidR="00434528" w:rsidRDefault="00434528">
      <w:pPr>
        <w:spacing w:after="0"/>
      </w:pPr>
    </w:p>
    <w:p w14:paraId="570FDA63" w14:textId="77777777" w:rsidR="00434528" w:rsidRDefault="00000000">
      <w:r>
        <w:rPr>
          <w:b/>
        </w:rPr>
        <w:t>Observation:</w:t>
      </w:r>
      <w:r>
        <w:t xml:space="preserve"> the fair variant improves average and worst-building discomfort substantially relative to carbon-only MARLISA, while its carbon ratio increases. Relative to standard MARLISA, it also reduces the comfort gap. Relative to carbon-only MARLISA, its gap increases: carbon-only produces nearly uniform poor comfort. Therefore, claiming that the fair controller improves every fairness metric over every baseline would be inaccurate.</w:t>
      </w:r>
    </w:p>
    <w:p w14:paraId="1639FF2E" w14:textId="77777777" w:rsidR="00434528" w:rsidRDefault="00000000">
      <w:r>
        <w:rPr>
          <w:b/>
        </w:rPr>
        <w:t>Interpretation:</w:t>
      </w:r>
      <w:r>
        <w:t xml:space="preserve"> the results suggest that explicit service objectives change the carbon–comfort trade-off. They do not prove that fairness alone caused the improvement, because both comfort and fairness terms were added. Independent SAC and carbon-only MARLISA are close in carbon performance; the pilot does not demonstrate an added carbon benefit from coordination.</w:t>
      </w:r>
    </w:p>
    <w:p w14:paraId="49FF3AD0" w14:textId="77777777" w:rsidR="00434528" w:rsidRDefault="00000000">
      <w:r>
        <w:rPr>
          <w:b/>
        </w:rPr>
        <w:t>Measurement finding:</w:t>
      </w:r>
      <w:r>
        <w:t xml:space="preserve"> the runners call </w:t>
      </w:r>
      <w:r>
        <w:rPr>
          <w:rFonts w:ascii="Consolas" w:hAnsi="Consolas"/>
          <w:sz w:val="20"/>
        </w:rPr>
        <w:t>env.evaluate()</w:t>
      </w:r>
      <w:r>
        <w:t xml:space="preserve"> without a comfort-band argument. Inspection of the installed CityLearn 3.0.2 KPI implementation shows that this resolves to a 2°C band, whereas the fair reward uses 1°C. Evaluation also uses CityLearn's cooling/heating-setpoint discomfort definition, whereas the custom reward uses absolute deviation from the cooling setpoint. The saved fractions are therefore not measurements of exactly the reward's 1°C violation rule. Report the existing values as 2°C KPIs and, in future evaluation, add a separately defined 1°C metric aligned with the reward. This review flags the discrepancy without changing code or results.</w:t>
      </w:r>
    </w:p>
    <w:p w14:paraId="5F8012C1" w14:textId="77777777" w:rsidR="00434528" w:rsidRDefault="00000000">
      <w:r>
        <w:rPr>
          <w:b/>
        </w:rPr>
        <w:t>Limit:</w:t>
      </w:r>
      <w:r>
        <w:t xml:space="preserve"> three episodes on one repeated 720-step window and one training seed provide development evidence. Deterministic actions do not remove uncertainty from stochastic training. These runs cannot establish generalization, convergence, or statistical superiority.</w:t>
      </w:r>
    </w:p>
    <w:p w14:paraId="4F5C641B" w14:textId="77777777" w:rsidR="00434528" w:rsidRDefault="00000000">
      <w:pPr>
        <w:pStyle w:val="Heading1"/>
      </w:pPr>
      <w:r>
        <w:lastRenderedPageBreak/>
        <w:t>8 A defensible research gap and contribution</w:t>
      </w:r>
    </w:p>
    <w:p w14:paraId="26795287" w14:textId="77777777" w:rsidR="00434528" w:rsidRDefault="00000000">
      <w:r>
        <w:t>Existing literature covers standardized building control, centralized and decentralized architectures, carbon/comfort objectives, and fairness in sequential decisions. Recent CityLearn work already addresses occupant equity. The defensible gap is consequently narrower than “fairness has not been studied.”</w:t>
      </w:r>
    </w:p>
    <w:p w14:paraId="175FBC0B" w14:textId="77777777" w:rsidR="00434528" w:rsidRDefault="00000000">
      <w:r>
        <w:rPr>
          <w:b/>
        </w:rPr>
        <w:t>Proposed project contribution:</w:t>
      </w:r>
      <w:r>
        <w:t xml:space="preserve"> an empirical study of an explicit worst-building and comfort-gap penalty within MARLISA, separating coordination effects from carbon, comfort, and fairness reward effects, and evaluating the resulting trade-off across heterogeneous buildings on held-out periods.</w:t>
      </w:r>
    </w:p>
    <w:p w14:paraId="4EBDB1E9" w14:textId="77777777" w:rsidR="00434528" w:rsidRDefault="00000000">
      <w:r>
        <w:t xml:space="preserve">Suggested title: </w:t>
      </w:r>
      <w:r>
        <w:rPr>
          <w:b/>
        </w:rPr>
        <w:t>Fair Carbon-Aware Building Coordination with MARLISA: Evaluating Carbon–Comfort Trade-offs in CityLearn.</w:t>
      </w:r>
    </w:p>
    <w:p w14:paraId="5E5F0F29" w14:textId="77777777" w:rsidR="00434528" w:rsidRDefault="00000000">
      <w:r>
        <w:t>Three research questions make the contribution testable:</w:t>
      </w:r>
    </w:p>
    <w:p w14:paraId="7FD577B9" w14:textId="77777777" w:rsidR="00434528" w:rsidRDefault="00000000">
      <w:pPr>
        <w:pStyle w:val="ListBullet"/>
      </w:pPr>
      <w:r>
        <w:rPr>
          <w:b/>
        </w:rPr>
        <w:t>RQ1:</w:t>
      </w:r>
      <w:r>
        <w:t xml:space="preserve"> Under a matched reward and training budget, does coordination improve district outcomes compared with independent SAC?</w:t>
      </w:r>
    </w:p>
    <w:p w14:paraId="3B5F00A0" w14:textId="77777777" w:rsidR="00434528" w:rsidRDefault="00000000">
      <w:pPr>
        <w:pStyle w:val="ListBullet"/>
      </w:pPr>
      <w:r>
        <w:rPr>
          <w:b/>
        </w:rPr>
        <w:t>RQ2:</w:t>
      </w:r>
      <w:r>
        <w:t xml:space="preserve"> At a fixed local comfort penalty, does adding the shared fairness penalty improve worst-building comfort or cumulative disparity?</w:t>
      </w:r>
    </w:p>
    <w:p w14:paraId="46A7BCE3" w14:textId="77777777" w:rsidR="00434528" w:rsidRDefault="00000000">
      <w:pPr>
        <w:pStyle w:val="ListBullet"/>
      </w:pPr>
      <w:r>
        <w:rPr>
          <w:b/>
        </w:rPr>
        <w:t>RQ3:</w:t>
      </w:r>
      <w:r>
        <w:t xml:space="preserve"> Which reward settings produce acceptable comfort for every building with the lowest operational carbon emissions?</w:t>
      </w:r>
    </w:p>
    <w:p w14:paraId="2C06243C" w14:textId="77777777" w:rsidR="00434528" w:rsidRDefault="00000000">
      <w:r>
        <w:t>A negative result is still informative: if the fairness penalty adds no benefit beyond local comfort, or coordination does not help at the available budget, the report can explain that finding rather than assuming the proposed method must win.</w:t>
      </w:r>
    </w:p>
    <w:p w14:paraId="02A8EE7D" w14:textId="77777777" w:rsidR="00434528" w:rsidRDefault="00000000">
      <w:pPr>
        <w:pStyle w:val="Heading1"/>
      </w:pPr>
      <w:r>
        <w:t>9 Experiments that directly address the literature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872"/>
        <w:gridCol w:w="3600"/>
        <w:gridCol w:w="3888"/>
      </w:tblGrid>
      <w:tr w:rsidR="00434528" w14:paraId="503DB42A" w14:textId="77777777">
        <w:trPr>
          <w:cantSplit/>
          <w:tblHeader/>
        </w:trPr>
        <w:tc>
          <w:tcPr>
            <w:tcW w:w="1872" w:type="dxa"/>
            <w:shd w:val="clear" w:color="auto" w:fill="234A65"/>
            <w:vAlign w:val="center"/>
          </w:tcPr>
          <w:p w14:paraId="25D1D8F9" w14:textId="77777777" w:rsidR="00434528" w:rsidRDefault="00000000">
            <w:pPr>
              <w:spacing w:after="0" w:line="240" w:lineRule="auto"/>
            </w:pPr>
            <w:r>
              <w:rPr>
                <w:b/>
                <w:color w:val="FFFFFF"/>
                <w:sz w:val="22"/>
              </w:rPr>
              <w:t>Priority</w:t>
            </w:r>
          </w:p>
        </w:tc>
        <w:tc>
          <w:tcPr>
            <w:tcW w:w="3600" w:type="dxa"/>
            <w:shd w:val="clear" w:color="auto" w:fill="234A65"/>
            <w:vAlign w:val="center"/>
          </w:tcPr>
          <w:p w14:paraId="7E7D9EB3" w14:textId="77777777" w:rsidR="00434528" w:rsidRDefault="00000000">
            <w:pPr>
              <w:spacing w:after="0" w:line="240" w:lineRule="auto"/>
            </w:pPr>
            <w:r>
              <w:rPr>
                <w:b/>
                <w:color w:val="FFFFFF"/>
                <w:sz w:val="22"/>
              </w:rPr>
              <w:t>Experiment</w:t>
            </w:r>
          </w:p>
        </w:tc>
        <w:tc>
          <w:tcPr>
            <w:tcW w:w="3888" w:type="dxa"/>
            <w:shd w:val="clear" w:color="auto" w:fill="234A65"/>
            <w:vAlign w:val="center"/>
          </w:tcPr>
          <w:p w14:paraId="343E2C7E" w14:textId="77777777" w:rsidR="00434528" w:rsidRDefault="00000000">
            <w:pPr>
              <w:spacing w:after="0" w:line="240" w:lineRule="auto"/>
            </w:pPr>
            <w:r>
              <w:rPr>
                <w:b/>
                <w:color w:val="FFFFFF"/>
                <w:sz w:val="22"/>
              </w:rPr>
              <w:t>What it resolves</w:t>
            </w:r>
          </w:p>
        </w:tc>
      </w:tr>
      <w:tr w:rsidR="00434528" w14:paraId="40D0ADE6" w14:textId="77777777">
        <w:trPr>
          <w:cantSplit/>
        </w:trPr>
        <w:tc>
          <w:tcPr>
            <w:tcW w:w="1872" w:type="dxa"/>
            <w:shd w:val="clear" w:color="auto" w:fill="F2F5F7"/>
            <w:vAlign w:val="center"/>
          </w:tcPr>
          <w:p w14:paraId="6A3599A7" w14:textId="77777777" w:rsidR="00434528" w:rsidRDefault="00000000">
            <w:pPr>
              <w:spacing w:after="0" w:line="240" w:lineRule="auto"/>
            </w:pPr>
            <w:r>
              <w:rPr>
                <w:sz w:val="22"/>
              </w:rPr>
              <w:t>Essential</w:t>
            </w:r>
          </w:p>
        </w:tc>
        <w:tc>
          <w:tcPr>
            <w:tcW w:w="3600" w:type="dxa"/>
            <w:shd w:val="clear" w:color="auto" w:fill="F2F5F7"/>
            <w:vAlign w:val="center"/>
          </w:tcPr>
          <w:p w14:paraId="2554992D" w14:textId="77777777" w:rsidR="00434528" w:rsidRDefault="00000000">
            <w:pPr>
              <w:spacing w:after="0" w:line="240" w:lineRule="auto"/>
            </w:pPr>
            <w:r>
              <w:rPr>
                <w:sz w:val="22"/>
              </w:rPr>
              <w:t>Carbon reward; carbon + local comfort; carbon + local comfort + fairness, all within MARLISA</w:t>
            </w:r>
          </w:p>
        </w:tc>
        <w:tc>
          <w:tcPr>
            <w:tcW w:w="3888" w:type="dxa"/>
            <w:shd w:val="clear" w:color="auto" w:fill="F2F5F7"/>
            <w:vAlign w:val="center"/>
          </w:tcPr>
          <w:p w14:paraId="39851057" w14:textId="77777777" w:rsidR="00434528" w:rsidRDefault="00000000">
            <w:pPr>
              <w:spacing w:after="0" w:line="240" w:lineRule="auto"/>
            </w:pPr>
            <w:r>
              <w:rPr>
                <w:sz w:val="22"/>
              </w:rPr>
              <w:t>Distinguishes comfort effects from fairness effects</w:t>
            </w:r>
          </w:p>
        </w:tc>
      </w:tr>
      <w:tr w:rsidR="00434528" w14:paraId="6FAB6B76" w14:textId="77777777">
        <w:trPr>
          <w:cantSplit/>
        </w:trPr>
        <w:tc>
          <w:tcPr>
            <w:tcW w:w="1872" w:type="dxa"/>
            <w:shd w:val="clear" w:color="auto" w:fill="FFFFFF"/>
            <w:vAlign w:val="center"/>
          </w:tcPr>
          <w:p w14:paraId="20AC37A9" w14:textId="77777777" w:rsidR="00434528" w:rsidRDefault="00000000">
            <w:pPr>
              <w:spacing w:after="0" w:line="240" w:lineRule="auto"/>
            </w:pPr>
            <w:r>
              <w:rPr>
                <w:sz w:val="22"/>
              </w:rPr>
              <w:t>Essential</w:t>
            </w:r>
          </w:p>
        </w:tc>
        <w:tc>
          <w:tcPr>
            <w:tcW w:w="3600" w:type="dxa"/>
            <w:shd w:val="clear" w:color="auto" w:fill="FFFFFF"/>
            <w:vAlign w:val="center"/>
          </w:tcPr>
          <w:p w14:paraId="09DFFF7A" w14:textId="77777777" w:rsidR="00434528" w:rsidRDefault="00000000">
            <w:pPr>
              <w:spacing w:after="0" w:line="240" w:lineRule="auto"/>
            </w:pPr>
            <w:r>
              <w:rPr>
                <w:sz w:val="22"/>
              </w:rPr>
              <w:t>Independent SAC and MARLISA under the same selected reward</w:t>
            </w:r>
          </w:p>
        </w:tc>
        <w:tc>
          <w:tcPr>
            <w:tcW w:w="3888" w:type="dxa"/>
            <w:shd w:val="clear" w:color="auto" w:fill="FFFFFF"/>
            <w:vAlign w:val="center"/>
          </w:tcPr>
          <w:p w14:paraId="71589DD2" w14:textId="77777777" w:rsidR="00434528" w:rsidRDefault="00000000">
            <w:pPr>
              <w:spacing w:after="0" w:line="240" w:lineRule="auto"/>
            </w:pPr>
            <w:r>
              <w:rPr>
                <w:sz w:val="22"/>
              </w:rPr>
              <w:t>Tests the complete architecture change under a common objective</w:t>
            </w:r>
          </w:p>
        </w:tc>
      </w:tr>
      <w:tr w:rsidR="00434528" w14:paraId="600E1C2C" w14:textId="77777777">
        <w:trPr>
          <w:cantSplit/>
        </w:trPr>
        <w:tc>
          <w:tcPr>
            <w:tcW w:w="1872" w:type="dxa"/>
            <w:shd w:val="clear" w:color="auto" w:fill="F2F5F7"/>
            <w:vAlign w:val="center"/>
          </w:tcPr>
          <w:p w14:paraId="1E46768B" w14:textId="77777777" w:rsidR="00434528" w:rsidRDefault="00000000">
            <w:pPr>
              <w:spacing w:after="0" w:line="240" w:lineRule="auto"/>
            </w:pPr>
            <w:r>
              <w:rPr>
                <w:sz w:val="22"/>
              </w:rPr>
              <w:t>Essential</w:t>
            </w:r>
          </w:p>
        </w:tc>
        <w:tc>
          <w:tcPr>
            <w:tcW w:w="3600" w:type="dxa"/>
            <w:shd w:val="clear" w:color="auto" w:fill="F2F5F7"/>
            <w:vAlign w:val="center"/>
          </w:tcPr>
          <w:p w14:paraId="103E82E6" w14:textId="77777777" w:rsidR="00434528" w:rsidRDefault="00000000">
            <w:pPr>
              <w:spacing w:after="0" w:line="240" w:lineRule="auto"/>
            </w:pPr>
            <w:r>
              <w:rPr>
                <w:sz w:val="22"/>
              </w:rPr>
              <w:t>Fixed train/validation/test periods; frozen policies on test</w:t>
            </w:r>
          </w:p>
        </w:tc>
        <w:tc>
          <w:tcPr>
            <w:tcW w:w="3888" w:type="dxa"/>
            <w:shd w:val="clear" w:color="auto" w:fill="F2F5F7"/>
            <w:vAlign w:val="center"/>
          </w:tcPr>
          <w:p w14:paraId="49306135" w14:textId="77777777" w:rsidR="00434528" w:rsidRDefault="00000000">
            <w:pPr>
              <w:spacing w:after="0" w:line="240" w:lineRule="auto"/>
            </w:pPr>
            <w:r>
              <w:rPr>
                <w:sz w:val="22"/>
              </w:rPr>
              <w:t>Separates fitting from generalization</w:t>
            </w:r>
          </w:p>
        </w:tc>
      </w:tr>
      <w:tr w:rsidR="00434528" w14:paraId="706C092E" w14:textId="77777777">
        <w:trPr>
          <w:cantSplit/>
        </w:trPr>
        <w:tc>
          <w:tcPr>
            <w:tcW w:w="1872" w:type="dxa"/>
            <w:shd w:val="clear" w:color="auto" w:fill="FFFFFF"/>
            <w:vAlign w:val="center"/>
          </w:tcPr>
          <w:p w14:paraId="185BAFBC" w14:textId="77777777" w:rsidR="00434528" w:rsidRDefault="00000000">
            <w:pPr>
              <w:spacing w:after="0" w:line="240" w:lineRule="auto"/>
            </w:pPr>
            <w:r>
              <w:rPr>
                <w:sz w:val="22"/>
              </w:rPr>
              <w:t>Essential</w:t>
            </w:r>
          </w:p>
        </w:tc>
        <w:tc>
          <w:tcPr>
            <w:tcW w:w="3600" w:type="dxa"/>
            <w:shd w:val="clear" w:color="auto" w:fill="FFFFFF"/>
            <w:vAlign w:val="center"/>
          </w:tcPr>
          <w:p w14:paraId="10717A6B" w14:textId="77777777" w:rsidR="00434528" w:rsidRDefault="00000000">
            <w:pPr>
              <w:spacing w:after="0" w:line="240" w:lineRule="auto"/>
            </w:pPr>
            <w:r>
              <w:rPr>
                <w:sz w:val="22"/>
              </w:rPr>
              <w:t>Multiple training seeds and more training; report uncertainty</w:t>
            </w:r>
          </w:p>
        </w:tc>
        <w:tc>
          <w:tcPr>
            <w:tcW w:w="3888" w:type="dxa"/>
            <w:shd w:val="clear" w:color="auto" w:fill="FFFFFF"/>
            <w:vAlign w:val="center"/>
          </w:tcPr>
          <w:p w14:paraId="6C721A68" w14:textId="77777777" w:rsidR="00434528" w:rsidRDefault="00000000">
            <w:pPr>
              <w:spacing w:after="0" w:line="240" w:lineRule="auto"/>
            </w:pPr>
            <w:r>
              <w:rPr>
                <w:sz w:val="22"/>
              </w:rPr>
              <w:t>Checks whether pilot rankings persist</w:t>
            </w:r>
          </w:p>
        </w:tc>
      </w:tr>
      <w:tr w:rsidR="00434528" w14:paraId="58E0474D" w14:textId="77777777">
        <w:trPr>
          <w:cantSplit/>
        </w:trPr>
        <w:tc>
          <w:tcPr>
            <w:tcW w:w="1872" w:type="dxa"/>
            <w:shd w:val="clear" w:color="auto" w:fill="F2F5F7"/>
            <w:vAlign w:val="center"/>
          </w:tcPr>
          <w:p w14:paraId="7BA91E39" w14:textId="77777777" w:rsidR="00434528" w:rsidRDefault="00000000">
            <w:pPr>
              <w:spacing w:after="0" w:line="240" w:lineRule="auto"/>
            </w:pPr>
            <w:r>
              <w:rPr>
                <w:sz w:val="22"/>
              </w:rPr>
              <w:t>Essential</w:t>
            </w:r>
          </w:p>
        </w:tc>
        <w:tc>
          <w:tcPr>
            <w:tcW w:w="3600" w:type="dxa"/>
            <w:shd w:val="clear" w:color="auto" w:fill="F2F5F7"/>
            <w:vAlign w:val="center"/>
          </w:tcPr>
          <w:p w14:paraId="21F95BEE" w14:textId="77777777" w:rsidR="00434528" w:rsidRDefault="00000000">
            <w:pPr>
              <w:spacing w:after="0" w:line="240" w:lineRule="auto"/>
            </w:pPr>
            <w:r>
              <w:rPr>
                <w:sz w:val="22"/>
              </w:rPr>
              <w:t>Explicit 1°C and 2°C evaluation definitions</w:t>
            </w:r>
          </w:p>
        </w:tc>
        <w:tc>
          <w:tcPr>
            <w:tcW w:w="3888" w:type="dxa"/>
            <w:shd w:val="clear" w:color="auto" w:fill="F2F5F7"/>
            <w:vAlign w:val="center"/>
          </w:tcPr>
          <w:p w14:paraId="76489099" w14:textId="77777777" w:rsidR="00434528" w:rsidRDefault="00000000">
            <w:pPr>
              <w:spacing w:after="0" w:line="240" w:lineRule="auto"/>
            </w:pPr>
            <w:r>
              <w:rPr>
                <w:sz w:val="22"/>
              </w:rPr>
              <w:t>Resolves reward/KPI interpretation</w:t>
            </w:r>
          </w:p>
        </w:tc>
      </w:tr>
      <w:tr w:rsidR="00434528" w14:paraId="2E461711" w14:textId="77777777">
        <w:trPr>
          <w:cantSplit/>
        </w:trPr>
        <w:tc>
          <w:tcPr>
            <w:tcW w:w="1872" w:type="dxa"/>
            <w:shd w:val="clear" w:color="auto" w:fill="FFFFFF"/>
            <w:vAlign w:val="center"/>
          </w:tcPr>
          <w:p w14:paraId="2F1C296B" w14:textId="77777777" w:rsidR="00434528" w:rsidRDefault="00000000">
            <w:pPr>
              <w:spacing w:after="0" w:line="240" w:lineRule="auto"/>
            </w:pPr>
            <w:r>
              <w:rPr>
                <w:sz w:val="22"/>
              </w:rPr>
              <w:lastRenderedPageBreak/>
              <w:t>High value</w:t>
            </w:r>
          </w:p>
        </w:tc>
        <w:tc>
          <w:tcPr>
            <w:tcW w:w="3600" w:type="dxa"/>
            <w:shd w:val="clear" w:color="auto" w:fill="FFFFFF"/>
            <w:vAlign w:val="center"/>
          </w:tcPr>
          <w:p w14:paraId="666DBC8B" w14:textId="77777777" w:rsidR="00434528" w:rsidRDefault="00000000">
            <w:pPr>
              <w:spacing w:after="0" w:line="240" w:lineRule="auto"/>
            </w:pPr>
            <w:r>
              <w:rPr>
                <w:sz w:val="22"/>
              </w:rPr>
              <w:t>MARLISA information sharing on/off under a common reward</w:t>
            </w:r>
          </w:p>
        </w:tc>
        <w:tc>
          <w:tcPr>
            <w:tcW w:w="3888" w:type="dxa"/>
            <w:shd w:val="clear" w:color="auto" w:fill="FFFFFF"/>
            <w:vAlign w:val="center"/>
          </w:tcPr>
          <w:p w14:paraId="1AE71610" w14:textId="77777777" w:rsidR="00434528" w:rsidRDefault="00000000">
            <w:pPr>
              <w:spacing w:after="0" w:line="240" w:lineRule="auto"/>
            </w:pPr>
            <w:r>
              <w:rPr>
                <w:sz w:val="22"/>
              </w:rPr>
              <w:t>Targets the coordination mechanism more directly</w:t>
            </w:r>
          </w:p>
        </w:tc>
      </w:tr>
      <w:tr w:rsidR="00434528" w14:paraId="05499215" w14:textId="77777777">
        <w:trPr>
          <w:cantSplit/>
        </w:trPr>
        <w:tc>
          <w:tcPr>
            <w:tcW w:w="1872" w:type="dxa"/>
            <w:shd w:val="clear" w:color="auto" w:fill="F2F5F7"/>
            <w:vAlign w:val="center"/>
          </w:tcPr>
          <w:p w14:paraId="51EFA3F1" w14:textId="77777777" w:rsidR="00434528" w:rsidRDefault="00000000">
            <w:pPr>
              <w:spacing w:after="0" w:line="240" w:lineRule="auto"/>
            </w:pPr>
            <w:r>
              <w:rPr>
                <w:sz w:val="22"/>
              </w:rPr>
              <w:t>High value</w:t>
            </w:r>
          </w:p>
        </w:tc>
        <w:tc>
          <w:tcPr>
            <w:tcW w:w="3600" w:type="dxa"/>
            <w:shd w:val="clear" w:color="auto" w:fill="F2F5F7"/>
            <w:vAlign w:val="center"/>
          </w:tcPr>
          <w:p w14:paraId="71713A4D" w14:textId="77777777" w:rsidR="00434528" w:rsidRDefault="00000000">
            <w:pPr>
              <w:spacing w:after="0" w:line="240" w:lineRule="auto"/>
            </w:pPr>
            <w:r>
              <w:rPr>
                <w:sz w:val="22"/>
              </w:rPr>
              <w:t>Small comfort/fairness weight sweep on validation data</w:t>
            </w:r>
          </w:p>
        </w:tc>
        <w:tc>
          <w:tcPr>
            <w:tcW w:w="3888" w:type="dxa"/>
            <w:shd w:val="clear" w:color="auto" w:fill="F2F5F7"/>
            <w:vAlign w:val="center"/>
          </w:tcPr>
          <w:p w14:paraId="1FD68F70" w14:textId="77777777" w:rsidR="00434528" w:rsidRDefault="00000000">
            <w:pPr>
              <w:spacing w:after="0" w:line="240" w:lineRule="auto"/>
            </w:pPr>
            <w:r>
              <w:rPr>
                <w:sz w:val="22"/>
              </w:rPr>
              <w:t>Finds the carbon–comfort trade-off without test-set tuning</w:t>
            </w:r>
          </w:p>
        </w:tc>
      </w:tr>
      <w:tr w:rsidR="00434528" w14:paraId="780CDFCE" w14:textId="77777777">
        <w:trPr>
          <w:cantSplit/>
        </w:trPr>
        <w:tc>
          <w:tcPr>
            <w:tcW w:w="1872" w:type="dxa"/>
            <w:shd w:val="clear" w:color="auto" w:fill="FFFFFF"/>
            <w:vAlign w:val="center"/>
          </w:tcPr>
          <w:p w14:paraId="7275F3A9" w14:textId="77777777" w:rsidR="00434528" w:rsidRDefault="00000000">
            <w:pPr>
              <w:spacing w:after="0" w:line="240" w:lineRule="auto"/>
            </w:pPr>
            <w:r>
              <w:rPr>
                <w:sz w:val="22"/>
              </w:rPr>
              <w:t>High value</w:t>
            </w:r>
          </w:p>
        </w:tc>
        <w:tc>
          <w:tcPr>
            <w:tcW w:w="3600" w:type="dxa"/>
            <w:shd w:val="clear" w:color="auto" w:fill="FFFFFF"/>
            <w:vAlign w:val="center"/>
          </w:tcPr>
          <w:p w14:paraId="321197E7" w14:textId="77777777" w:rsidR="00434528" w:rsidRDefault="00000000">
            <w:pPr>
              <w:spacing w:after="0" w:line="240" w:lineRule="auto"/>
            </w:pPr>
            <w:r>
              <w:rPr>
                <w:sz w:val="22"/>
              </w:rPr>
              <w:t>Current gap versus occupied-only gap</w:t>
            </w:r>
          </w:p>
        </w:tc>
        <w:tc>
          <w:tcPr>
            <w:tcW w:w="3888" w:type="dxa"/>
            <w:shd w:val="clear" w:color="auto" w:fill="FFFFFF"/>
            <w:vAlign w:val="center"/>
          </w:tcPr>
          <w:p w14:paraId="67FD35FB" w14:textId="77777777" w:rsidR="00434528" w:rsidRDefault="00000000">
            <w:pPr>
              <w:spacing w:after="0" w:line="240" w:lineRule="auto"/>
            </w:pPr>
            <w:r>
              <w:rPr>
                <w:sz w:val="22"/>
              </w:rPr>
              <w:t>Checks sensitivity to the definition of beneficiaries</w:t>
            </w:r>
          </w:p>
        </w:tc>
      </w:tr>
      <w:tr w:rsidR="00434528" w14:paraId="0266186D" w14:textId="77777777">
        <w:trPr>
          <w:cantSplit/>
        </w:trPr>
        <w:tc>
          <w:tcPr>
            <w:tcW w:w="1872" w:type="dxa"/>
            <w:shd w:val="clear" w:color="auto" w:fill="F2F5F7"/>
            <w:vAlign w:val="center"/>
          </w:tcPr>
          <w:p w14:paraId="20F2EB2F" w14:textId="77777777" w:rsidR="00434528" w:rsidRDefault="00000000">
            <w:pPr>
              <w:spacing w:after="0" w:line="240" w:lineRule="auto"/>
            </w:pPr>
            <w:r>
              <w:rPr>
                <w:sz w:val="22"/>
              </w:rPr>
              <w:t>Optional</w:t>
            </w:r>
          </w:p>
        </w:tc>
        <w:tc>
          <w:tcPr>
            <w:tcW w:w="3600" w:type="dxa"/>
            <w:shd w:val="clear" w:color="auto" w:fill="F2F5F7"/>
            <w:vAlign w:val="center"/>
          </w:tcPr>
          <w:p w14:paraId="22351B9B" w14:textId="77777777" w:rsidR="00434528" w:rsidRDefault="00000000">
            <w:pPr>
              <w:spacing w:after="0" w:line="240" w:lineRule="auto"/>
            </w:pPr>
            <w:r>
              <w:rPr>
                <w:sz w:val="22"/>
              </w:rPr>
              <w:t>Tuned comfort-aware RBC or an MPC/hybrid comparator</w:t>
            </w:r>
          </w:p>
        </w:tc>
        <w:tc>
          <w:tcPr>
            <w:tcW w:w="3888" w:type="dxa"/>
            <w:shd w:val="clear" w:color="auto" w:fill="F2F5F7"/>
            <w:vAlign w:val="center"/>
          </w:tcPr>
          <w:p w14:paraId="6A70BF41" w14:textId="77777777" w:rsidR="00434528" w:rsidRDefault="00000000">
            <w:pPr>
              <w:spacing w:after="0" w:line="240" w:lineRule="auto"/>
            </w:pPr>
            <w:r>
              <w:rPr>
                <w:sz w:val="22"/>
              </w:rPr>
              <w:t>Tests performance against a stronger classical reference</w:t>
            </w:r>
          </w:p>
        </w:tc>
      </w:tr>
    </w:tbl>
    <w:p w14:paraId="21C3D216" w14:textId="77777777" w:rsidR="00434528" w:rsidRDefault="00434528">
      <w:pPr>
        <w:spacing w:after="0"/>
      </w:pPr>
    </w:p>
    <w:p w14:paraId="705F4A38" w14:textId="77777777" w:rsidR="00434528" w:rsidRDefault="00000000">
      <w:r>
        <w:t>Use a chronological split if the available data supports it, with enough variation in weather, occupancy, prices, and carbon intensity to make the test meaningful. The current schema covers only steps 0–719, so a longer source dataset or an explicitly separate scenario may be needed. Freeze demand regressors, PCA, normalization, and learning updates consistently at evaluation; declaring deterministic action selection alone is insufficient to establish that all adaptation has stopped.</w:t>
      </w:r>
    </w:p>
    <w:p w14:paraId="12AF27FA" w14:textId="77777777" w:rsidR="00434528" w:rsidRDefault="00000000">
      <w:r>
        <w:t xml:space="preserve">A pragmatic starting point is five training seeds, with additional seeds if variability prevents useful conclusions. Report per-seed results, means, spread, and cautiously interpreted confidence intervals. Match interaction budgets and also record wall-clock time: MARLISA adds estimation and sequential selection overhead. Agarwal et al. show why few-run point estimates can give unreliable rankings [15]. Their evaluation principles apply here, although cross-benchmark aggregate statistics are unnecessary for a single small scenario. </w:t>
      </w:r>
      <w:hyperlink r:id="rId21">
        <w:r>
          <w:rPr>
            <w:color w:val="17578A"/>
            <w:u w:val="single"/>
          </w:rPr>
          <w:t>Statistical evaluation paper</w:t>
        </w:r>
      </w:hyperlink>
    </w:p>
    <w:p w14:paraId="649D6F5F" w14:textId="77777777" w:rsidR="00434528" w:rsidRDefault="00000000">
      <w:r>
        <w:t>Report absolute operational emissions where possible, the existing built-in ratios with their denominator stated, and percentage differences versus the separately evaluated RBC. Keep training rewards within their own experiment. Use a carbon versus worst-building-discomfort plot and mark any predefined acceptable-comfort threshold. Plot temperature and cooling-action trajectories to investigate whether savings come from shifting energy or reducing service; also inspect ramping, outage shortfalls, and terminal storage state.</w:t>
      </w:r>
    </w:p>
    <w:p w14:paraId="06C66948" w14:textId="77777777" w:rsidR="00434528" w:rsidRDefault="00000000">
      <w:r>
        <w:t xml:space="preserve">MERLIN studies transfer and offline learning to reduce training requirements in a real-community digital twin [12]. It supports treating data efficiency and transfer as meaningful follow-up questions. Its battery-control findings do not justify extrapolating this pilot's short training horizon to adequate cooling-control training. </w:t>
      </w:r>
      <w:hyperlink r:id="rId22">
        <w:r>
          <w:rPr>
            <w:color w:val="17578A"/>
            <w:u w:val="single"/>
          </w:rPr>
          <w:t>MERLIN paper</w:t>
        </w:r>
      </w:hyperlink>
    </w:p>
    <w:p w14:paraId="04C19380" w14:textId="77777777" w:rsidR="00434528" w:rsidRDefault="00000000">
      <w:pPr>
        <w:pStyle w:val="Heading1"/>
      </w:pPr>
      <w:r>
        <w:t>10 How to read the papers for this project</w:t>
      </w:r>
    </w:p>
    <w:p w14:paraId="11444CA7" w14:textId="77777777" w:rsidR="00434528" w:rsidRDefault="00000000">
      <w:r>
        <w:t xml:space="preserve">Read in this order: CityLearn v2 [2]; CityLearn standardization [1]; SAC [4]; MARLISA [6] alongside the installed implementation; centralized SAC [5] and architectural comparison [7]; </w:t>
      </w:r>
      <w:r>
        <w:lastRenderedPageBreak/>
        <w:t>fairness-MDP [10]; CHESCA [9]; OccuReward [13] and PIRS [14]; evaluation [15]; then v3 [3], constraints [11], and transfer [12] as extensions.</w:t>
      </w:r>
    </w:p>
    <w:p w14:paraId="043D4A29" w14:textId="77777777" w:rsidR="00434528" w:rsidRDefault="00000000">
      <w:r>
        <w:t>For each paper, record these fields: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088"/>
        <w:gridCol w:w="7272"/>
      </w:tblGrid>
      <w:tr w:rsidR="00434528" w14:paraId="0379B1E2" w14:textId="77777777">
        <w:trPr>
          <w:cantSplit/>
          <w:tblHeader/>
        </w:trPr>
        <w:tc>
          <w:tcPr>
            <w:tcW w:w="2088" w:type="dxa"/>
            <w:shd w:val="clear" w:color="auto" w:fill="234A65"/>
            <w:vAlign w:val="center"/>
          </w:tcPr>
          <w:p w14:paraId="3E52AFCE" w14:textId="77777777" w:rsidR="00434528" w:rsidRDefault="00000000">
            <w:pPr>
              <w:spacing w:after="0" w:line="240" w:lineRule="auto"/>
            </w:pPr>
            <w:r>
              <w:rPr>
                <w:b/>
                <w:color w:val="FFFFFF"/>
                <w:sz w:val="22"/>
              </w:rPr>
              <w:t>Field</w:t>
            </w:r>
          </w:p>
        </w:tc>
        <w:tc>
          <w:tcPr>
            <w:tcW w:w="7272" w:type="dxa"/>
            <w:shd w:val="clear" w:color="auto" w:fill="234A65"/>
            <w:vAlign w:val="center"/>
          </w:tcPr>
          <w:p w14:paraId="052F526C" w14:textId="77777777" w:rsidR="00434528" w:rsidRDefault="00000000">
            <w:pPr>
              <w:spacing w:after="0" w:line="240" w:lineRule="auto"/>
            </w:pPr>
            <w:r>
              <w:rPr>
                <w:b/>
                <w:color w:val="FFFFFF"/>
                <w:sz w:val="22"/>
              </w:rPr>
              <w:t>Question to answer</w:t>
            </w:r>
          </w:p>
        </w:tc>
      </w:tr>
      <w:tr w:rsidR="00434528" w14:paraId="3C0F694C" w14:textId="77777777">
        <w:trPr>
          <w:cantSplit/>
        </w:trPr>
        <w:tc>
          <w:tcPr>
            <w:tcW w:w="2088" w:type="dxa"/>
            <w:shd w:val="clear" w:color="auto" w:fill="F2F5F7"/>
            <w:vAlign w:val="center"/>
          </w:tcPr>
          <w:p w14:paraId="6EA9EADD" w14:textId="77777777" w:rsidR="00434528" w:rsidRDefault="00000000">
            <w:pPr>
              <w:spacing w:after="0" w:line="240" w:lineRule="auto"/>
            </w:pPr>
            <w:r>
              <w:rPr>
                <w:sz w:val="22"/>
              </w:rPr>
              <w:t>Task</w:t>
            </w:r>
          </w:p>
        </w:tc>
        <w:tc>
          <w:tcPr>
            <w:tcW w:w="7272" w:type="dxa"/>
            <w:shd w:val="clear" w:color="auto" w:fill="F2F5F7"/>
            <w:vAlign w:val="center"/>
          </w:tcPr>
          <w:p w14:paraId="07A4103B" w14:textId="77777777" w:rsidR="00434528" w:rsidRDefault="00000000">
            <w:pPr>
              <w:spacing w:after="0" w:line="240" w:lineRule="auto"/>
            </w:pPr>
            <w:r>
              <w:rPr>
                <w:sz w:val="22"/>
              </w:rPr>
              <w:t>Which assets are controllable, and does control affect indoor temperature?</w:t>
            </w:r>
          </w:p>
        </w:tc>
      </w:tr>
      <w:tr w:rsidR="00434528" w14:paraId="54C73115" w14:textId="77777777">
        <w:trPr>
          <w:cantSplit/>
        </w:trPr>
        <w:tc>
          <w:tcPr>
            <w:tcW w:w="2088" w:type="dxa"/>
            <w:shd w:val="clear" w:color="auto" w:fill="FFFFFF"/>
            <w:vAlign w:val="center"/>
          </w:tcPr>
          <w:p w14:paraId="3647557D" w14:textId="77777777" w:rsidR="00434528" w:rsidRDefault="00000000">
            <w:pPr>
              <w:spacing w:after="0" w:line="240" w:lineRule="auto"/>
            </w:pPr>
            <w:r>
              <w:rPr>
                <w:sz w:val="22"/>
              </w:rPr>
              <w:t>Observations</w:t>
            </w:r>
          </w:p>
        </w:tc>
        <w:tc>
          <w:tcPr>
            <w:tcW w:w="7272" w:type="dxa"/>
            <w:shd w:val="clear" w:color="auto" w:fill="FFFFFF"/>
            <w:vAlign w:val="center"/>
          </w:tcPr>
          <w:p w14:paraId="69A75DD2" w14:textId="77777777" w:rsidR="00434528" w:rsidRDefault="00000000">
            <w:pPr>
              <w:spacing w:after="0" w:line="240" w:lineRule="auto"/>
            </w:pPr>
            <w:r>
              <w:rPr>
                <w:sz w:val="22"/>
              </w:rPr>
              <w:t>What is available at decision time? Are forecasts realistic or perfect?</w:t>
            </w:r>
          </w:p>
        </w:tc>
      </w:tr>
      <w:tr w:rsidR="00434528" w14:paraId="39CD56CE" w14:textId="77777777">
        <w:trPr>
          <w:cantSplit/>
        </w:trPr>
        <w:tc>
          <w:tcPr>
            <w:tcW w:w="2088" w:type="dxa"/>
            <w:shd w:val="clear" w:color="auto" w:fill="F2F5F7"/>
            <w:vAlign w:val="center"/>
          </w:tcPr>
          <w:p w14:paraId="78B2CCC4" w14:textId="77777777" w:rsidR="00434528" w:rsidRDefault="00000000">
            <w:pPr>
              <w:spacing w:after="0" w:line="240" w:lineRule="auto"/>
            </w:pPr>
            <w:r>
              <w:rPr>
                <w:sz w:val="22"/>
              </w:rPr>
              <w:t>Architecture</w:t>
            </w:r>
          </w:p>
        </w:tc>
        <w:tc>
          <w:tcPr>
            <w:tcW w:w="7272" w:type="dxa"/>
            <w:shd w:val="clear" w:color="auto" w:fill="F2F5F7"/>
            <w:vAlign w:val="center"/>
          </w:tcPr>
          <w:p w14:paraId="7E6668BF" w14:textId="77777777" w:rsidR="00434528" w:rsidRDefault="00000000">
            <w:pPr>
              <w:spacing w:after="0" w:line="240" w:lineRule="auto"/>
            </w:pPr>
            <w:r>
              <w:rPr>
                <w:sz w:val="22"/>
              </w:rPr>
              <w:t>Who observes the district, shares information, and selects actions?</w:t>
            </w:r>
          </w:p>
        </w:tc>
      </w:tr>
      <w:tr w:rsidR="00434528" w14:paraId="71137605" w14:textId="77777777">
        <w:trPr>
          <w:cantSplit/>
        </w:trPr>
        <w:tc>
          <w:tcPr>
            <w:tcW w:w="2088" w:type="dxa"/>
            <w:shd w:val="clear" w:color="auto" w:fill="FFFFFF"/>
            <w:vAlign w:val="center"/>
          </w:tcPr>
          <w:p w14:paraId="1587FA93" w14:textId="77777777" w:rsidR="00434528" w:rsidRDefault="00000000">
            <w:pPr>
              <w:spacing w:after="0" w:line="240" w:lineRule="auto"/>
            </w:pPr>
            <w:r>
              <w:rPr>
                <w:sz w:val="22"/>
              </w:rPr>
              <w:t>Reward</w:t>
            </w:r>
          </w:p>
        </w:tc>
        <w:tc>
          <w:tcPr>
            <w:tcW w:w="7272" w:type="dxa"/>
            <w:shd w:val="clear" w:color="auto" w:fill="FFFFFF"/>
            <w:vAlign w:val="center"/>
          </w:tcPr>
          <w:p w14:paraId="1CA495CC" w14:textId="77777777" w:rsidR="00434528" w:rsidRDefault="00000000">
            <w:pPr>
              <w:spacing w:after="0" w:line="240" w:lineRule="auto"/>
            </w:pPr>
            <w:r>
              <w:rPr>
                <w:sz w:val="22"/>
              </w:rPr>
              <w:t>Which objectives, units, weights, and export accounting are used?</w:t>
            </w:r>
          </w:p>
        </w:tc>
      </w:tr>
      <w:tr w:rsidR="00434528" w14:paraId="70BDF64C" w14:textId="77777777">
        <w:trPr>
          <w:cantSplit/>
        </w:trPr>
        <w:tc>
          <w:tcPr>
            <w:tcW w:w="2088" w:type="dxa"/>
            <w:shd w:val="clear" w:color="auto" w:fill="F2F5F7"/>
            <w:vAlign w:val="center"/>
          </w:tcPr>
          <w:p w14:paraId="12A37F87" w14:textId="77777777" w:rsidR="00434528" w:rsidRDefault="00000000">
            <w:pPr>
              <w:spacing w:after="0" w:line="240" w:lineRule="auto"/>
            </w:pPr>
            <w:r>
              <w:rPr>
                <w:sz w:val="22"/>
              </w:rPr>
              <w:t>Fairness</w:t>
            </w:r>
          </w:p>
        </w:tc>
        <w:tc>
          <w:tcPr>
            <w:tcW w:w="7272" w:type="dxa"/>
            <w:shd w:val="clear" w:color="auto" w:fill="F2F5F7"/>
            <w:vAlign w:val="center"/>
          </w:tcPr>
          <w:p w14:paraId="25600C20" w14:textId="77777777" w:rsidR="00434528" w:rsidRDefault="00000000">
            <w:pPr>
              <w:spacing w:after="0" w:line="240" w:lineRule="auto"/>
            </w:pPr>
            <w:r>
              <w:rPr>
                <w:sz w:val="22"/>
              </w:rPr>
              <w:t>Fairness for which entities, over what horizon, and measured how?</w:t>
            </w:r>
          </w:p>
        </w:tc>
      </w:tr>
      <w:tr w:rsidR="00434528" w14:paraId="58B56C95" w14:textId="77777777">
        <w:trPr>
          <w:cantSplit/>
        </w:trPr>
        <w:tc>
          <w:tcPr>
            <w:tcW w:w="2088" w:type="dxa"/>
            <w:shd w:val="clear" w:color="auto" w:fill="FFFFFF"/>
            <w:vAlign w:val="center"/>
          </w:tcPr>
          <w:p w14:paraId="429EB72C" w14:textId="77777777" w:rsidR="00434528" w:rsidRDefault="00000000">
            <w:pPr>
              <w:spacing w:after="0" w:line="240" w:lineRule="auto"/>
            </w:pPr>
            <w:r>
              <w:rPr>
                <w:sz w:val="22"/>
              </w:rPr>
              <w:t>Baseline</w:t>
            </w:r>
          </w:p>
        </w:tc>
        <w:tc>
          <w:tcPr>
            <w:tcW w:w="7272" w:type="dxa"/>
            <w:shd w:val="clear" w:color="auto" w:fill="FFFFFF"/>
            <w:vAlign w:val="center"/>
          </w:tcPr>
          <w:p w14:paraId="5DE5ECAC" w14:textId="77777777" w:rsidR="00434528" w:rsidRDefault="00000000">
            <w:pPr>
              <w:spacing w:after="0" w:line="240" w:lineRule="auto"/>
            </w:pPr>
            <w:r>
              <w:rPr>
                <w:sz w:val="22"/>
              </w:rPr>
              <w:t>Fixed rules, tuned rules, no-storage reference, or stronger optimizer?</w:t>
            </w:r>
          </w:p>
        </w:tc>
      </w:tr>
      <w:tr w:rsidR="00434528" w14:paraId="09F1DD3A" w14:textId="77777777">
        <w:trPr>
          <w:cantSplit/>
        </w:trPr>
        <w:tc>
          <w:tcPr>
            <w:tcW w:w="2088" w:type="dxa"/>
            <w:shd w:val="clear" w:color="auto" w:fill="F2F5F7"/>
            <w:vAlign w:val="center"/>
          </w:tcPr>
          <w:p w14:paraId="431371C3" w14:textId="77777777" w:rsidR="00434528" w:rsidRDefault="00000000">
            <w:pPr>
              <w:spacing w:after="0" w:line="240" w:lineRule="auto"/>
            </w:pPr>
            <w:r>
              <w:rPr>
                <w:sz w:val="22"/>
              </w:rPr>
              <w:t>Evaluation</w:t>
            </w:r>
          </w:p>
        </w:tc>
        <w:tc>
          <w:tcPr>
            <w:tcW w:w="7272" w:type="dxa"/>
            <w:shd w:val="clear" w:color="auto" w:fill="F2F5F7"/>
            <w:vAlign w:val="center"/>
          </w:tcPr>
          <w:p w14:paraId="5C001350" w14:textId="77777777" w:rsidR="00434528" w:rsidRDefault="00000000">
            <w:pPr>
              <w:spacing w:after="0" w:line="240" w:lineRule="auto"/>
            </w:pPr>
            <w:r>
              <w:rPr>
                <w:sz w:val="22"/>
              </w:rPr>
              <w:t>Held-out time/buildings, number of seeds, uncertainty, and compute?</w:t>
            </w:r>
          </w:p>
        </w:tc>
      </w:tr>
      <w:tr w:rsidR="00434528" w14:paraId="20425DDF" w14:textId="77777777">
        <w:trPr>
          <w:cantSplit/>
        </w:trPr>
        <w:tc>
          <w:tcPr>
            <w:tcW w:w="2088" w:type="dxa"/>
            <w:shd w:val="clear" w:color="auto" w:fill="FFFFFF"/>
            <w:vAlign w:val="center"/>
          </w:tcPr>
          <w:p w14:paraId="1EC0A289" w14:textId="77777777" w:rsidR="00434528" w:rsidRDefault="00000000">
            <w:pPr>
              <w:spacing w:after="0" w:line="240" w:lineRule="auto"/>
            </w:pPr>
            <w:r>
              <w:rPr>
                <w:sz w:val="22"/>
              </w:rPr>
              <w:t>Attribution</w:t>
            </w:r>
          </w:p>
        </w:tc>
        <w:tc>
          <w:tcPr>
            <w:tcW w:w="7272" w:type="dxa"/>
            <w:shd w:val="clear" w:color="auto" w:fill="FFFFFF"/>
            <w:vAlign w:val="center"/>
          </w:tcPr>
          <w:p w14:paraId="5F28188A" w14:textId="77777777" w:rsidR="00434528" w:rsidRDefault="00000000">
            <w:pPr>
              <w:spacing w:after="0" w:line="240" w:lineRule="auto"/>
            </w:pPr>
            <w:r>
              <w:rPr>
                <w:sz w:val="22"/>
              </w:rPr>
              <w:t>Which variables change simultaneously, and what do the ablations isolate?</w:t>
            </w:r>
          </w:p>
        </w:tc>
      </w:tr>
      <w:tr w:rsidR="00434528" w14:paraId="439F045E" w14:textId="77777777">
        <w:trPr>
          <w:cantSplit/>
        </w:trPr>
        <w:tc>
          <w:tcPr>
            <w:tcW w:w="2088" w:type="dxa"/>
            <w:shd w:val="clear" w:color="auto" w:fill="F2F5F7"/>
            <w:vAlign w:val="center"/>
          </w:tcPr>
          <w:p w14:paraId="2D17F188" w14:textId="77777777" w:rsidR="00434528" w:rsidRDefault="00000000">
            <w:pPr>
              <w:spacing w:after="0" w:line="240" w:lineRule="auto"/>
            </w:pPr>
            <w:r>
              <w:rPr>
                <w:sz w:val="22"/>
              </w:rPr>
              <w:t>Reproducibility</w:t>
            </w:r>
          </w:p>
        </w:tc>
        <w:tc>
          <w:tcPr>
            <w:tcW w:w="7272" w:type="dxa"/>
            <w:shd w:val="clear" w:color="auto" w:fill="F2F5F7"/>
            <w:vAlign w:val="center"/>
          </w:tcPr>
          <w:p w14:paraId="0A99A6C2" w14:textId="77777777" w:rsidR="00434528" w:rsidRDefault="00000000">
            <w:pPr>
              <w:spacing w:after="0" w:line="240" w:lineRule="auto"/>
            </w:pPr>
            <w:r>
              <w:rPr>
                <w:sz w:val="22"/>
              </w:rPr>
              <w:t>Version, dataset, code, and exact KPI denominator?</w:t>
            </w:r>
          </w:p>
        </w:tc>
      </w:tr>
    </w:tbl>
    <w:p w14:paraId="46776436" w14:textId="77777777" w:rsidR="00434528" w:rsidRDefault="00434528">
      <w:pPr>
        <w:spacing w:after="0"/>
      </w:pPr>
    </w:p>
    <w:p w14:paraId="6D4C5231" w14:textId="77777777" w:rsidR="00434528" w:rsidRDefault="00000000">
      <w:r>
        <w:t>Avoid copying percentage improvements between papers as though they share a denominator. A score normalized to an author's RBC can differ from the project's legacy no-storage-with-PV reference even when both are called a baseline.</w:t>
      </w:r>
    </w:p>
    <w:p w14:paraId="23FA1531" w14:textId="77777777" w:rsidR="00434528" w:rsidRDefault="00000000">
      <w:pPr>
        <w:pStyle w:val="Heading1"/>
      </w:pPr>
      <w:r>
        <w:t>11 Selected references and evidence map</w:t>
      </w:r>
    </w:p>
    <w:p w14:paraId="4C0BC826" w14:textId="77777777" w:rsidR="00434528" w:rsidRDefault="00000000">
      <w:r>
        <w:t>Numbered entries provide a Vancouver-style starting bibliography. Import the publisher record into a reference manager before final submission, especially where a preprint and a published version differ. The challenge report's proceedings webpage exports 2022, while its PDF masthead states 2023; the entry below follows the PDF publication year and names the 2022 competition track explicitly.</w:t>
      </w:r>
    </w:p>
    <w:p w14:paraId="7B0A415A" w14:textId="77777777" w:rsidR="00434528" w:rsidRDefault="00000000">
      <w:pPr>
        <w:keepLines/>
        <w:ind w:left="317" w:hanging="317"/>
      </w:pPr>
      <w:r>
        <w:rPr>
          <w:sz w:val="22"/>
        </w:rPr>
        <w:t xml:space="preserve">1. Vázquez-Canteli JR, Dey S, Henze G, Nagy Z. CityLearn: standardizing research in multi-agent reinforcement learning for demand response and urban energy management. arXiv:2012.10504. 2020. </w:t>
      </w:r>
      <w:hyperlink r:id="rId23">
        <w:r>
          <w:rPr>
            <w:color w:val="17578A"/>
            <w:u w:val="single"/>
          </w:rPr>
          <w:t>Record</w:t>
        </w:r>
      </w:hyperlink>
      <w:r>
        <w:rPr>
          <w:sz w:val="22"/>
        </w:rPr>
        <w:t xml:space="preserve">. </w:t>
      </w:r>
      <w:r>
        <w:rPr>
          <w:b/>
          <w:sz w:val="22"/>
        </w:rPr>
        <w:t>Evidence:</w:t>
      </w:r>
      <w:r>
        <w:rPr>
          <w:sz w:val="22"/>
        </w:rPr>
        <w:t xml:space="preserve"> abstract and environment description.</w:t>
      </w:r>
    </w:p>
    <w:p w14:paraId="537A1AF2" w14:textId="77777777" w:rsidR="00434528" w:rsidRDefault="00000000">
      <w:pPr>
        <w:keepLines/>
        <w:ind w:left="317" w:hanging="317"/>
      </w:pPr>
      <w:r>
        <w:rPr>
          <w:sz w:val="22"/>
        </w:rPr>
        <w:t xml:space="preserve">2. Nweye K, Kaspar K, Buscemi G, Fonseca T, Pinto G, Ghose D, et al. CityLearn v2: energy-flexible, resilient, occupant-centric, and carbon-aware management of grid-interactive communities. J Build Perform Simul. 2024. doi:10.1080/19401493.2024.2418813. </w:t>
      </w:r>
      <w:hyperlink r:id="rId24">
        <w:r>
          <w:rPr>
            <w:color w:val="17578A"/>
            <w:u w:val="single"/>
          </w:rPr>
          <w:t>Full-text preprint</w:t>
        </w:r>
      </w:hyperlink>
      <w:r>
        <w:rPr>
          <w:sz w:val="22"/>
        </w:rPr>
        <w:t xml:space="preserve">. </w:t>
      </w:r>
      <w:r>
        <w:rPr>
          <w:b/>
          <w:sz w:val="22"/>
        </w:rPr>
        <w:t>Evidence:</w:t>
      </w:r>
      <w:r>
        <w:rPr>
          <w:sz w:val="22"/>
        </w:rPr>
        <w:t xml:space="preserve"> environment, control, comfort examples, and KPI sections.</w:t>
      </w:r>
    </w:p>
    <w:p w14:paraId="0E689C7F" w14:textId="77777777" w:rsidR="00434528" w:rsidRDefault="00000000">
      <w:pPr>
        <w:keepLines/>
        <w:ind w:left="317" w:hanging="317"/>
      </w:pPr>
      <w:r>
        <w:rPr>
          <w:sz w:val="22"/>
        </w:rPr>
        <w:t xml:space="preserve">3. Fonseca T, Lino Ferreira L, Sousa A, Mohammadi A, Nagy Z. CityLearn v3: a configurable simulation and evaluation framework for realistic control studies of renewable energy communities. arXiv:2609.21570. 2026. </w:t>
      </w:r>
      <w:hyperlink r:id="rId25">
        <w:r>
          <w:rPr>
            <w:color w:val="17578A"/>
            <w:u w:val="single"/>
          </w:rPr>
          <w:t>Record</w:t>
        </w:r>
      </w:hyperlink>
      <w:r>
        <w:rPr>
          <w:sz w:val="22"/>
        </w:rPr>
        <w:t xml:space="preserve">. </w:t>
      </w:r>
      <w:r>
        <w:rPr>
          <w:b/>
          <w:sz w:val="22"/>
        </w:rPr>
        <w:t>Evidence:</w:t>
      </w:r>
      <w:r>
        <w:rPr>
          <w:sz w:val="22"/>
        </w:rPr>
        <w:t xml:space="preserve"> abstract; preprint, 18 September 2026.</w:t>
      </w:r>
    </w:p>
    <w:p w14:paraId="5E485ACC" w14:textId="77777777" w:rsidR="00434528" w:rsidRDefault="00000000">
      <w:pPr>
        <w:keepLines/>
        <w:ind w:left="317" w:hanging="317"/>
      </w:pPr>
      <w:r>
        <w:rPr>
          <w:sz w:val="22"/>
        </w:rPr>
        <w:lastRenderedPageBreak/>
        <w:t xml:space="preserve">4. Haarnoja T, Zhou A, Abbeel P, Levine S. Soft actor-critic: off-policy maximum entropy deep reinforcement learning with a stochastic actor. Proc Mach Learn Res. 2018;80:1861–1870. </w:t>
      </w:r>
      <w:hyperlink r:id="rId26">
        <w:r>
          <w:rPr>
            <w:color w:val="17578A"/>
            <w:u w:val="single"/>
          </w:rPr>
          <w:t>Proceedings</w:t>
        </w:r>
      </w:hyperlink>
      <w:r>
        <w:rPr>
          <w:sz w:val="22"/>
        </w:rPr>
        <w:t xml:space="preserve">. </w:t>
      </w:r>
      <w:r>
        <w:rPr>
          <w:b/>
          <w:sz w:val="22"/>
        </w:rPr>
        <w:t>Evidence:</w:t>
      </w:r>
      <w:r>
        <w:rPr>
          <w:sz w:val="22"/>
        </w:rPr>
        <w:t xml:space="preserve"> algorithm abstract and proceedings record.</w:t>
      </w:r>
    </w:p>
    <w:p w14:paraId="18D039D3" w14:textId="77777777" w:rsidR="00434528" w:rsidRDefault="00000000">
      <w:pPr>
        <w:keepLines/>
        <w:ind w:left="317" w:hanging="317"/>
      </w:pPr>
      <w:r>
        <w:rPr>
          <w:sz w:val="22"/>
        </w:rPr>
        <w:t xml:space="preserve">5. Kathirgamanathan A, Twardowski K, Mangina E, Finn DP. A centralised soft actor critic deep reinforcement learning approach to district demand side management through CityLearn. In: RLEM '20. 2020. p. 11–14. doi:10.1145/3427773.3427869. </w:t>
      </w:r>
      <w:hyperlink r:id="rId27">
        <w:r>
          <w:rPr>
            <w:color w:val="17578A"/>
            <w:u w:val="single"/>
          </w:rPr>
          <w:t>Full-text preprint</w:t>
        </w:r>
      </w:hyperlink>
      <w:r>
        <w:rPr>
          <w:sz w:val="22"/>
        </w:rPr>
        <w:t xml:space="preserve">. </w:t>
      </w:r>
      <w:r>
        <w:rPr>
          <w:b/>
          <w:sz w:val="22"/>
        </w:rPr>
        <w:t>Evidence:</w:t>
      </w:r>
      <w:r>
        <w:rPr>
          <w:sz w:val="22"/>
        </w:rPr>
        <w:t xml:space="preserve"> architecture and evaluation discussion.</w:t>
      </w:r>
    </w:p>
    <w:p w14:paraId="074714D8" w14:textId="77777777" w:rsidR="00434528" w:rsidRDefault="00000000">
      <w:pPr>
        <w:keepLines/>
        <w:ind w:left="317" w:hanging="317"/>
      </w:pPr>
      <w:r>
        <w:rPr>
          <w:sz w:val="22"/>
        </w:rPr>
        <w:t xml:space="preserve">6. Vázquez-Canteli JR, Henze G, Nagy Z. MARLISA: multi-agent reinforcement learning with iterative sequential action selection for load shaping of grid-interactive connected buildings. In: BuildSys '20. 2020. p. 170–179. </w:t>
      </w:r>
      <w:hyperlink r:id="rId28">
        <w:r>
          <w:rPr>
            <w:color w:val="17578A"/>
            <w:u w:val="single"/>
          </w:rPr>
          <w:t>Publisher DOI</w:t>
        </w:r>
      </w:hyperlink>
      <w:r>
        <w:rPr>
          <w:sz w:val="22"/>
        </w:rPr>
        <w:t xml:space="preserve">. </w:t>
      </w:r>
      <w:r>
        <w:rPr>
          <w:b/>
          <w:sz w:val="22"/>
        </w:rPr>
        <w:t>Evidence:</w:t>
      </w:r>
      <w:r>
        <w:rPr>
          <w:sz w:val="22"/>
        </w:rPr>
        <w:t xml:space="preserve"> bibliographic metadata confirmed by official CityLearn bibliography; implementation checked using </w:t>
      </w:r>
      <w:hyperlink r:id="rId29">
        <w:r>
          <w:rPr>
            <w:color w:val="17578A"/>
            <w:u w:val="single"/>
          </w:rPr>
          <w:t>official API documentation</w:t>
        </w:r>
      </w:hyperlink>
      <w:r>
        <w:rPr>
          <w:sz w:val="22"/>
        </w:rPr>
        <w:t>. Original publisher full text unavailable; no paper-specific numerical effect claimed.</w:t>
      </w:r>
    </w:p>
    <w:p w14:paraId="4CF756FE" w14:textId="77777777" w:rsidR="00434528" w:rsidRDefault="00000000">
      <w:pPr>
        <w:keepLines/>
        <w:ind w:left="317" w:hanging="317"/>
      </w:pPr>
      <w:r>
        <w:rPr>
          <w:sz w:val="22"/>
        </w:rPr>
        <w:t xml:space="preserve">7. Pinto G, Kathirgamanathan A, Mangina E, Finn DP, Capozzoli A. Enhancing energy management in grid-interactive buildings: a comparison among cooperative and coordinated architectures. Appl Energy. 2022;310:118497. </w:t>
      </w:r>
      <w:hyperlink r:id="rId30">
        <w:r>
          <w:rPr>
            <w:color w:val="17578A"/>
            <w:u w:val="single"/>
          </w:rPr>
          <w:t>Author-repository copy</w:t>
        </w:r>
      </w:hyperlink>
      <w:r>
        <w:rPr>
          <w:sz w:val="22"/>
        </w:rPr>
        <w:t xml:space="preserve">. </w:t>
      </w:r>
      <w:r>
        <w:rPr>
          <w:b/>
          <w:sz w:val="22"/>
        </w:rPr>
        <w:t>Evidence:</w:t>
      </w:r>
      <w:r>
        <w:rPr>
          <w:sz w:val="22"/>
        </w:rPr>
        <w:t xml:space="preserve"> indexed primary-paper conclusion and bibliographic metadata; full retrieval unavailable.</w:t>
      </w:r>
    </w:p>
    <w:p w14:paraId="47D134C6" w14:textId="77777777" w:rsidR="00434528" w:rsidRDefault="00000000">
      <w:pPr>
        <w:keepLines/>
        <w:ind w:left="317" w:hanging="317"/>
      </w:pPr>
      <w:r>
        <w:rPr>
          <w:sz w:val="22"/>
        </w:rPr>
        <w:t xml:space="preserve">8. Nweye K, Nagy Z, Mohanty S, Chakraborty D, Sankaranarayanan S, Hong T, et al. The CityLearn Challenge 2022: overview, results, and lessons learned. In: Proceedings of the NeurIPS 2022 Competitions Track. Proc Mach Learn Res. 2023;220:85–103. </w:t>
      </w:r>
      <w:hyperlink r:id="rId31">
        <w:r>
          <w:rPr>
            <w:color w:val="17578A"/>
            <w:u w:val="single"/>
          </w:rPr>
          <w:t>Full text</w:t>
        </w:r>
      </w:hyperlink>
      <w:r>
        <w:rPr>
          <w:sz w:val="22"/>
        </w:rPr>
        <w:t xml:space="preserve">. </w:t>
      </w:r>
      <w:r>
        <w:rPr>
          <w:b/>
          <w:sz w:val="22"/>
        </w:rPr>
        <w:t>Evidence:</w:t>
      </w:r>
      <w:r>
        <w:rPr>
          <w:sz w:val="22"/>
        </w:rPr>
        <w:t xml:space="preserve"> solution summaries and discussion. Year discrepancy noted above.</w:t>
      </w:r>
    </w:p>
    <w:p w14:paraId="3FE27C5A" w14:textId="77777777" w:rsidR="00434528" w:rsidRDefault="00000000">
      <w:pPr>
        <w:keepLines/>
        <w:ind w:left="317" w:hanging="317"/>
      </w:pPr>
      <w:r>
        <w:rPr>
          <w:sz w:val="22"/>
        </w:rPr>
        <w:t xml:space="preserve">9. Garmendia AI, Morri F, Cappart Q, Le Cadre H. Winning the 2023 CityLearn Challenge: a community-based hierarchical energy systems coordination algorithm. In: ECAI 2024. Front Artif Intell Appl. 2024;392:2330–2337. </w:t>
      </w:r>
      <w:hyperlink r:id="rId32">
        <w:r>
          <w:rPr>
            <w:color w:val="17578A"/>
            <w:u w:val="single"/>
          </w:rPr>
          <w:t>Publisher record</w:t>
        </w:r>
      </w:hyperlink>
      <w:r>
        <w:rPr>
          <w:sz w:val="22"/>
        </w:rPr>
        <w:t xml:space="preserve">. </w:t>
      </w:r>
      <w:r>
        <w:rPr>
          <w:b/>
          <w:sz w:val="22"/>
        </w:rPr>
        <w:t>Evidence:</w:t>
      </w:r>
      <w:r>
        <w:rPr>
          <w:sz w:val="22"/>
        </w:rPr>
        <w:t xml:space="preserve"> publisher abstract and indexed author-repository text; implementation available in the </w:t>
      </w:r>
      <w:hyperlink r:id="rId33">
        <w:r>
          <w:rPr>
            <w:color w:val="17578A"/>
            <w:u w:val="single"/>
          </w:rPr>
          <w:t>authors' repository</w:t>
        </w:r>
      </w:hyperlink>
      <w:r>
        <w:rPr>
          <w:sz w:val="22"/>
        </w:rPr>
        <w:t>.</w:t>
      </w:r>
    </w:p>
    <w:p w14:paraId="6EC95C2A" w14:textId="77777777" w:rsidR="00434528" w:rsidRDefault="00000000">
      <w:pPr>
        <w:keepLines/>
        <w:ind w:left="317" w:hanging="317"/>
      </w:pPr>
      <w:r>
        <w:rPr>
          <w:sz w:val="22"/>
        </w:rPr>
        <w:t xml:space="preserve">10. Ju P, Ghosh A, Shroff NB. Achieving fairness in multi-agent MDP using reinforcement learning. In: ICLR. 2024. </w:t>
      </w:r>
      <w:hyperlink r:id="rId34">
        <w:r>
          <w:rPr>
            <w:color w:val="17578A"/>
            <w:u w:val="single"/>
          </w:rPr>
          <w:t>Proceedings record</w:t>
        </w:r>
      </w:hyperlink>
      <w:r>
        <w:rPr>
          <w:sz w:val="22"/>
        </w:rPr>
        <w:t xml:space="preserve">. </w:t>
      </w:r>
      <w:hyperlink r:id="rId35">
        <w:r>
          <w:rPr>
            <w:color w:val="17578A"/>
            <w:u w:val="single"/>
          </w:rPr>
          <w:t>Full-text preprint, longer title</w:t>
        </w:r>
      </w:hyperlink>
      <w:r>
        <w:rPr>
          <w:sz w:val="22"/>
        </w:rPr>
        <w:t xml:space="preserve">. </w:t>
      </w:r>
      <w:r>
        <w:rPr>
          <w:b/>
          <w:sz w:val="22"/>
        </w:rPr>
        <w:t>Evidence:</w:t>
      </w:r>
      <w:r>
        <w:rPr>
          <w:sz w:val="22"/>
        </w:rPr>
        <w:t xml:space="preserve"> fairness definitions, cumulative-value formulation, and stated guarantees.</w:t>
      </w:r>
    </w:p>
    <w:p w14:paraId="3DE19E6F" w14:textId="77777777" w:rsidR="00434528" w:rsidRDefault="00000000">
      <w:pPr>
        <w:keepLines/>
        <w:ind w:left="317" w:hanging="317"/>
      </w:pPr>
      <w:r>
        <w:rPr>
          <w:sz w:val="22"/>
        </w:rPr>
        <w:t xml:space="preserve">11. Achiam J, Held D, Tamar A, Abbeel P. Constrained policy optimization. Proc Mach Learn Res. 2017;70:22–31. </w:t>
      </w:r>
      <w:hyperlink r:id="rId36">
        <w:r>
          <w:rPr>
            <w:color w:val="17578A"/>
            <w:u w:val="single"/>
          </w:rPr>
          <w:t>Proceedings</w:t>
        </w:r>
      </w:hyperlink>
      <w:r>
        <w:rPr>
          <w:sz w:val="22"/>
        </w:rPr>
        <w:t xml:space="preserve">. </w:t>
      </w:r>
      <w:r>
        <w:rPr>
          <w:b/>
          <w:sz w:val="22"/>
        </w:rPr>
        <w:t>Evidence:</w:t>
      </w:r>
      <w:r>
        <w:rPr>
          <w:sz w:val="22"/>
        </w:rPr>
        <w:t xml:space="preserve"> constrained formulation and abstract; not implemented in the project.</w:t>
      </w:r>
    </w:p>
    <w:p w14:paraId="1387E6D0" w14:textId="77777777" w:rsidR="00434528" w:rsidRDefault="00000000">
      <w:pPr>
        <w:keepLines/>
        <w:ind w:left="317" w:hanging="317"/>
      </w:pPr>
      <w:r>
        <w:rPr>
          <w:sz w:val="22"/>
        </w:rPr>
        <w:t xml:space="preserve">12. Nweye K, Sankaranarayanan S, Nagy Z. MERLIN: multi-agent offline and transfer learning for occupant-centric operation of grid-interactive communities. Appl Energy. 2023;346:121323. doi:10.1016/j.apenergy.2023.121323. </w:t>
      </w:r>
      <w:hyperlink r:id="rId37">
        <w:r>
          <w:rPr>
            <w:color w:val="17578A"/>
            <w:u w:val="single"/>
          </w:rPr>
          <w:t>Preprint record</w:t>
        </w:r>
      </w:hyperlink>
      <w:r>
        <w:rPr>
          <w:sz w:val="22"/>
        </w:rPr>
        <w:t xml:space="preserve">. </w:t>
      </w:r>
      <w:r>
        <w:rPr>
          <w:b/>
          <w:sz w:val="22"/>
        </w:rPr>
        <w:t>Evidence:</w:t>
      </w:r>
      <w:r>
        <w:rPr>
          <w:sz w:val="22"/>
        </w:rPr>
        <w:t xml:space="preserve"> abstract and official bibliography; transfer findings limited to the studied tasks.</w:t>
      </w:r>
    </w:p>
    <w:p w14:paraId="5FAE6EE9" w14:textId="77777777" w:rsidR="00434528" w:rsidRDefault="00000000">
      <w:pPr>
        <w:keepLines/>
        <w:ind w:left="317" w:hanging="317"/>
      </w:pPr>
      <w:r>
        <w:rPr>
          <w:sz w:val="22"/>
        </w:rPr>
        <w:t xml:space="preserve">13. Zaregarizi S, Yavari K. OccuReward: LLM-guided occupant-centric reward shaping for demographic equity in grid-interactive buildings. arXiv:2605.28168. 2026. </w:t>
      </w:r>
      <w:hyperlink r:id="rId38">
        <w:r>
          <w:rPr>
            <w:color w:val="17578A"/>
            <w:u w:val="single"/>
          </w:rPr>
          <w:t>Reviewed manuscript</w:t>
        </w:r>
      </w:hyperlink>
      <w:r>
        <w:rPr>
          <w:sz w:val="22"/>
        </w:rPr>
        <w:t xml:space="preserve">. </w:t>
      </w:r>
      <w:r>
        <w:rPr>
          <w:b/>
          <w:sz w:val="22"/>
        </w:rPr>
        <w:t>Evidence:</w:t>
      </w:r>
      <w:r>
        <w:rPr>
          <w:sz w:val="22"/>
        </w:rPr>
        <w:t xml:space="preserve"> methods, profile tables, results, and limitations; publication status beyond arXiv not verified.</w:t>
      </w:r>
    </w:p>
    <w:p w14:paraId="41E1C712" w14:textId="77777777" w:rsidR="00434528" w:rsidRDefault="00000000">
      <w:pPr>
        <w:keepLines/>
        <w:ind w:left="317" w:hanging="317"/>
      </w:pPr>
      <w:r>
        <w:rPr>
          <w:sz w:val="22"/>
        </w:rPr>
        <w:lastRenderedPageBreak/>
        <w:t xml:space="preserve">14. Zaregarizi S, Yavari K. PIRS: physics-informed reward shaping for SAC-based building energy management. arXiv:2605.28232. 2026. </w:t>
      </w:r>
      <w:hyperlink r:id="rId39">
        <w:r>
          <w:rPr>
            <w:color w:val="17578A"/>
            <w:u w:val="single"/>
          </w:rPr>
          <w:t>Reviewed manuscript</w:t>
        </w:r>
      </w:hyperlink>
      <w:r>
        <w:rPr>
          <w:sz w:val="22"/>
        </w:rPr>
        <w:t xml:space="preserve">. </w:t>
      </w:r>
      <w:r>
        <w:rPr>
          <w:b/>
          <w:sz w:val="22"/>
        </w:rPr>
        <w:t>Evidence:</w:t>
      </w:r>
      <w:r>
        <w:rPr>
          <w:sz w:val="22"/>
        </w:rPr>
        <w:t xml:space="preserve"> matched-weight design, hyperparameters, and results; final proceedings record not verified.</w:t>
      </w:r>
    </w:p>
    <w:p w14:paraId="0D9EE2FF" w14:textId="77777777" w:rsidR="00434528" w:rsidRDefault="00000000">
      <w:pPr>
        <w:keepLines/>
        <w:ind w:left="317" w:hanging="317"/>
      </w:pPr>
      <w:r>
        <w:rPr>
          <w:sz w:val="22"/>
        </w:rPr>
        <w:t xml:space="preserve">15. Agarwal R, Schwarzer M, Castro PS, Courville A, Bellemare MG. Deep reinforcement learning at the edge of the statistical precipice. In: NeurIPS. 2021. </w:t>
      </w:r>
      <w:hyperlink r:id="rId40">
        <w:r>
          <w:rPr>
            <w:color w:val="17578A"/>
            <w:u w:val="single"/>
          </w:rPr>
          <w:t>Paper record</w:t>
        </w:r>
      </w:hyperlink>
      <w:r>
        <w:rPr>
          <w:sz w:val="22"/>
        </w:rPr>
        <w:t xml:space="preserve">. </w:t>
      </w:r>
      <w:r>
        <w:rPr>
          <w:b/>
          <w:sz w:val="22"/>
        </w:rPr>
        <w:t>Evidence:</w:t>
      </w:r>
      <w:r>
        <w:rPr>
          <w:sz w:val="22"/>
        </w:rPr>
        <w:t xml:space="preserve"> abstract and author's evaluation materials; uncertainty principles applied here as methodological guidance.</w:t>
      </w:r>
    </w:p>
    <w:p w14:paraId="237701DE" w14:textId="77777777" w:rsidR="00434528" w:rsidRDefault="00000000">
      <w:pPr>
        <w:pStyle w:val="Heading1"/>
      </w:pPr>
      <w:r>
        <w:t>12 Project source provenance</w:t>
      </w:r>
    </w:p>
    <w:p w14:paraId="278F6217" w14:textId="77777777" w:rsidR="00434528" w:rsidRDefault="00000000">
      <w:r>
        <w:t xml:space="preserve">Local evidence inspected: </w:t>
      </w:r>
      <w:r>
        <w:rPr>
          <w:rFonts w:ascii="Consolas" w:hAnsi="Consolas"/>
          <w:sz w:val="20"/>
        </w:rPr>
        <w:t>readme.md</w:t>
      </w:r>
      <w:r>
        <w:t xml:space="preserve">; </w:t>
      </w:r>
      <w:r>
        <w:rPr>
          <w:rFonts w:ascii="Consolas" w:hAnsi="Consolas"/>
          <w:sz w:val="20"/>
        </w:rPr>
        <w:t>Notes - CityLearn.docx</w:t>
      </w:r>
      <w:r>
        <w:t xml:space="preserve">; </w:t>
      </w:r>
      <w:r>
        <w:rPr>
          <w:rFonts w:ascii="Consolas" w:hAnsi="Consolas"/>
          <w:sz w:val="20"/>
        </w:rPr>
        <w:t>CSxx46-Project-Guidelines 2627-1.pdf</w:t>
      </w:r>
      <w:r>
        <w:t xml:space="preserve">; </w:t>
      </w:r>
      <w:r>
        <w:rPr>
          <w:rFonts w:ascii="Consolas" w:hAnsi="Consolas"/>
          <w:sz w:val="20"/>
        </w:rPr>
        <w:t>src/rewards.py</w:t>
      </w:r>
      <w:r>
        <w:t xml:space="preserve">; </w:t>
      </w:r>
      <w:r>
        <w:rPr>
          <w:rFonts w:ascii="Consolas" w:hAnsi="Consolas"/>
          <w:sz w:val="20"/>
        </w:rPr>
        <w:t>src/run_marlisa.py</w:t>
      </w:r>
      <w:r>
        <w:t xml:space="preserve">; </w:t>
      </w:r>
      <w:r>
        <w:rPr>
          <w:rFonts w:ascii="Consolas" w:hAnsi="Consolas"/>
          <w:sz w:val="20"/>
        </w:rPr>
        <w:t>src/run_independent_sac.py</w:t>
      </w:r>
      <w:r>
        <w:t xml:space="preserve">; </w:t>
      </w:r>
      <w:r>
        <w:rPr>
          <w:rFonts w:ascii="Consolas" w:hAnsi="Consolas"/>
          <w:sz w:val="20"/>
        </w:rPr>
        <w:t>src/run_fair_carbon_aware_marlisa.py</w:t>
      </w:r>
      <w:r>
        <w:t xml:space="preserve">; </w:t>
      </w:r>
      <w:r>
        <w:rPr>
          <w:rFonts w:ascii="Consolas" w:hAnsi="Consolas"/>
          <w:sz w:val="20"/>
        </w:rPr>
        <w:t>notebooks/data/schema.json</w:t>
      </w:r>
      <w:r>
        <w:t xml:space="preserve">; and canonical controller KPI/metadata files under </w:t>
      </w:r>
      <w:r>
        <w:rPr>
          <w:rFonts w:ascii="Consolas" w:hAnsi="Consolas"/>
          <w:sz w:val="20"/>
        </w:rPr>
        <w:t>outputs/</w:t>
      </w:r>
      <w:r>
        <w:t xml:space="preserve">. The installed package's </w:t>
      </w:r>
      <w:r>
        <w:rPr>
          <w:rFonts w:ascii="Consolas" w:hAnsi="Consolas"/>
          <w:sz w:val="20"/>
        </w:rPr>
        <w:t>citylearn/internal/kpi.py</w:t>
      </w:r>
      <w:r>
        <w:t xml:space="preserve"> and </w:t>
      </w:r>
      <w:r>
        <w:rPr>
          <w:rFonts w:ascii="Consolas" w:hAnsi="Consolas"/>
          <w:sz w:val="20"/>
        </w:rPr>
        <w:t>citylearn/data.py</w:t>
      </w:r>
      <w:r>
        <w:t xml:space="preserve"> establish the evaluation-band finding. No learning runs were repeated for this literature review, and existing experiment files were not altered.</w:t>
      </w:r>
    </w:p>
    <w:p w14:paraId="42B2C7EC" w14:textId="77777777" w:rsidR="00434528" w:rsidRDefault="00000000">
      <w:r>
        <w:t>The report should distinguish the team's implementation, verification, and experimental interpretation from AI-assisted literature search and drafting, as required by the supplied course guidance.</w:t>
      </w:r>
    </w:p>
    <w:sectPr w:rsidR="00434528" w:rsidSect="00034616">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42E7C" w14:textId="77777777" w:rsidR="00C81E28" w:rsidRDefault="00C81E28">
      <w:pPr>
        <w:spacing w:after="0" w:line="240" w:lineRule="auto"/>
      </w:pPr>
      <w:r>
        <w:separator/>
      </w:r>
    </w:p>
  </w:endnote>
  <w:endnote w:type="continuationSeparator" w:id="0">
    <w:p w14:paraId="1A9FCF5E" w14:textId="77777777" w:rsidR="00C81E28" w:rsidRDefault="00C81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CB504" w14:textId="77777777" w:rsidR="00434528" w:rsidRDefault="00000000">
    <w:pPr>
      <w:pStyle w:val="Footer"/>
      <w:jc w:val="right"/>
    </w:pPr>
    <w:r>
      <w:fldChar w:fldCharType="begin"/>
    </w:r>
    <w:r>
      <w:instrText>PAGE</w:instrText>
    </w:r>
    <w:r>
      <w:fldChar w:fldCharType="separate"/>
    </w:r>
    <w:r w:rsidR="000009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96ADE" w14:textId="77777777" w:rsidR="00C81E28" w:rsidRDefault="00C81E28">
      <w:pPr>
        <w:spacing w:after="0" w:line="240" w:lineRule="auto"/>
      </w:pPr>
      <w:r>
        <w:separator/>
      </w:r>
    </w:p>
  </w:footnote>
  <w:footnote w:type="continuationSeparator" w:id="0">
    <w:p w14:paraId="32871085" w14:textId="77777777" w:rsidR="00C81E28" w:rsidRDefault="00C81E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0956915">
    <w:abstractNumId w:val="8"/>
  </w:num>
  <w:num w:numId="2" w16cid:durableId="1385328946">
    <w:abstractNumId w:val="6"/>
  </w:num>
  <w:num w:numId="3" w16cid:durableId="1682463396">
    <w:abstractNumId w:val="5"/>
  </w:num>
  <w:num w:numId="4" w16cid:durableId="1041902249">
    <w:abstractNumId w:val="4"/>
  </w:num>
  <w:num w:numId="5" w16cid:durableId="946808722">
    <w:abstractNumId w:val="7"/>
  </w:num>
  <w:num w:numId="6" w16cid:durableId="1533959427">
    <w:abstractNumId w:val="3"/>
  </w:num>
  <w:num w:numId="7" w16cid:durableId="1017272196">
    <w:abstractNumId w:val="2"/>
  </w:num>
  <w:num w:numId="8" w16cid:durableId="8996715">
    <w:abstractNumId w:val="1"/>
  </w:num>
  <w:num w:numId="9" w16cid:durableId="930511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17"/>
    <w:rsid w:val="00034616"/>
    <w:rsid w:val="0006063C"/>
    <w:rsid w:val="0015074B"/>
    <w:rsid w:val="0029639D"/>
    <w:rsid w:val="00326F90"/>
    <w:rsid w:val="00434528"/>
    <w:rsid w:val="00AA1D8D"/>
    <w:rsid w:val="00B47730"/>
    <w:rsid w:val="00C81E28"/>
    <w:rsid w:val="00CB0664"/>
    <w:rsid w:val="00D472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93C3E"/>
  <w14:defaultImageDpi w14:val="300"/>
  <w15:docId w15:val="{5E8FA710-2B29-429C-94C5-B770FF46D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2" w:lineRule="auto"/>
    </w:pPr>
    <w:rPr>
      <w:rFonts w:ascii="Calibri" w:hAnsi="Calibri"/>
      <w:color w:val="000000"/>
      <w:sz w:val="24"/>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itylearn.net/api/citylearn.agents.marlisa.html" TargetMode="External"/><Relationship Id="rId18" Type="http://schemas.openxmlformats.org/officeDocument/2006/relationships/hyperlink" Target="https://arxiv.org/pdf/2306.00324" TargetMode="External"/><Relationship Id="rId26" Type="http://schemas.openxmlformats.org/officeDocument/2006/relationships/hyperlink" Target="https://proceedings.mlr.press/v80/haarnoja18b.html" TargetMode="External"/><Relationship Id="rId39" Type="http://schemas.openxmlformats.org/officeDocument/2006/relationships/hyperlink" Target="https://arxiv.org/html/2605.28232v1" TargetMode="External"/><Relationship Id="rId21" Type="http://schemas.openxmlformats.org/officeDocument/2006/relationships/hyperlink" Target="https://arxiv.org/abs/2108.13264" TargetMode="External"/><Relationship Id="rId34" Type="http://schemas.openxmlformats.org/officeDocument/2006/relationships/hyperlink" Target="https://proceedings.iclr.cc/paper_files/paper/2024/hash/473cb5596e2b84648753ce26484d79c8-Abstract-Conference.html"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books.iospress.nl/doi/10.3233/FAIA240757" TargetMode="External"/><Relationship Id="rId20" Type="http://schemas.openxmlformats.org/officeDocument/2006/relationships/hyperlink" Target="https://proceedings.mlr.press/v70/achiam17a.html" TargetMode="External"/><Relationship Id="rId29" Type="http://schemas.openxmlformats.org/officeDocument/2006/relationships/hyperlink" Target="https://www.citylearn.net/api/citylearn.agents.marlisa.html"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ceedings.mlr.press/v80/haarnoja18b.html" TargetMode="External"/><Relationship Id="rId24" Type="http://schemas.openxmlformats.org/officeDocument/2006/relationships/hyperlink" Target="https://arxiv.org/html/2405.03848v1" TargetMode="External"/><Relationship Id="rId32" Type="http://schemas.openxmlformats.org/officeDocument/2006/relationships/hyperlink" Target="https://ebooks.iospress.nl/doi/10.3233/FAIA240757" TargetMode="External"/><Relationship Id="rId37" Type="http://schemas.openxmlformats.org/officeDocument/2006/relationships/hyperlink" Target="https://arxiv.org/abs/2301.01148" TargetMode="External"/><Relationship Id="rId40" Type="http://schemas.openxmlformats.org/officeDocument/2006/relationships/hyperlink" Target="https://arxiv.org/abs/2108.13264" TargetMode="External"/><Relationship Id="rId5" Type="http://schemas.openxmlformats.org/officeDocument/2006/relationships/webSettings" Target="webSettings.xml"/><Relationship Id="rId15" Type="http://schemas.openxmlformats.org/officeDocument/2006/relationships/hyperlink" Target="https://proceedings.mlr.press/v220/nweye23a/nweye23a.pdf" TargetMode="External"/><Relationship Id="rId23" Type="http://schemas.openxmlformats.org/officeDocument/2006/relationships/hyperlink" Target="https://arxiv.org/abs/2012.10504" TargetMode="External"/><Relationship Id="rId28" Type="http://schemas.openxmlformats.org/officeDocument/2006/relationships/hyperlink" Target="https://doi.org/10.1145/3408308.3427604" TargetMode="External"/><Relationship Id="rId36" Type="http://schemas.openxmlformats.org/officeDocument/2006/relationships/hyperlink" Target="https://proceedings.mlr.press/v70/achiam17a.html" TargetMode="External"/><Relationship Id="rId10" Type="http://schemas.openxmlformats.org/officeDocument/2006/relationships/hyperlink" Target="https://arxiv.org/abs/2609.21570" TargetMode="External"/><Relationship Id="rId19" Type="http://schemas.openxmlformats.org/officeDocument/2006/relationships/hyperlink" Target="https://arxiv.org/html/2605.28168v1" TargetMode="External"/><Relationship Id="rId31" Type="http://schemas.openxmlformats.org/officeDocument/2006/relationships/hyperlink" Target="https://proceedings.mlr.press/v220/nweye23a/nweye23a.pdf" TargetMode="External"/><Relationship Id="rId4" Type="http://schemas.openxmlformats.org/officeDocument/2006/relationships/settings" Target="settings.xml"/><Relationship Id="rId9" Type="http://schemas.openxmlformats.org/officeDocument/2006/relationships/hyperlink" Target="https://arxiv.org/html/2405.03848v1" TargetMode="External"/><Relationship Id="rId14" Type="http://schemas.openxmlformats.org/officeDocument/2006/relationships/hyperlink" Target="https://iris.polito.it/retrieve/e384c434-a6a4-d4b2-e053-9f05fe0a1d67/1-s2.0-S0306261921017128-main.pdf" TargetMode="External"/><Relationship Id="rId22" Type="http://schemas.openxmlformats.org/officeDocument/2006/relationships/hyperlink" Target="https://arxiv.org/abs/2301.01148" TargetMode="External"/><Relationship Id="rId27" Type="http://schemas.openxmlformats.org/officeDocument/2006/relationships/hyperlink" Target="https://arxiv.org/pdf/2009.10562" TargetMode="External"/><Relationship Id="rId30" Type="http://schemas.openxmlformats.org/officeDocument/2006/relationships/hyperlink" Target="https://iris.polito.it/retrieve/e384c434-a6a4-d4b2-e053-9f05fe0a1d67/1-s2.0-S0306261921017128-main.pdf" TargetMode="External"/><Relationship Id="rId35" Type="http://schemas.openxmlformats.org/officeDocument/2006/relationships/hyperlink" Target="https://arxiv.org/pdf/2306.00324" TargetMode="External"/><Relationship Id="rId43" Type="http://schemas.openxmlformats.org/officeDocument/2006/relationships/theme" Target="theme/theme1.xml"/><Relationship Id="rId8" Type="http://schemas.openxmlformats.org/officeDocument/2006/relationships/hyperlink" Target="https://arxiv.org/abs/2012.10504" TargetMode="External"/><Relationship Id="rId3" Type="http://schemas.openxmlformats.org/officeDocument/2006/relationships/styles" Target="styles.xml"/><Relationship Id="rId12" Type="http://schemas.openxmlformats.org/officeDocument/2006/relationships/hyperlink" Target="https://arxiv.org/pdf/2009.10562" TargetMode="External"/><Relationship Id="rId17" Type="http://schemas.openxmlformats.org/officeDocument/2006/relationships/hyperlink" Target="https://arxiv.org/html/2605.28232v1" TargetMode="External"/><Relationship Id="rId25" Type="http://schemas.openxmlformats.org/officeDocument/2006/relationships/hyperlink" Target="https://arxiv.org/abs/2609.21570" TargetMode="External"/><Relationship Id="rId33" Type="http://schemas.openxmlformats.org/officeDocument/2006/relationships/hyperlink" Target="https://github.com/TheLeprechaun25/CHESCA" TargetMode="External"/><Relationship Id="rId38" Type="http://schemas.openxmlformats.org/officeDocument/2006/relationships/hyperlink" Target="https://arxiv.org/html/2605.28168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4478</Words>
  <Characters>25528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 carbon aware coordination in CityLearn</dc:title>
  <dc:subject>Literature review and project implications</dc:subject>
  <dc:creator/>
  <cp:keywords>CityLearn, MARLISA, SAC, carbon, comfort, fairness</cp:keywords>
  <dc:description>generated by python-docx</dc:description>
  <cp:lastModifiedBy>Tan Kah Xuan</cp:lastModifiedBy>
  <cp:revision>2</cp:revision>
  <dcterms:created xsi:type="dcterms:W3CDTF">2013-12-23T23:15:00Z</dcterms:created>
  <dcterms:modified xsi:type="dcterms:W3CDTF">2026-10-12T04:28:00Z</dcterms:modified>
  <cp:category/>
</cp:coreProperties>
</file>