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240" w:after="0"/>
        <w:rPr/>
      </w:pPr>
      <w:r>
        <w:rPr/>
        <w:t>CERTIFICATE OF INCORPORATION OF</w:t>
      </w:r>
    </w:p>
    <w:p>
      <w:pPr>
        <w:pStyle w:val="CenterTextBold"/>
        <w:rPr/>
      </w:pPr>
      <w:r>
        <w:rPr/>
        <w:t>EXAMPLE, INC.</w:t>
      </w:r>
    </w:p>
    <w:p>
      <w:pPr>
        <w:pStyle w:val="Heading1"/>
        <w:rPr/>
      </w:pPr>
      <w:r>
        <w:rPr/>
      </w:r>
    </w:p>
    <w:p>
      <w:pPr>
        <w:pStyle w:val="Normal"/>
        <w:jc w:val="both"/>
        <w:rPr/>
      </w:pPr>
      <w:r>
        <w:rPr/>
        <w:t>The name of the corporation is EXAMPLE, Inc. (the “</w:t>
      </w:r>
      <w:r>
        <w:rPr>
          <w:b/>
          <w:bCs/>
        </w:rPr>
        <w:t>Company</w:t>
      </w:r>
      <w:r>
        <w:rPr/>
        <w:t>”).</w:t>
      </w:r>
    </w:p>
    <w:p>
      <w:pPr>
        <w:pStyle w:val="Heading1"/>
        <w:rPr/>
      </w:pPr>
      <w:r>
        <w:rPr/>
      </w:r>
    </w:p>
    <w:p>
      <w:pPr>
        <w:pStyle w:val="Normal"/>
        <w:jc w:val="both"/>
        <w:rPr/>
      </w:pPr>
      <w:r>
        <w:rPr/>
        <w:t>The address of the Company’s registered office in the State of Delaware is Incorporating Services, Ltd., 3500 South DuPont Highway, Dover, County of Kent, Delaware 19901. The name of its registered agent at such address is Incorporating Services, Ltd.</w:t>
      </w:r>
    </w:p>
    <w:p>
      <w:pPr>
        <w:pStyle w:val="Heading1"/>
        <w:rPr/>
      </w:pPr>
      <w:r>
        <w:rPr/>
      </w:r>
    </w:p>
    <w:p>
      <w:pPr>
        <w:pStyle w:val="Normal"/>
        <w:jc w:val="both"/>
        <w:rPr/>
      </w:pPr>
      <w:r>
        <w:rPr/>
        <w:t>The purpose of the Company is to engage in any lawful act or activity for which corporations may be organized under the Delaware General Corporation Law, as the same exists or as may hereafter be amended from time to time.</w:t>
      </w:r>
    </w:p>
    <w:p>
      <w:pPr>
        <w:pStyle w:val="Heading1"/>
        <w:rPr/>
      </w:pPr>
      <w:r>
        <w:rPr/>
      </w:r>
    </w:p>
    <w:p>
      <w:pPr>
        <w:pStyle w:val="Normal"/>
        <w:jc w:val="both"/>
        <w:rPr/>
      </w:pPr>
      <w:r>
        <w:rPr/>
        <w:t>This Company is authorized to issue one class of shares to be designated Common Stock. The total number of shares of Common Stock the Company has authority to issue is 20,000,000 with par value of $0.001 per share.</w:t>
      </w:r>
    </w:p>
    <w:p>
      <w:pPr>
        <w:pStyle w:val="Heading1"/>
        <w:rPr/>
      </w:pPr>
      <w:r>
        <w:rPr/>
      </w:r>
    </w:p>
    <w:p>
      <w:pPr>
        <w:pStyle w:val="Def2Heading1"/>
        <w:numPr>
          <w:ilvl w:val="0"/>
          <w:numId w:val="0"/>
        </w:numPr>
        <w:ind w:left="0" w:firstLine="720"/>
        <w:jc w:val="both"/>
        <w:rPr/>
      </w:pPr>
      <w:r>
        <w:rPr/>
        <w:t>The name and mailing address of the incorporator are as follows:</w:t>
      </w:r>
    </w:p>
    <w:p>
      <w:pPr>
        <w:pStyle w:val="ExAHeading1"/>
        <w:numPr>
          <w:ilvl w:val="0"/>
          <w:numId w:val="0"/>
        </w:numPr>
        <w:spacing w:before="0" w:after="0"/>
        <w:ind w:left="0" w:firstLine="1440"/>
        <w:jc w:val="both"/>
        <w:rPr/>
      </w:pPr>
      <w:r>
        <w:rPr/>
      </w:r>
    </w:p>
    <w:p>
      <w:pPr>
        <w:pStyle w:val="Normal"/>
        <w:ind w:hanging="0"/>
        <w:jc w:val="center"/>
        <w:rPr/>
      </w:pPr>
      <w:r>
        <w:rPr/>
        <w:t>INCORPORATOR</w:t>
      </w:r>
    </w:p>
    <w:p>
      <w:pPr>
        <w:pStyle w:val="Heading1"/>
        <w:rPr/>
      </w:pPr>
      <w:r>
        <w:rPr/>
      </w:r>
    </w:p>
    <w:p>
      <w:pPr>
        <w:pStyle w:val="Normal"/>
        <w:jc w:val="both"/>
        <w:rPr/>
      </w:pPr>
      <w:r>
        <w:rPr/>
        <w:t>In furtherance and not in limitation of the powers conferred by statute, the board of directors of the Company is expressly authorized to make, alter, amend or repeal the bylaws of the Company.</w:t>
      </w:r>
    </w:p>
    <w:p>
      <w:pPr>
        <w:pStyle w:val="Heading1"/>
        <w:rPr/>
      </w:pPr>
      <w:r>
        <w:rPr/>
      </w:r>
    </w:p>
    <w:p>
      <w:pPr>
        <w:pStyle w:val="Def2Heading1"/>
        <w:keepLines/>
        <w:numPr>
          <w:ilvl w:val="0"/>
          <w:numId w:val="0"/>
        </w:numPr>
        <w:ind w:left="0" w:firstLine="720"/>
        <w:jc w:val="both"/>
        <w:rPr/>
      </w:pPr>
      <w:r>
        <w:rPr/>
        <w:t>Elections of directors need not be by written ballot unless otherwise provided in the bylaws of the Company.</w:t>
      </w:r>
    </w:p>
    <w:p>
      <w:pPr>
        <w:pStyle w:val="Heading1"/>
        <w:rPr/>
      </w:pPr>
      <w:r>
        <w:rPr/>
      </w:r>
    </w:p>
    <w:p>
      <w:pPr>
        <w:pStyle w:val="Normal"/>
        <w:jc w:val="both"/>
        <w:rPr/>
      </w:pPr>
      <w:r>
        <w:rPr/>
        <w:t>To the fullest extent permitted by the Delaware General Corporation Law, as the same exists or as may hereafter be amended from time to time, a director of the Company shall not be personally liable to the Company or its stockholders for monetary damages for breach of fiduciary duty as a director. If the Delaware General Corporation Law is amended to authorize corporate action further eliminating or limiting the personal liability of directors, then the liability of a director of the Company shall be eliminated or limited to the fullest extent permitted by the Delaware General Corporation Law, as so amended.</w:t>
      </w:r>
    </w:p>
    <w:p>
      <w:pPr>
        <w:pStyle w:val="Normal"/>
        <w:jc w:val="both"/>
        <w:rPr/>
      </w:pPr>
      <w:r>
        <w:rPr/>
        <w:t>Neither any amendment nor repeal of this Article, nor the adoption of any provision of this Certificate of Incorporation inconsistent with this Article, shall eliminate or reduce the effect of this Article in respect of any matter occurring, or any cause of action, suit or claim accruing or arising or that, but for this Article, would accrue or arise, prior to such amendment, repeal or adoption of an inconsistent provision.</w:t>
      </w:r>
    </w:p>
    <w:p>
      <w:pPr>
        <w:pStyle w:val="Heading1"/>
        <w:rPr/>
      </w:pPr>
      <w:r>
        <w:rPr/>
      </w:r>
    </w:p>
    <w:p>
      <w:pPr>
        <w:pStyle w:val="Normal"/>
        <w:tabs>
          <w:tab w:val="clear" w:pos="720"/>
          <w:tab w:val="left" w:pos="-720" w:leader="none"/>
        </w:tabs>
        <w:jc w:val="both"/>
        <w:rPr/>
      </w:pPr>
      <w:r>
        <w:rPr/>
        <w:t>Subject to any provisions in the bylaws of the Company related to indemnification of directors or officers of the Company, the Company shall indemnify, to the fullest extent permitted by applicable law, any director or officer of the Company who was or is a party or is threatened to be made a party to any threatened, pending or completed action, suit or proceeding, whether civil, criminal, administrative or investigative (a “</w:t>
      </w:r>
      <w:r>
        <w:rPr>
          <w:b/>
        </w:rPr>
        <w:t>Proceeding</w:t>
      </w:r>
      <w:r>
        <w:rPr/>
        <w:t>”) by reason of the fact that he or she is or was a director, officer, employee or agent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 The Company shall be required to indemnify a person in connection with a Proceeding initiated by such person only if the Proceeding was authorized by the Board.</w:t>
      </w:r>
    </w:p>
    <w:p>
      <w:pPr>
        <w:pStyle w:val="Normal"/>
        <w:tabs>
          <w:tab w:val="clear" w:pos="720"/>
          <w:tab w:val="left" w:pos="-720" w:leader="none"/>
        </w:tabs>
        <w:jc w:val="both"/>
        <w:rPr/>
      </w:pPr>
      <w:r>
        <w:rPr/>
        <w:t>The Company shall have the power to indemnify, to the extent permitted by the Delaware General Corporation Law, as it presently exists or may hereafter be amended from time to time, any employee or agent of the Company who was or is a party or is threatened to be made a party to any Proceeding by reason of the fact that he or she is or was a director, officer, employee or agent of the Company or is or was serving at the request of the Company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w:t>
      </w:r>
    </w:p>
    <w:p>
      <w:pPr>
        <w:pStyle w:val="Normal"/>
        <w:tabs>
          <w:tab w:val="clear" w:pos="720"/>
          <w:tab w:val="left" w:pos="-720" w:leader="none"/>
        </w:tabs>
        <w:jc w:val="both"/>
        <w:rPr/>
      </w:pPr>
      <w:r>
        <w:rPr>
          <w:szCs w:val="24"/>
        </w:rPr>
        <w:t>A right to indemnification or to advancement of expenses arising under a provision of this Certificate of Incorporation or a bylaw of the Company shall not be eliminated or impaired by an amendment to this Certificate of Incorporation or the bylaws of the Company after the occurrence of the act or omission that is the subject of the civil, criminal, administrative or investigative action, suit or proceeding for which indemnification or advancement of expenses is sought, unless the provision in effect at the time of such act or omission explicitly authorizes such elimination or impairment after such action or omission has occurred.</w:t>
      </w:r>
    </w:p>
    <w:p>
      <w:pPr>
        <w:pStyle w:val="Heading1"/>
        <w:rPr>
          <w:szCs w:val="24"/>
        </w:rPr>
      </w:pPr>
      <w:r>
        <w:rPr>
          <w:szCs w:val="24"/>
        </w:rPr>
      </w:r>
    </w:p>
    <w:p>
      <w:pPr>
        <w:pStyle w:val="Normal"/>
        <w:jc w:val="both"/>
        <w:rPr/>
      </w:pPr>
      <w:r>
        <w:rPr/>
        <w:t xml:space="preserve">Except as provided in </w:t>
      </w:r>
      <w:r>
        <w:rPr>
          <w:b/>
          <w:bCs/>
        </w:rPr>
        <w:t>Article VIII</w:t>
      </w:r>
      <w:r>
        <w:rPr/>
        <w:t xml:space="preserve"> and </w:t>
      </w:r>
      <w:r>
        <w:rPr>
          <w:b/>
        </w:rPr>
        <w:t>Article IX</w:t>
      </w:r>
      <w:r>
        <w:rPr/>
        <w:t xml:space="preserve"> above, the Company reserves the right to amend, alter, change or repeal any provision contained in this Certificate of Incorporation, in the manner now or hereafter prescribed by statute, and all rights conferred upon stockholders herein are granted subject to this reservation.</w:t>
      </w:r>
      <w:r>
        <w:br w:type="page"/>
      </w:r>
    </w:p>
    <w:p>
      <w:pPr>
        <w:pStyle w:val="Def2Heading1"/>
        <w:keepNext w:val="true"/>
        <w:keepLines/>
        <w:numPr>
          <w:ilvl w:val="0"/>
          <w:numId w:val="0"/>
        </w:numPr>
        <w:ind w:left="0" w:firstLine="720"/>
        <w:jc w:val="both"/>
        <w:rPr/>
      </w:pPr>
      <w:r>
        <w:rPr/>
        <w:t>I, the undersigned, as the sole incorporator of the Company, have signed this Certificate of Incorporation on ___________________, 201__.</w:t>
      </w:r>
    </w:p>
    <w:p>
      <w:pPr>
        <w:pStyle w:val="Normal"/>
        <w:keepLines/>
        <w:ind w:firstLine="4320"/>
        <w:rPr/>
      </w:pPr>
      <w:r>
        <w:rPr/>
      </w:r>
    </w:p>
    <w:p>
      <w:pPr>
        <w:pStyle w:val="Normal"/>
        <w:keepLines/>
        <w:spacing w:before="0" w:after="0"/>
        <w:ind w:firstLine="4320"/>
        <w:rPr>
          <w:u w:val="single"/>
        </w:rPr>
      </w:pPr>
      <w:r>
        <w:rPr>
          <w:u w:val="single"/>
        </w:rPr>
        <w:tab/>
        <w:tab/>
        <w:tab/>
        <w:tab/>
        <w:tab/>
        <w:tab/>
        <w:tab/>
      </w:r>
    </w:p>
    <w:p>
      <w:pPr>
        <w:pStyle w:val="Normal"/>
        <w:keepLines/>
        <w:spacing w:before="0" w:after="0"/>
        <w:ind w:firstLine="4320"/>
        <w:rPr/>
      </w:pPr>
      <w:r>
        <w:rPr/>
        <w:t>INCORPORATOR, Incorporator</w:t>
      </w:r>
    </w:p>
    <w:p>
      <w:pPr>
        <w:pStyle w:val="Normal"/>
        <w:keepLines/>
        <w:spacing w:before="0" w:after="0"/>
        <w:ind w:firstLine="4320"/>
        <w:rPr/>
      </w:pPr>
      <w:r>
        <w:rPr/>
      </w:r>
    </w:p>
    <w:sectPr>
      <w:headerReference w:type="default" r:id="rId2"/>
      <w:headerReference w:type="first" r:id="rId3"/>
      <w:footerReference w:type="default" r:id="rId4"/>
      <w:footerReference w:type="first" r:id="rId5"/>
      <w:type w:val="nextPage"/>
      <w:pgSz w:w="12240" w:h="15840"/>
      <w:pgMar w:left="1440" w:right="1080" w:gutter="0" w:header="1872" w:top="1928" w:footer="936"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Symbol">
    <w:charset w:val="02"/>
    <w:family w:val="decorative"/>
    <w:pitch w:val="variable"/>
  </w:font>
  <w:font w:name="Courier New">
    <w:charset w:val="00"/>
    <w:family w:val="modern"/>
    <w:pitch w:val="default"/>
  </w:font>
  <w:font w:name="Wingdings">
    <w:charset w:val="00"/>
    <w:family w:val="decorative"/>
    <w:pitch w:val="variable"/>
  </w:font>
  <w:font w:name="Tahoma">
    <w:charset w:val="00"/>
    <w:family w:val="swiss"/>
    <w:pitch w:val="variable"/>
  </w:font>
  <w:font w:name="Nimbus Sans">
    <w:charset w:val="01"/>
    <w:family w:val="swiss"/>
    <w:pitch w:val="variable"/>
  </w:font>
  <w:font w:name="Arial Unicode MS">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suff w:val="nothing"/>
      <w:lvlText w:val="ARTICLE %1"/>
      <w:lvlJc w:val="left"/>
      <w:pPr>
        <w:tabs>
          <w:tab w:val="num" w:pos="0"/>
        </w:tabs>
        <w:ind w:left="0" w:hanging="0"/>
      </w:pPr>
      <w:rPr>
        <w:i w:val="false"/>
        <w:u w:val="none"/>
        <w:b/>
      </w:rPr>
    </w:lvl>
    <w:lvl w:ilvl="1">
      <w:start w:val="1"/>
      <w:pStyle w:val="Heading2"/>
      <w:numFmt w:val="decimal"/>
      <w:lvlText w:val="%1.%2"/>
      <w:lvlJc w:val="left"/>
      <w:pPr>
        <w:tabs>
          <w:tab w:val="num" w:pos="1080"/>
        </w:tabs>
        <w:ind w:left="0" w:firstLine="720"/>
      </w:pPr>
      <w:rPr>
        <w:u w:val="none"/>
      </w:rPr>
    </w:lvl>
    <w:lvl w:ilvl="2">
      <w:start w:val="1"/>
      <w:pStyle w:val="Heading3"/>
      <w:numFmt w:val="lowerLetter"/>
      <w:lvlText w:val="(%3)"/>
      <w:lvlJc w:val="left"/>
      <w:pPr>
        <w:tabs>
          <w:tab w:val="num" w:pos="1800"/>
        </w:tabs>
        <w:ind w:left="0" w:firstLine="1440"/>
      </w:pPr>
      <w:rPr>
        <w:u w:val="none"/>
      </w:rPr>
    </w:lvl>
    <w:lvl w:ilvl="3">
      <w:start w:val="1"/>
      <w:pStyle w:val="Heading4"/>
      <w:numFmt w:val="lowerRoman"/>
      <w:lvlText w:val="(%4)"/>
      <w:lvlJc w:val="right"/>
      <w:pPr>
        <w:tabs>
          <w:tab w:val="num" w:pos="2880"/>
        </w:tabs>
        <w:ind w:left="0" w:firstLine="2520"/>
      </w:pPr>
      <w:rPr>
        <w:u w:val="none"/>
      </w:rPr>
    </w:lvl>
    <w:lvl w:ilvl="4">
      <w:start w:val="1"/>
      <w:pStyle w:val="Heading5"/>
      <w:numFmt w:val="decimal"/>
      <w:lvlText w:val="(%5)"/>
      <w:lvlJc w:val="left"/>
      <w:pPr>
        <w:tabs>
          <w:tab w:val="num" w:pos="3240"/>
        </w:tabs>
        <w:ind w:left="0" w:firstLine="2880"/>
      </w:pPr>
      <w:rPr>
        <w:u w:val="none"/>
      </w:rPr>
    </w:lvl>
    <w:lvl w:ilvl="5">
      <w:start w:val="1"/>
      <w:pStyle w:val="Heading6"/>
      <w:numFmt w:val="lowerLetter"/>
      <w:lvlText w:val="%6)"/>
      <w:lvlJc w:val="left"/>
      <w:pPr>
        <w:tabs>
          <w:tab w:val="num" w:pos="3960"/>
        </w:tabs>
        <w:ind w:left="0" w:firstLine="3600"/>
      </w:pPr>
      <w:rPr>
        <w:u w:val="none"/>
      </w:rPr>
    </w:lvl>
    <w:lvl w:ilvl="6">
      <w:start w:val="1"/>
      <w:pStyle w:val="Heading7"/>
      <w:numFmt w:val="lowerRoman"/>
      <w:lvlText w:val="%7)"/>
      <w:lvlJc w:val="right"/>
      <w:pPr>
        <w:tabs>
          <w:tab w:val="num" w:pos="5040"/>
        </w:tabs>
        <w:ind w:left="0" w:firstLine="4680"/>
      </w:pPr>
      <w:rPr>
        <w:u w:val="none"/>
      </w:rPr>
    </w:lvl>
    <w:lvl w:ilvl="7">
      <w:start w:val="1"/>
      <w:pStyle w:val="Heading8"/>
      <w:numFmt w:val="decimal"/>
      <w:lvlText w:val="%8)"/>
      <w:lvlJc w:val="left"/>
      <w:pPr>
        <w:tabs>
          <w:tab w:val="num" w:pos="5400"/>
        </w:tabs>
        <w:ind w:left="0" w:firstLine="5040"/>
      </w:pPr>
      <w:rPr>
        <w:u w:val="none"/>
      </w:rPr>
    </w:lvl>
    <w:lvl w:ilvl="8">
      <w:start w:val="1"/>
      <w:pStyle w:val="Heading9"/>
      <w:numFmt w:val="lowerRoman"/>
      <w:lvlText w:val="%9."/>
      <w:lvlJc w:val="right"/>
      <w:pPr>
        <w:tabs>
          <w:tab w:val="num" w:pos="1584"/>
        </w:tabs>
        <w:ind w:left="1584" w:hanging="144"/>
      </w:pPr>
      <w:rPr>
        <w:u w:val="none"/>
      </w:rPr>
    </w:lvl>
  </w:abstractNum>
  <w:abstractNum w:abstractNumId="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center"/>
      <w:outlineLvl w:val="0"/>
    </w:pPr>
    <w:rPr>
      <w:kern w:val="2"/>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b/>
      <w:i w:val="false"/>
      <w:u w:val="none"/>
    </w:rPr>
  </w:style>
  <w:style w:type="character" w:styleId="WW8Num11z1">
    <w:name w:val="WW8Num11z1"/>
    <w:qFormat/>
    <w:rPr>
      <w:u w:val="none"/>
    </w:rPr>
  </w:style>
  <w:style w:type="character" w:styleId="WW8Num12z0">
    <w:name w:val="WW8Num12z0"/>
    <w:qFormat/>
    <w:rPr>
      <w:u w:val="none"/>
    </w:rPr>
  </w:style>
  <w:style w:type="character" w:styleId="WW8Num13z0">
    <w:name w:val="WW8Num13z0"/>
    <w:qFormat/>
    <w:rPr>
      <w:u w:val="none"/>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rFonts w:ascii="Times New Roman" w:hAnsi="Times New Roman" w:cs="Times New Roman"/>
      <w:sz w:val="20"/>
    </w:rPr>
  </w:style>
  <w:style w:type="character" w:styleId="DefaultParagraphFont">
    <w:name w:val="Default Paragraph Font"/>
    <w:qFormat/>
    <w:rPr/>
  </w:style>
  <w:style w:type="character" w:styleId="PageNumber">
    <w:name w:val="Page Number"/>
    <w:rPr>
      <w:rFonts w:ascii="Times New Roman" w:hAnsi="Times New Roman" w:cs="Times New Roman"/>
      <w:sz w:val="24"/>
    </w:rPr>
  </w:style>
  <w:style w:type="character" w:styleId="CommentReference">
    <w:name w:val="Comment Reference"/>
    <w:qFormat/>
    <w:rPr>
      <w:sz w:val="16"/>
    </w:rPr>
  </w:style>
  <w:style w:type="character" w:styleId="EndnoteCharacters">
    <w:name w:val="Endnote Characters"/>
    <w:qFormat/>
    <w:rPr>
      <w:vertAlign w:val="superscript"/>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ntents1">
    <w:name w:val="TOC 1"/>
    <w:basedOn w:val="Normal"/>
    <w:next w:val="Normal"/>
    <w:pPr>
      <w:keepNext w:val="true"/>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clear" w:pos="720"/>
        <w:tab w:val="left" w:pos="1440" w:leader="none"/>
        <w:tab w:val="right" w:pos="9706" w:leader="dot"/>
      </w:tabs>
      <w:spacing w:before="0" w:after="0"/>
      <w:ind w:left="1440" w:right="720" w:hanging="72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Footnote">
    <w:name w:val="Footnote Text"/>
    <w:basedOn w:val="Normal"/>
    <w:pPr>
      <w:tabs>
        <w:tab w:val="clear" w:pos="720"/>
        <w:tab w:val="left" w:pos="360" w:leader="none"/>
      </w:tabs>
      <w:spacing w:before="120" w:after="120"/>
      <w:ind w:firstLine="36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CenterText">
    <w:name w:val="Center Text"/>
    <w:basedOn w:val="Normal"/>
    <w:next w:val="Normal"/>
    <w:qFormat/>
    <w:pPr>
      <w:ind w:hanging="0"/>
      <w:jc w:val="center"/>
    </w:pPr>
    <w:rPr/>
  </w:style>
  <w:style w:type="paragraph" w:styleId="CenterTextBold">
    <w:name w:val="Center Text Bold"/>
    <w:basedOn w:val="CenterText"/>
    <w:next w:val="Normal"/>
    <w:qFormat/>
    <w:pPr/>
    <w:rPr>
      <w:b/>
    </w:rPr>
  </w:style>
  <w:style w:type="paragraph" w:styleId="CommentText">
    <w:name w:val="Comment Text"/>
    <w:basedOn w:val="Normal"/>
    <w:qFormat/>
    <w:pPr/>
    <w:rPr>
      <w:sz w:val="20"/>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2"/>
      </w:numPr>
      <w:tabs>
        <w:tab w:val="clear" w:pos="720"/>
      </w:tabs>
    </w:pPr>
    <w:rPr/>
  </w:style>
  <w:style w:type="paragraph" w:styleId="Def2Heading2">
    <w:name w:val="Def2 Heading 2"/>
    <w:basedOn w:val="Normal"/>
    <w:next w:val="Normal"/>
    <w:qFormat/>
    <w:pPr>
      <w:numPr>
        <w:ilvl w:val="0"/>
        <w:numId w:val="2"/>
      </w:numPr>
      <w:tabs>
        <w:tab w:val="clear" w:pos="720"/>
      </w:tabs>
    </w:pPr>
    <w:rPr/>
  </w:style>
  <w:style w:type="paragraph" w:styleId="Def2Heading3">
    <w:name w:val="Def2 Heading 3"/>
    <w:basedOn w:val="Normal"/>
    <w:next w:val="Normal"/>
    <w:qFormat/>
    <w:pPr>
      <w:numPr>
        <w:ilvl w:val="0"/>
        <w:numId w:val="2"/>
      </w:numPr>
      <w:tabs>
        <w:tab w:val="clear" w:pos="720"/>
      </w:tabs>
    </w:pPr>
    <w:rPr/>
  </w:style>
  <w:style w:type="paragraph" w:styleId="Def2Heading4">
    <w:name w:val="Def2 Heading 4"/>
    <w:basedOn w:val="Normal"/>
    <w:next w:val="Normal"/>
    <w:qFormat/>
    <w:pPr>
      <w:numPr>
        <w:ilvl w:val="0"/>
        <w:numId w:val="2"/>
      </w:numPr>
      <w:tabs>
        <w:tab w:val="clear" w:pos="720"/>
      </w:tabs>
    </w:pPr>
    <w:rPr/>
  </w:style>
  <w:style w:type="paragraph" w:styleId="Def2Heading5">
    <w:name w:val="Def2 Heading 5"/>
    <w:basedOn w:val="Normal"/>
    <w:next w:val="Normal"/>
    <w:qFormat/>
    <w:pPr>
      <w:numPr>
        <w:ilvl w:val="0"/>
        <w:numId w:val="2"/>
      </w:numPr>
      <w:tabs>
        <w:tab w:val="clear" w:pos="720"/>
      </w:tabs>
    </w:pPr>
    <w:rPr/>
  </w:style>
  <w:style w:type="paragraph" w:styleId="ExAHeading1">
    <w:name w:val="ExA Heading 1"/>
    <w:basedOn w:val="Normal"/>
    <w:next w:val="Normal"/>
    <w:qFormat/>
    <w:pPr>
      <w:numPr>
        <w:ilvl w:val="0"/>
        <w:numId w:val="3"/>
      </w:numPr>
      <w:tabs>
        <w:tab w:val="clear" w:pos="720"/>
      </w:tabs>
    </w:pPr>
    <w:rPr/>
  </w:style>
  <w:style w:type="paragraph" w:styleId="ExAHeading2">
    <w:name w:val="ExA Heading 2"/>
    <w:basedOn w:val="Normal"/>
    <w:next w:val="Normal"/>
    <w:qFormat/>
    <w:pPr>
      <w:numPr>
        <w:ilvl w:val="0"/>
        <w:numId w:val="3"/>
      </w:numPr>
      <w:tabs>
        <w:tab w:val="clear" w:pos="720"/>
      </w:tabs>
    </w:pPr>
    <w:rPr/>
  </w:style>
  <w:style w:type="paragraph" w:styleId="ExAHeading3">
    <w:name w:val="ExA Heading 3"/>
    <w:basedOn w:val="Normal"/>
    <w:next w:val="Normal"/>
    <w:qFormat/>
    <w:pPr>
      <w:numPr>
        <w:ilvl w:val="0"/>
        <w:numId w:val="3"/>
      </w:numPr>
      <w:tabs>
        <w:tab w:val="clear" w:pos="720"/>
      </w:tabs>
    </w:pPr>
    <w:rPr/>
  </w:style>
  <w:style w:type="paragraph" w:styleId="ExAHeading4">
    <w:name w:val="ExA Heading 4"/>
    <w:basedOn w:val="Normal"/>
    <w:next w:val="Normal"/>
    <w:qFormat/>
    <w:pPr>
      <w:numPr>
        <w:ilvl w:val="0"/>
        <w:numId w:val="3"/>
      </w:numPr>
      <w:tabs>
        <w:tab w:val="clear" w:pos="720"/>
      </w:tabs>
    </w:pPr>
    <w:rPr/>
  </w:style>
  <w:style w:type="paragraph" w:styleId="ExAHeading5">
    <w:name w:val="ExA Heading 5"/>
    <w:basedOn w:val="Normal"/>
    <w:next w:val="Normal"/>
    <w:qFormat/>
    <w:pPr>
      <w:numPr>
        <w:ilvl w:val="0"/>
        <w:numId w:val="3"/>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Label">
    <w:name w:val="Label"/>
    <w:basedOn w:val="Normal"/>
    <w:qFormat/>
    <w:pPr>
      <w:spacing w:before="0" w:after="0"/>
      <w:ind w:hanging="0"/>
    </w:pPr>
    <w:rPr/>
  </w:style>
  <w:style w:type="paragraph" w:styleId="Signature">
    <w:name w:val="Signature"/>
    <w:basedOn w:val="Normal"/>
    <w:pPr>
      <w:ind w:left="4320" w:firstLine="720"/>
    </w:pPr>
    <w:rPr/>
  </w:style>
  <w:style w:type="paragraph" w:styleId="HeadingBorder">
    <w:name w:val="Heading Border"/>
    <w:basedOn w:val="Normal"/>
    <w:qFormat/>
    <w:pPr>
      <w:keepNext w:val="true"/>
      <w:keepLines/>
      <w:tabs>
        <w:tab w:val="clear" w:pos="720"/>
        <w:tab w:val="left" w:pos="7920" w:leader="underscore"/>
      </w:tabs>
      <w:spacing w:lineRule="auto" w:line="480"/>
      <w:ind w:left="1987" w:hanging="0"/>
      <w:jc w:val="both"/>
    </w:pPr>
    <w:rPr>
      <w:sz w:val="22"/>
    </w:rPr>
  </w:style>
  <w:style w:type="paragraph" w:styleId="TextBodyIndent">
    <w:name w:val="Body Text Indent"/>
    <w:basedOn w:val="Normal"/>
    <w:pPr>
      <w:jc w:val="both"/>
    </w:pPr>
    <w:rPr/>
  </w:style>
  <w:style w:type="paragraph" w:styleId="BodyTextIndent2">
    <w:name w:val="Body Text Indent 2"/>
    <w:basedOn w:val="Normal"/>
    <w:qFormat/>
    <w:pPr>
      <w:ind w:firstLine="360"/>
      <w:jc w:val="both"/>
    </w:pPr>
    <w:rPr/>
  </w:style>
  <w:style w:type="paragraph" w:styleId="BodyTextIndent3">
    <w:name w:val="Body Text Indent 3"/>
    <w:basedOn w:val="Normal"/>
    <w:qFormat/>
    <w:pPr>
      <w:ind w:firstLine="360"/>
    </w:pPr>
    <w:rPr/>
  </w:style>
  <w:style w:type="paragraph" w:styleId="NormalWeb">
    <w:name w:val="Normal (Web)"/>
    <w:basedOn w:val="Normal"/>
    <w:qFormat/>
    <w:pPr>
      <w:spacing w:before="100" w:after="100"/>
      <w:ind w:hanging="0"/>
    </w:pPr>
    <w:rPr>
      <w:rFonts w:ascii="Arial Unicode MS" w:hAnsi="Arial Unicode MS" w:eastAsia="Arial Unicode MS" w:cs="Arial Unicode MS"/>
      <w:szCs w:val="24"/>
    </w:rPr>
  </w:style>
  <w:style w:type="paragraph" w:styleId="BalloonText">
    <w:name w:val="Balloon Text"/>
    <w:basedOn w:val="Normal"/>
    <w:qFormat/>
    <w:pPr>
      <w:spacing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2012-12-17T17:09:00Z</dcterms:created>
  <dc:creator/>
  <dc:description/>
  <cp:keywords/>
  <dc:language>en-US</dc:language>
  <cp:lastModifiedBy/>
  <cp:lastPrinted>2005-07-02T16:15:00Z</cp:lastPrinted>
  <dcterms:modified xsi:type="dcterms:W3CDTF">2022-07-25T03:55:00Z</dcterms:modified>
  <cp:revision>1</cp:revision>
  <dc:subject/>
  <dc:title/>
</cp:coreProperties>
</file>