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B298" w14:textId="77777777" w:rsidR="006D0B2D" w:rsidRPr="006D0B2D" w:rsidRDefault="006D0B2D" w:rsidP="006D0B2D">
      <w:r w:rsidRPr="006D0B2D">
        <w:t xml:space="preserve">Below is a practical overview of </w:t>
      </w:r>
      <w:r w:rsidRPr="006D0B2D">
        <w:rPr>
          <w:b/>
          <w:bCs/>
        </w:rPr>
        <w:t>USAA’s Financial Readiness Score (FRS)</w:t>
      </w:r>
      <w:r w:rsidRPr="006D0B2D">
        <w:t xml:space="preserve"> from three angles. The exact scoring formula is not publicly disclosed, so the technical section is partly inferred from USAA’s public descriptions and how these types of financial-health engines are typically built.</w:t>
      </w:r>
    </w:p>
    <w:p w14:paraId="01BC5BEC" w14:textId="77777777" w:rsidR="006D0B2D" w:rsidRPr="006D0B2D" w:rsidRDefault="006D0B2D" w:rsidP="006D0B2D">
      <w:pPr>
        <w:rPr>
          <w:b/>
          <w:bCs/>
        </w:rPr>
      </w:pPr>
      <w:r w:rsidRPr="006D0B2D">
        <w:rPr>
          <w:b/>
          <w:bCs/>
        </w:rPr>
        <w:t>1. Customer perspective: what the member experiences</w:t>
      </w:r>
    </w:p>
    <w:p w14:paraId="321F1306" w14:textId="77777777" w:rsidR="006D0B2D" w:rsidRPr="006D0B2D" w:rsidRDefault="006D0B2D" w:rsidP="006D0B2D">
      <w:r w:rsidRPr="006D0B2D">
        <w:t xml:space="preserve">From a member’s perspective, FRS is essentially a </w:t>
      </w:r>
      <w:r w:rsidRPr="006D0B2D">
        <w:rPr>
          <w:b/>
          <w:bCs/>
        </w:rPr>
        <w:t>personal financial health dashboard</w:t>
      </w:r>
      <w:r w:rsidRPr="006D0B2D">
        <w:t xml:space="preserve">, not a credit score. It gives the member a </w:t>
      </w:r>
      <w:r w:rsidRPr="006D0B2D">
        <w:rPr>
          <w:b/>
          <w:bCs/>
        </w:rPr>
        <w:t>1–100 score</w:t>
      </w:r>
      <w:r w:rsidRPr="006D0B2D">
        <w:t xml:space="preserve"> that summarizes how financially “ready” they are, then breaks that into suggested actions across areas like </w:t>
      </w:r>
      <w:r w:rsidRPr="006D0B2D">
        <w:rPr>
          <w:b/>
          <w:bCs/>
        </w:rPr>
        <w:t>spending, saving, protection/insurance, debt, retirement savings, budgeting, planning, and major life events</w:t>
      </w:r>
      <w:r w:rsidRPr="006D0B2D">
        <w:t>. USAA has described the dashboard as personalized, with suggested actions and tools that are updated regularly as the member’s situation changes. (</w:t>
      </w:r>
      <w:hyperlink r:id="rId5" w:tooltip="Military Community Shows Financial Resilience, Growing Savings by 19% and Cutting Credit Card Balances by 23% Over Last Five Years, New USAA Bank Data Shows | USAA News" w:history="1">
        <w:r w:rsidRPr="006D0B2D">
          <w:rPr>
            <w:rStyle w:val="Hyperlink"/>
          </w:rPr>
          <w:t>USAA News</w:t>
        </w:r>
      </w:hyperlink>
      <w:r w:rsidRPr="006D0B2D">
        <w:t>)</w:t>
      </w:r>
    </w:p>
    <w:p w14:paraId="6D29A00D" w14:textId="77777777" w:rsidR="006D0B2D" w:rsidRPr="006D0B2D" w:rsidRDefault="006D0B2D" w:rsidP="006D0B2D">
      <w:r w:rsidRPr="006D0B2D">
        <w:t>The experience likely works like this:</w:t>
      </w:r>
    </w:p>
    <w:p w14:paraId="70EDFF84" w14:textId="77777777" w:rsidR="006D0B2D" w:rsidRPr="006D0B2D" w:rsidRDefault="006D0B2D" w:rsidP="006D0B2D">
      <w:pPr>
        <w:numPr>
          <w:ilvl w:val="0"/>
          <w:numId w:val="1"/>
        </w:numPr>
      </w:pPr>
      <w:r w:rsidRPr="006D0B2D">
        <w:rPr>
          <w:b/>
          <w:bCs/>
        </w:rPr>
        <w:t>Member logs in through USAA web or mobile.</w:t>
      </w:r>
      <w:r w:rsidRPr="006D0B2D">
        <w:br/>
        <w:t>The score is available inside the authenticated USAA experience, which makes it feel like part of the member’s broader financial relationship rather than a standalone calculator.</w:t>
      </w:r>
    </w:p>
    <w:p w14:paraId="75706143" w14:textId="77777777" w:rsidR="006D0B2D" w:rsidRPr="006D0B2D" w:rsidRDefault="006D0B2D" w:rsidP="006D0B2D">
      <w:pPr>
        <w:numPr>
          <w:ilvl w:val="0"/>
          <w:numId w:val="1"/>
        </w:numPr>
      </w:pPr>
      <w:r w:rsidRPr="006D0B2D">
        <w:rPr>
          <w:b/>
          <w:bCs/>
        </w:rPr>
        <w:t>USAA pre-populates what it already knows.</w:t>
      </w:r>
      <w:r w:rsidRPr="006D0B2D">
        <w:br/>
        <w:t>Public reporting says USAA pre-populates information it already has about the member, and the member can also link outside bank accounts to feed the algorithm. (</w:t>
      </w:r>
      <w:hyperlink r:id="rId6" w:tooltip="USAA Enters Financial Health Fray with 'Readiness' Score | American Banker" w:history="1">
        <w:r w:rsidRPr="006D0B2D">
          <w:rPr>
            <w:rStyle w:val="Hyperlink"/>
          </w:rPr>
          <w:t>American Banker</w:t>
        </w:r>
      </w:hyperlink>
      <w:r w:rsidRPr="006D0B2D">
        <w:t>)</w:t>
      </w:r>
    </w:p>
    <w:p w14:paraId="73504059" w14:textId="77777777" w:rsidR="006D0B2D" w:rsidRPr="006D0B2D" w:rsidRDefault="006D0B2D" w:rsidP="006D0B2D">
      <w:pPr>
        <w:numPr>
          <w:ilvl w:val="0"/>
          <w:numId w:val="1"/>
        </w:numPr>
      </w:pPr>
      <w:r w:rsidRPr="006D0B2D">
        <w:rPr>
          <w:b/>
          <w:bCs/>
        </w:rPr>
        <w:t>Member completes a guided assessment.</w:t>
      </w:r>
      <w:r w:rsidRPr="006D0B2D">
        <w:br/>
        <w:t xml:space="preserve">When launched, USAA described the flow as a roughly </w:t>
      </w:r>
      <w:r w:rsidRPr="006D0B2D">
        <w:rPr>
          <w:b/>
          <w:bCs/>
        </w:rPr>
        <w:t>10-minute online survey</w:t>
      </w:r>
      <w:r w:rsidRPr="006D0B2D">
        <w:t xml:space="preserve"> using information like income, age, life stage, household situation, and goals. (</w:t>
      </w:r>
      <w:hyperlink r:id="rId7" w:tooltip="USAA Enters Financial Health Fray with 'Readiness' Score | American Banker" w:history="1">
        <w:r w:rsidRPr="006D0B2D">
          <w:rPr>
            <w:rStyle w:val="Hyperlink"/>
          </w:rPr>
          <w:t>American Banker</w:t>
        </w:r>
      </w:hyperlink>
      <w:r w:rsidRPr="006D0B2D">
        <w:t>)</w:t>
      </w:r>
    </w:p>
    <w:p w14:paraId="68C17DA8" w14:textId="77777777" w:rsidR="006D0B2D" w:rsidRPr="006D0B2D" w:rsidRDefault="006D0B2D" w:rsidP="006D0B2D">
      <w:pPr>
        <w:numPr>
          <w:ilvl w:val="0"/>
          <w:numId w:val="1"/>
        </w:numPr>
      </w:pPr>
      <w:r w:rsidRPr="006D0B2D">
        <w:rPr>
          <w:b/>
          <w:bCs/>
        </w:rPr>
        <w:t>Member sees a score and prioritized action plan.</w:t>
      </w:r>
      <w:r w:rsidRPr="006D0B2D">
        <w:br/>
        <w:t xml:space="preserve">The value is not just “your score is 63.” The experience identifies risks and gives a prioritized plan to improve financial wellness. The American Legion’s writeup described FRS as analyzing readiness in four broad areas: </w:t>
      </w:r>
      <w:r w:rsidRPr="006D0B2D">
        <w:rPr>
          <w:b/>
          <w:bCs/>
        </w:rPr>
        <w:t>protecting, saving, spending, and planning</w:t>
      </w:r>
      <w:r w:rsidRPr="006D0B2D">
        <w:t>, then summarizing the member’s readiness into a 1–100 score. (</w:t>
      </w:r>
      <w:hyperlink r:id="rId8" w:tooltip="Know before you go | The American Legion" w:history="1">
        <w:r w:rsidRPr="006D0B2D">
          <w:rPr>
            <w:rStyle w:val="Hyperlink"/>
          </w:rPr>
          <w:t>The American Legion</w:t>
        </w:r>
      </w:hyperlink>
      <w:r w:rsidRPr="006D0B2D">
        <w:t>)</w:t>
      </w:r>
    </w:p>
    <w:p w14:paraId="61FE8273" w14:textId="77777777" w:rsidR="006D0B2D" w:rsidRPr="006D0B2D" w:rsidRDefault="006D0B2D" w:rsidP="006D0B2D">
      <w:pPr>
        <w:numPr>
          <w:ilvl w:val="0"/>
          <w:numId w:val="1"/>
        </w:numPr>
      </w:pPr>
      <w:r w:rsidRPr="006D0B2D">
        <w:rPr>
          <w:b/>
          <w:bCs/>
        </w:rPr>
        <w:t>Member receives nudges when circumstances change.</w:t>
      </w:r>
      <w:r w:rsidRPr="006D0B2D">
        <w:br/>
        <w:t>Public reporting noted that scores can change quickly, even daily, and that members could receive alerts when their score changes because of life events like moving or having a baby. (</w:t>
      </w:r>
      <w:hyperlink r:id="rId9" w:tooltip="USAA Enters Financial Health Fray with 'Readiness' Score | American Banker" w:history="1">
        <w:r w:rsidRPr="006D0B2D">
          <w:rPr>
            <w:rStyle w:val="Hyperlink"/>
          </w:rPr>
          <w:t>American Banker</w:t>
        </w:r>
      </w:hyperlink>
      <w:r w:rsidRPr="006D0B2D">
        <w:t>)</w:t>
      </w:r>
    </w:p>
    <w:p w14:paraId="7BDF6F9B" w14:textId="77777777" w:rsidR="006D0B2D" w:rsidRPr="006D0B2D" w:rsidRDefault="006D0B2D" w:rsidP="006D0B2D">
      <w:r w:rsidRPr="006D0B2D">
        <w:t xml:space="preserve">The important UX distinction: this is framed as </w:t>
      </w:r>
      <w:r w:rsidRPr="006D0B2D">
        <w:rPr>
          <w:b/>
          <w:bCs/>
        </w:rPr>
        <w:t>“for you”</w:t>
      </w:r>
      <w:r w:rsidRPr="006D0B2D">
        <w:t>, not as a score used to judge eligibility. USAA explicitly positions it as informational and member-facing, and its annual report disclosure says information provided for the tool is voluntary and is not considered in connection with requests or applications for credit or insurance products/services. (</w:t>
      </w:r>
      <w:hyperlink r:id="rId10" w:tooltip="ANNUAL REPORT TO MEMBERS 2023" w:history="1">
        <w:r w:rsidRPr="006D0B2D">
          <w:rPr>
            <w:rStyle w:val="Hyperlink"/>
          </w:rPr>
          <w:t>USAA</w:t>
        </w:r>
      </w:hyperlink>
      <w:r w:rsidRPr="006D0B2D">
        <w:t>)</w:t>
      </w:r>
    </w:p>
    <w:p w14:paraId="45C99AD9" w14:textId="77777777" w:rsidR="006D0B2D" w:rsidRPr="006D0B2D" w:rsidRDefault="006D0B2D" w:rsidP="006D0B2D">
      <w:pPr>
        <w:rPr>
          <w:b/>
          <w:bCs/>
        </w:rPr>
      </w:pPr>
      <w:r w:rsidRPr="006D0B2D">
        <w:rPr>
          <w:b/>
          <w:bCs/>
        </w:rPr>
        <w:t>2. Business perspective: why it matters to USAA</w:t>
      </w:r>
    </w:p>
    <w:p w14:paraId="62465551" w14:textId="77777777" w:rsidR="006D0B2D" w:rsidRPr="006D0B2D" w:rsidRDefault="006D0B2D" w:rsidP="006D0B2D">
      <w:r w:rsidRPr="006D0B2D">
        <w:t xml:space="preserve">The business value is bigger than the score itself. FRS is a </w:t>
      </w:r>
      <w:r w:rsidRPr="006D0B2D">
        <w:rPr>
          <w:b/>
          <w:bCs/>
        </w:rPr>
        <w:t>relationship, engagement, advice, data, and cross-sell platform</w:t>
      </w:r>
      <w:r w:rsidRPr="006D0B2D">
        <w:t xml:space="preserve"> wrapped in a member-friendly experience.</w:t>
      </w:r>
    </w:p>
    <w:p w14:paraId="3F43E023" w14:textId="77777777" w:rsidR="006D0B2D" w:rsidRPr="006D0B2D" w:rsidRDefault="006D0B2D" w:rsidP="006D0B2D">
      <w:r w:rsidRPr="006D0B2D">
        <w:t>First, it supports USAA’s core brand promise: helping military members and families become financially secure. That is especially relevant because military households face recurring life events that materially affect finances: PCS moves, deployment, transition out of service, marriage, divorce, children, survivor benefits, home buying, and retirement. A readiness score gives USAA a way to make that mission tangible.</w:t>
      </w:r>
    </w:p>
    <w:p w14:paraId="29FA8525" w14:textId="77777777" w:rsidR="006D0B2D" w:rsidRPr="006D0B2D" w:rsidRDefault="006D0B2D" w:rsidP="006D0B2D">
      <w:r w:rsidRPr="006D0B2D">
        <w:lastRenderedPageBreak/>
        <w:t xml:space="preserve">Second, it creates </w:t>
      </w:r>
      <w:r w:rsidRPr="006D0B2D">
        <w:rPr>
          <w:b/>
          <w:bCs/>
        </w:rPr>
        <w:t>high-value engagement</w:t>
      </w:r>
      <w:r w:rsidRPr="006D0B2D">
        <w:t>. A member may not call an advisor or think about insurance coverage, debt, emergency savings, or retirement readiness on their own. A score creates a reason to come back, check progress, and act. Early reporting said members were reaching out to USAA advisors for help improving their scores, and advisors could see the FRS pages to continue the conversation where the member left off. (</w:t>
      </w:r>
      <w:hyperlink r:id="rId11" w:tooltip="USAA Enters Financial Health Fray with 'Readiness' Score | American Banker" w:history="1">
        <w:r w:rsidRPr="006D0B2D">
          <w:rPr>
            <w:rStyle w:val="Hyperlink"/>
          </w:rPr>
          <w:t>American Banker</w:t>
        </w:r>
      </w:hyperlink>
      <w:r w:rsidRPr="006D0B2D">
        <w:t>)</w:t>
      </w:r>
    </w:p>
    <w:p w14:paraId="0AD29B89" w14:textId="77777777" w:rsidR="006D0B2D" w:rsidRPr="006D0B2D" w:rsidRDefault="006D0B2D" w:rsidP="006D0B2D">
      <w:r w:rsidRPr="006D0B2D">
        <w:t xml:space="preserve">Third, it improves </w:t>
      </w:r>
      <w:r w:rsidRPr="006D0B2D">
        <w:rPr>
          <w:b/>
          <w:bCs/>
        </w:rPr>
        <w:t>next-best-action relevance</w:t>
      </w:r>
      <w:r w:rsidRPr="006D0B2D">
        <w:t>. Instead of generic “open a savings account” or “consider life insurance” messaging, USAA can recommend actions based on the member’s actual situation: insufficient emergency savings, too much revolving debt, gaps in life insurance, under-saving for retirement, no estate documents, upcoming move, or a new child. USAA’s own disclosure notes that the tool encourages consideration of USAA products, which benefits USAA. (</w:t>
      </w:r>
      <w:hyperlink r:id="rId12" w:tooltip="ANNUAL REPORT TO MEMBERS 2023" w:history="1">
        <w:r w:rsidRPr="006D0B2D">
          <w:rPr>
            <w:rStyle w:val="Hyperlink"/>
          </w:rPr>
          <w:t>USAA</w:t>
        </w:r>
      </w:hyperlink>
      <w:r w:rsidRPr="006D0B2D">
        <w:t>)</w:t>
      </w:r>
    </w:p>
    <w:p w14:paraId="4CA587FF" w14:textId="77777777" w:rsidR="006D0B2D" w:rsidRPr="006D0B2D" w:rsidRDefault="006D0B2D" w:rsidP="006D0B2D">
      <w:r w:rsidRPr="006D0B2D">
        <w:t>Fourth, it enriches first-party data. FRS collects data that is often missing from core banking and insurance systems: goals, household details, income, expectations, external accounts, life-stage context, and intent. That data is incredibly valuable for segmentation, advice, marketing, personalization, and enterprise planning.</w:t>
      </w:r>
    </w:p>
    <w:p w14:paraId="055F2871" w14:textId="77777777" w:rsidR="006D0B2D" w:rsidRPr="006D0B2D" w:rsidRDefault="006D0B2D" w:rsidP="006D0B2D">
      <w:r w:rsidRPr="006D0B2D">
        <w:t>Fifth, it can reduce friction in the advice model. A human advisor can enter the conversation with context: “I see your biggest readiness gaps are emergency savings and protection coverage.” That makes calls more efficient and potentially increases conversion because the conversation starts with a member-recognized need.</w:t>
      </w:r>
    </w:p>
    <w:p w14:paraId="2E9F329F" w14:textId="77777777" w:rsidR="006D0B2D" w:rsidRPr="006D0B2D" w:rsidRDefault="006D0B2D" w:rsidP="006D0B2D">
      <w:r w:rsidRPr="006D0B2D">
        <w:t>The strategic risk is trust. If the member feels the score is just a sales funnel, it loses credibility. That is why the separation from underwriting, the disclaimers, and the “about you and for you” positioning are important.</w:t>
      </w:r>
    </w:p>
    <w:p w14:paraId="2C65C0C0" w14:textId="77777777" w:rsidR="006D0B2D" w:rsidRPr="006D0B2D" w:rsidRDefault="006D0B2D" w:rsidP="006D0B2D">
      <w:pPr>
        <w:rPr>
          <w:b/>
          <w:bCs/>
        </w:rPr>
      </w:pPr>
      <w:r w:rsidRPr="006D0B2D">
        <w:rPr>
          <w:b/>
          <w:bCs/>
        </w:rPr>
        <w:t>3. Technical perspective: how it likely works</w:t>
      </w:r>
    </w:p>
    <w:p w14:paraId="56A0480F" w14:textId="77777777" w:rsidR="006D0B2D" w:rsidRPr="006D0B2D" w:rsidRDefault="006D0B2D" w:rsidP="006D0B2D">
      <w:r w:rsidRPr="006D0B2D">
        <w:t xml:space="preserve">Public sources do not disclose the exact formula, but FRS appears to be a </w:t>
      </w:r>
      <w:r w:rsidRPr="006D0B2D">
        <w:rPr>
          <w:b/>
          <w:bCs/>
        </w:rPr>
        <w:t>hybrid financial-planning rules engine + scoring model + recommendation engine</w:t>
      </w:r>
      <w:r w:rsidRPr="006D0B2D">
        <w:t>, with some ML likely used around data enrichment and personalization rather than the core score alone.</w:t>
      </w:r>
    </w:p>
    <w:p w14:paraId="5DF95E22" w14:textId="77777777" w:rsidR="006D0B2D" w:rsidRPr="006D0B2D" w:rsidRDefault="006D0B2D" w:rsidP="006D0B2D">
      <w:pPr>
        <w:rPr>
          <w:b/>
          <w:bCs/>
        </w:rPr>
      </w:pPr>
      <w:r w:rsidRPr="006D0B2D">
        <w:rPr>
          <w:b/>
          <w:bCs/>
        </w:rPr>
        <w:t>Data inputs</w:t>
      </w:r>
    </w:p>
    <w:p w14:paraId="429D33C4" w14:textId="77777777" w:rsidR="006D0B2D" w:rsidRPr="006D0B2D" w:rsidRDefault="006D0B2D" w:rsidP="006D0B2D">
      <w:r w:rsidRPr="006D0B2D">
        <w:t>The likely inputs include:</w:t>
      </w:r>
    </w:p>
    <w:p w14:paraId="23D7B1E2" w14:textId="77777777" w:rsidR="006D0B2D" w:rsidRPr="006D0B2D" w:rsidRDefault="006D0B2D" w:rsidP="006D0B2D">
      <w:r w:rsidRPr="006D0B2D">
        <w:rPr>
          <w:b/>
          <w:bCs/>
        </w:rPr>
        <w:t>Member-provided data:</w:t>
      </w:r>
      <w:r w:rsidRPr="006D0B2D">
        <w:t xml:space="preserve"> income, household composition, age, goals, expectations, financial situation, life stage, and self-reported planning assumptions. USAA’s annual report says the score is based on information and assumptions provided by the member about goals, expectations, and financial situation. (</w:t>
      </w:r>
      <w:hyperlink r:id="rId13" w:tooltip="ANNUAL REPORT TO MEMBERS 2023" w:history="1">
        <w:r w:rsidRPr="006D0B2D">
          <w:rPr>
            <w:rStyle w:val="Hyperlink"/>
          </w:rPr>
          <w:t>USAA</w:t>
        </w:r>
      </w:hyperlink>
      <w:r w:rsidRPr="006D0B2D">
        <w:t>)</w:t>
      </w:r>
    </w:p>
    <w:p w14:paraId="24CFF01D" w14:textId="77777777" w:rsidR="006D0B2D" w:rsidRPr="006D0B2D" w:rsidRDefault="006D0B2D" w:rsidP="006D0B2D">
      <w:r w:rsidRPr="006D0B2D">
        <w:rPr>
          <w:b/>
          <w:bCs/>
        </w:rPr>
        <w:t>USAA-held data:</w:t>
      </w:r>
      <w:r w:rsidRPr="006D0B2D">
        <w:t xml:space="preserve"> account balances, cash-flow patterns, credit card balances, loans, insurance policies, retirement/annuity relationships where available, product ownership, tenure, and member profile attributes.</w:t>
      </w:r>
    </w:p>
    <w:p w14:paraId="583B472D" w14:textId="77777777" w:rsidR="006D0B2D" w:rsidRPr="006D0B2D" w:rsidRDefault="006D0B2D" w:rsidP="006D0B2D">
      <w:r w:rsidRPr="006D0B2D">
        <w:rPr>
          <w:b/>
          <w:bCs/>
        </w:rPr>
        <w:t>Linked external accounts:</w:t>
      </w:r>
      <w:r w:rsidRPr="006D0B2D">
        <w:t xml:space="preserve"> public reporting says members could link outside bank accounts to feed the algorithm. That would help fill gaps for members who use USAA for only part of their financial life. (</w:t>
      </w:r>
      <w:hyperlink r:id="rId14" w:tooltip="USAA Enters Financial Health Fray with 'Readiness' Score | American Banker" w:history="1">
        <w:r w:rsidRPr="006D0B2D">
          <w:rPr>
            <w:rStyle w:val="Hyperlink"/>
          </w:rPr>
          <w:t>American Banker</w:t>
        </w:r>
      </w:hyperlink>
      <w:r w:rsidRPr="006D0B2D">
        <w:t>)</w:t>
      </w:r>
    </w:p>
    <w:p w14:paraId="75265D7D" w14:textId="77777777" w:rsidR="006D0B2D" w:rsidRPr="006D0B2D" w:rsidRDefault="006D0B2D" w:rsidP="006D0B2D">
      <w:r w:rsidRPr="006D0B2D">
        <w:rPr>
          <w:b/>
          <w:bCs/>
        </w:rPr>
        <w:t>Life-event signals:</w:t>
      </w:r>
      <w:r w:rsidRPr="006D0B2D">
        <w:t xml:space="preserve"> moving, marriage, baby, deployment, military separation, retirement, survivor situation, home purchase, vehicle purchase, or caregiving.</w:t>
      </w:r>
    </w:p>
    <w:p w14:paraId="5BDD83F0" w14:textId="77777777" w:rsidR="006D0B2D" w:rsidRPr="006D0B2D" w:rsidRDefault="006D0B2D" w:rsidP="006D0B2D">
      <w:pPr>
        <w:rPr>
          <w:b/>
          <w:bCs/>
        </w:rPr>
      </w:pPr>
      <w:r w:rsidRPr="006D0B2D">
        <w:rPr>
          <w:b/>
          <w:bCs/>
        </w:rPr>
        <w:t>Feature engineering</w:t>
      </w:r>
    </w:p>
    <w:p w14:paraId="5C1B6E05" w14:textId="77777777" w:rsidR="006D0B2D" w:rsidRPr="006D0B2D" w:rsidRDefault="006D0B2D" w:rsidP="006D0B2D">
      <w:r w:rsidRPr="006D0B2D">
        <w:t>The engine likely transforms those inputs into readiness features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7256"/>
      </w:tblGrid>
      <w:tr w:rsidR="006D0B2D" w:rsidRPr="006D0B2D" w14:paraId="2599CBF6" w14:textId="77777777">
        <w:trPr>
          <w:tblHeader/>
          <w:tblCellSpacing w:w="15" w:type="dxa"/>
        </w:trPr>
        <w:tc>
          <w:tcPr>
            <w:tcW w:w="0" w:type="auto"/>
            <w:vAlign w:val="center"/>
            <w:hideMark/>
          </w:tcPr>
          <w:p w14:paraId="23589BDF" w14:textId="77777777" w:rsidR="006D0B2D" w:rsidRPr="006D0B2D" w:rsidRDefault="006D0B2D" w:rsidP="006D0B2D">
            <w:pPr>
              <w:rPr>
                <w:b/>
                <w:bCs/>
              </w:rPr>
            </w:pPr>
            <w:r w:rsidRPr="006D0B2D">
              <w:rPr>
                <w:b/>
                <w:bCs/>
              </w:rPr>
              <w:lastRenderedPageBreak/>
              <w:t>Area</w:t>
            </w:r>
          </w:p>
        </w:tc>
        <w:tc>
          <w:tcPr>
            <w:tcW w:w="0" w:type="auto"/>
            <w:vAlign w:val="center"/>
            <w:hideMark/>
          </w:tcPr>
          <w:p w14:paraId="19607CA0" w14:textId="77777777" w:rsidR="006D0B2D" w:rsidRPr="006D0B2D" w:rsidRDefault="006D0B2D" w:rsidP="006D0B2D">
            <w:pPr>
              <w:rPr>
                <w:b/>
                <w:bCs/>
              </w:rPr>
            </w:pPr>
            <w:r w:rsidRPr="006D0B2D">
              <w:rPr>
                <w:b/>
                <w:bCs/>
              </w:rPr>
              <w:t>Example features</w:t>
            </w:r>
          </w:p>
        </w:tc>
      </w:tr>
      <w:tr w:rsidR="006D0B2D" w:rsidRPr="006D0B2D" w14:paraId="0524ED4A" w14:textId="77777777">
        <w:trPr>
          <w:tblCellSpacing w:w="15" w:type="dxa"/>
        </w:trPr>
        <w:tc>
          <w:tcPr>
            <w:tcW w:w="0" w:type="auto"/>
            <w:vAlign w:val="center"/>
            <w:hideMark/>
          </w:tcPr>
          <w:p w14:paraId="18325AEF" w14:textId="77777777" w:rsidR="006D0B2D" w:rsidRPr="006D0B2D" w:rsidRDefault="006D0B2D" w:rsidP="006D0B2D">
            <w:r w:rsidRPr="006D0B2D">
              <w:t>Spending</w:t>
            </w:r>
          </w:p>
        </w:tc>
        <w:tc>
          <w:tcPr>
            <w:tcW w:w="0" w:type="auto"/>
            <w:vAlign w:val="center"/>
            <w:hideMark/>
          </w:tcPr>
          <w:p w14:paraId="5ED75000" w14:textId="77777777" w:rsidR="006D0B2D" w:rsidRPr="006D0B2D" w:rsidRDefault="006D0B2D" w:rsidP="006D0B2D">
            <w:r w:rsidRPr="006D0B2D">
              <w:t>monthly income, fixed obligations, discretionary spend, cash-flow surplus/deficit</w:t>
            </w:r>
          </w:p>
        </w:tc>
      </w:tr>
      <w:tr w:rsidR="006D0B2D" w:rsidRPr="006D0B2D" w14:paraId="2E812E34" w14:textId="77777777">
        <w:trPr>
          <w:tblCellSpacing w:w="15" w:type="dxa"/>
        </w:trPr>
        <w:tc>
          <w:tcPr>
            <w:tcW w:w="0" w:type="auto"/>
            <w:vAlign w:val="center"/>
            <w:hideMark/>
          </w:tcPr>
          <w:p w14:paraId="74AFE8D3" w14:textId="77777777" w:rsidR="006D0B2D" w:rsidRPr="006D0B2D" w:rsidRDefault="006D0B2D" w:rsidP="006D0B2D">
            <w:r w:rsidRPr="006D0B2D">
              <w:t>Saving</w:t>
            </w:r>
          </w:p>
        </w:tc>
        <w:tc>
          <w:tcPr>
            <w:tcW w:w="0" w:type="auto"/>
            <w:vAlign w:val="center"/>
            <w:hideMark/>
          </w:tcPr>
          <w:p w14:paraId="1B83E8A8" w14:textId="77777777" w:rsidR="006D0B2D" w:rsidRPr="006D0B2D" w:rsidRDefault="006D0B2D" w:rsidP="006D0B2D">
            <w:r w:rsidRPr="006D0B2D">
              <w:t>emergency fund months, savings rate, balance volatility, goal progress</w:t>
            </w:r>
          </w:p>
        </w:tc>
      </w:tr>
      <w:tr w:rsidR="006D0B2D" w:rsidRPr="006D0B2D" w14:paraId="1C26658D" w14:textId="77777777">
        <w:trPr>
          <w:tblCellSpacing w:w="15" w:type="dxa"/>
        </w:trPr>
        <w:tc>
          <w:tcPr>
            <w:tcW w:w="0" w:type="auto"/>
            <w:vAlign w:val="center"/>
            <w:hideMark/>
          </w:tcPr>
          <w:p w14:paraId="2CD64B12" w14:textId="77777777" w:rsidR="006D0B2D" w:rsidRPr="006D0B2D" w:rsidRDefault="006D0B2D" w:rsidP="006D0B2D">
            <w:r w:rsidRPr="006D0B2D">
              <w:t>Debt</w:t>
            </w:r>
          </w:p>
        </w:tc>
        <w:tc>
          <w:tcPr>
            <w:tcW w:w="0" w:type="auto"/>
            <w:vAlign w:val="center"/>
            <w:hideMark/>
          </w:tcPr>
          <w:p w14:paraId="340AC4A3" w14:textId="77777777" w:rsidR="006D0B2D" w:rsidRPr="006D0B2D" w:rsidRDefault="006D0B2D" w:rsidP="006D0B2D">
            <w:r w:rsidRPr="006D0B2D">
              <w:t>revolving credit balance, utilization, debt-to-income, high-interest debt burden</w:t>
            </w:r>
          </w:p>
        </w:tc>
      </w:tr>
      <w:tr w:rsidR="006D0B2D" w:rsidRPr="006D0B2D" w14:paraId="550CA8AE" w14:textId="77777777">
        <w:trPr>
          <w:tblCellSpacing w:w="15" w:type="dxa"/>
        </w:trPr>
        <w:tc>
          <w:tcPr>
            <w:tcW w:w="0" w:type="auto"/>
            <w:vAlign w:val="center"/>
            <w:hideMark/>
          </w:tcPr>
          <w:p w14:paraId="08129EE1" w14:textId="77777777" w:rsidR="006D0B2D" w:rsidRPr="006D0B2D" w:rsidRDefault="006D0B2D" w:rsidP="006D0B2D">
            <w:r w:rsidRPr="006D0B2D">
              <w:t>Protection</w:t>
            </w:r>
          </w:p>
        </w:tc>
        <w:tc>
          <w:tcPr>
            <w:tcW w:w="0" w:type="auto"/>
            <w:vAlign w:val="center"/>
            <w:hideMark/>
          </w:tcPr>
          <w:p w14:paraId="4D65CA3F" w14:textId="77777777" w:rsidR="006D0B2D" w:rsidRPr="006D0B2D" w:rsidRDefault="006D0B2D" w:rsidP="006D0B2D">
            <w:r w:rsidRPr="006D0B2D">
              <w:t>life insurance gap, property/auto coverage gaps, dependents, estate planning status</w:t>
            </w:r>
          </w:p>
        </w:tc>
      </w:tr>
      <w:tr w:rsidR="006D0B2D" w:rsidRPr="006D0B2D" w14:paraId="49930049" w14:textId="77777777">
        <w:trPr>
          <w:tblCellSpacing w:w="15" w:type="dxa"/>
        </w:trPr>
        <w:tc>
          <w:tcPr>
            <w:tcW w:w="0" w:type="auto"/>
            <w:vAlign w:val="center"/>
            <w:hideMark/>
          </w:tcPr>
          <w:p w14:paraId="61AFF439" w14:textId="77777777" w:rsidR="006D0B2D" w:rsidRPr="006D0B2D" w:rsidRDefault="006D0B2D" w:rsidP="006D0B2D">
            <w:r w:rsidRPr="006D0B2D">
              <w:t>Retirement/planning</w:t>
            </w:r>
          </w:p>
        </w:tc>
        <w:tc>
          <w:tcPr>
            <w:tcW w:w="0" w:type="auto"/>
            <w:vAlign w:val="center"/>
            <w:hideMark/>
          </w:tcPr>
          <w:p w14:paraId="363926D1" w14:textId="77777777" w:rsidR="006D0B2D" w:rsidRPr="006D0B2D" w:rsidRDefault="006D0B2D" w:rsidP="006D0B2D">
            <w:r w:rsidRPr="006D0B2D">
              <w:t>retirement savings rate, projected retirement income, age/time horizon, goal feasibility</w:t>
            </w:r>
          </w:p>
        </w:tc>
      </w:tr>
      <w:tr w:rsidR="006D0B2D" w:rsidRPr="006D0B2D" w14:paraId="44A87E12" w14:textId="77777777">
        <w:trPr>
          <w:tblCellSpacing w:w="15" w:type="dxa"/>
        </w:trPr>
        <w:tc>
          <w:tcPr>
            <w:tcW w:w="0" w:type="auto"/>
            <w:vAlign w:val="center"/>
            <w:hideMark/>
          </w:tcPr>
          <w:p w14:paraId="277EBAA0" w14:textId="77777777" w:rsidR="006D0B2D" w:rsidRPr="006D0B2D" w:rsidRDefault="006D0B2D" w:rsidP="006D0B2D">
            <w:r w:rsidRPr="006D0B2D">
              <w:t>Life events</w:t>
            </w:r>
          </w:p>
        </w:tc>
        <w:tc>
          <w:tcPr>
            <w:tcW w:w="0" w:type="auto"/>
            <w:vAlign w:val="center"/>
            <w:hideMark/>
          </w:tcPr>
          <w:p w14:paraId="43CA5841" w14:textId="77777777" w:rsidR="006D0B2D" w:rsidRPr="006D0B2D" w:rsidRDefault="006D0B2D" w:rsidP="006D0B2D">
            <w:r w:rsidRPr="006D0B2D">
              <w:t>PCS/move readiness, new-child planning, transition-out-of-service checklist gaps</w:t>
            </w:r>
          </w:p>
        </w:tc>
      </w:tr>
    </w:tbl>
    <w:p w14:paraId="0EF944D2" w14:textId="77777777" w:rsidR="006D0B2D" w:rsidRPr="006D0B2D" w:rsidRDefault="006D0B2D" w:rsidP="006D0B2D">
      <w:pPr>
        <w:rPr>
          <w:b/>
          <w:bCs/>
        </w:rPr>
      </w:pPr>
      <w:r w:rsidRPr="006D0B2D">
        <w:rPr>
          <w:b/>
          <w:bCs/>
        </w:rPr>
        <w:t>Scoring logic</w:t>
      </w:r>
    </w:p>
    <w:p w14:paraId="0BD1DC52" w14:textId="77777777" w:rsidR="006D0B2D" w:rsidRPr="006D0B2D" w:rsidRDefault="006D0B2D" w:rsidP="006D0B2D">
      <w:r w:rsidRPr="006D0B2D">
        <w:t xml:space="preserve">The core score is probably not a pure black-box ML model. For a regulated financial institution, and especially for an advice-adjacent product, the core calculation is more likely to be </w:t>
      </w:r>
      <w:r w:rsidRPr="006D0B2D">
        <w:rPr>
          <w:b/>
          <w:bCs/>
        </w:rPr>
        <w:t>explainable and rules-based</w:t>
      </w:r>
      <w:r w:rsidRPr="006D0B2D">
        <w:t>, with weighted sub-scores and thresholds. Think of it as:</w:t>
      </w:r>
    </w:p>
    <w:p w14:paraId="0CFDF9D4" w14:textId="77777777" w:rsidR="006D0B2D" w:rsidRPr="006D0B2D" w:rsidRDefault="006D0B2D" w:rsidP="006D0B2D">
      <w:r w:rsidRPr="006D0B2D">
        <w:t>FRS = weighted combination of readiness dimensions + penalties for major gaps + adjustments for life stage</w:t>
      </w:r>
    </w:p>
    <w:p w14:paraId="0665EACC" w14:textId="77777777" w:rsidR="006D0B2D" w:rsidRPr="006D0B2D" w:rsidRDefault="006D0B2D" w:rsidP="006D0B2D">
      <w:r w:rsidRPr="006D0B2D">
        <w:t>For example, a young single service member and a 45-year-old with children should not be graded identically. The model needs to normalize expectations by life stage, income, household, military situation, and goals.</w:t>
      </w:r>
    </w:p>
    <w:p w14:paraId="0EED511B" w14:textId="77777777" w:rsidR="006D0B2D" w:rsidRPr="006D0B2D" w:rsidRDefault="006D0B2D" w:rsidP="006D0B2D">
      <w:r w:rsidRPr="006D0B2D">
        <w:t>A simplified version might look like:</w:t>
      </w:r>
    </w:p>
    <w:p w14:paraId="414D26BD" w14:textId="77777777" w:rsidR="006D0B2D" w:rsidRPr="006D0B2D" w:rsidRDefault="006D0B2D" w:rsidP="006D0B2D">
      <w:pPr>
        <w:numPr>
          <w:ilvl w:val="0"/>
          <w:numId w:val="2"/>
        </w:numPr>
      </w:pPr>
      <w:r w:rsidRPr="006D0B2D">
        <w:t>Spending score: Do you spend less than you earn?</w:t>
      </w:r>
    </w:p>
    <w:p w14:paraId="47D407C3" w14:textId="77777777" w:rsidR="006D0B2D" w:rsidRPr="006D0B2D" w:rsidRDefault="006D0B2D" w:rsidP="006D0B2D">
      <w:pPr>
        <w:numPr>
          <w:ilvl w:val="0"/>
          <w:numId w:val="2"/>
        </w:numPr>
      </w:pPr>
      <w:r w:rsidRPr="006D0B2D">
        <w:t>Saving score: Do you have enough emergency liquidity?</w:t>
      </w:r>
    </w:p>
    <w:p w14:paraId="2C3A9B48" w14:textId="77777777" w:rsidR="006D0B2D" w:rsidRPr="006D0B2D" w:rsidRDefault="006D0B2D" w:rsidP="006D0B2D">
      <w:pPr>
        <w:numPr>
          <w:ilvl w:val="0"/>
          <w:numId w:val="2"/>
        </w:numPr>
      </w:pPr>
      <w:r w:rsidRPr="006D0B2D">
        <w:t>Debt score: Are debt obligations manageable?</w:t>
      </w:r>
    </w:p>
    <w:p w14:paraId="5F63F205" w14:textId="77777777" w:rsidR="006D0B2D" w:rsidRPr="006D0B2D" w:rsidRDefault="006D0B2D" w:rsidP="006D0B2D">
      <w:pPr>
        <w:numPr>
          <w:ilvl w:val="0"/>
          <w:numId w:val="2"/>
        </w:numPr>
      </w:pPr>
      <w:r w:rsidRPr="006D0B2D">
        <w:t>Protection score: Are dependents/assets protected?</w:t>
      </w:r>
    </w:p>
    <w:p w14:paraId="184893FE" w14:textId="77777777" w:rsidR="006D0B2D" w:rsidRPr="006D0B2D" w:rsidRDefault="006D0B2D" w:rsidP="006D0B2D">
      <w:pPr>
        <w:numPr>
          <w:ilvl w:val="0"/>
          <w:numId w:val="2"/>
        </w:numPr>
      </w:pPr>
      <w:r w:rsidRPr="006D0B2D">
        <w:t>Planning score: Are retirement and major goals on track?</w:t>
      </w:r>
    </w:p>
    <w:p w14:paraId="33623983" w14:textId="77777777" w:rsidR="006D0B2D" w:rsidRPr="006D0B2D" w:rsidRDefault="006D0B2D" w:rsidP="006D0B2D">
      <w:pPr>
        <w:numPr>
          <w:ilvl w:val="0"/>
          <w:numId w:val="2"/>
        </w:numPr>
      </w:pPr>
      <w:r w:rsidRPr="006D0B2D">
        <w:t>Life-event score: Are you prepared for known upcoming transitions?</w:t>
      </w:r>
    </w:p>
    <w:p w14:paraId="5A451FF2" w14:textId="77777777" w:rsidR="006D0B2D" w:rsidRPr="006D0B2D" w:rsidRDefault="006D0B2D" w:rsidP="006D0B2D">
      <w:r w:rsidRPr="006D0B2D">
        <w:t xml:space="preserve">The score then rolls up to 1–100, with </w:t>
      </w:r>
      <w:r w:rsidRPr="006D0B2D">
        <w:rPr>
          <w:b/>
          <w:bCs/>
        </w:rPr>
        <w:t>reason codes</w:t>
      </w:r>
      <w:r w:rsidRPr="006D0B2D">
        <w:t xml:space="preserve"> explaining what drove the score down and what actions would improve it.</w:t>
      </w:r>
    </w:p>
    <w:p w14:paraId="28E75A16" w14:textId="77777777" w:rsidR="006D0B2D" w:rsidRPr="006D0B2D" w:rsidRDefault="006D0B2D" w:rsidP="006D0B2D">
      <w:pPr>
        <w:rPr>
          <w:b/>
          <w:bCs/>
        </w:rPr>
      </w:pPr>
      <w:r w:rsidRPr="006D0B2D">
        <w:rPr>
          <w:b/>
          <w:bCs/>
        </w:rPr>
        <w:t>ML likely sits around the edges</w:t>
      </w:r>
    </w:p>
    <w:p w14:paraId="4E77C94B" w14:textId="77777777" w:rsidR="006D0B2D" w:rsidRPr="006D0B2D" w:rsidRDefault="006D0B2D" w:rsidP="006D0B2D">
      <w:r w:rsidRPr="006D0B2D">
        <w:t>The ML-heavy parts are probably not “calculate the score with a mysterious model.” They are more likely:</w:t>
      </w:r>
    </w:p>
    <w:p w14:paraId="64723123" w14:textId="77777777" w:rsidR="006D0B2D" w:rsidRPr="006D0B2D" w:rsidRDefault="006D0B2D" w:rsidP="006D0B2D">
      <w:pPr>
        <w:numPr>
          <w:ilvl w:val="0"/>
          <w:numId w:val="3"/>
        </w:numPr>
      </w:pPr>
      <w:r w:rsidRPr="006D0B2D">
        <w:rPr>
          <w:b/>
          <w:bCs/>
        </w:rPr>
        <w:t>Transaction categorization:</w:t>
      </w:r>
      <w:r w:rsidRPr="006D0B2D">
        <w:t xml:space="preserve"> classifying spend into rent, groceries, insurance, debt payments, subscriptions, travel, etc.</w:t>
      </w:r>
    </w:p>
    <w:p w14:paraId="0BD40554" w14:textId="77777777" w:rsidR="006D0B2D" w:rsidRPr="006D0B2D" w:rsidRDefault="006D0B2D" w:rsidP="006D0B2D">
      <w:pPr>
        <w:numPr>
          <w:ilvl w:val="0"/>
          <w:numId w:val="3"/>
        </w:numPr>
      </w:pPr>
      <w:r w:rsidRPr="006D0B2D">
        <w:rPr>
          <w:b/>
          <w:bCs/>
        </w:rPr>
        <w:t>Income detection:</w:t>
      </w:r>
      <w:r w:rsidRPr="006D0B2D">
        <w:t xml:space="preserve"> identifying payroll deposits, irregular income, military pay, allowances, bonuses, and volatility.</w:t>
      </w:r>
    </w:p>
    <w:p w14:paraId="5FDD136C" w14:textId="77777777" w:rsidR="006D0B2D" w:rsidRPr="006D0B2D" w:rsidRDefault="006D0B2D" w:rsidP="006D0B2D">
      <w:pPr>
        <w:numPr>
          <w:ilvl w:val="0"/>
          <w:numId w:val="3"/>
        </w:numPr>
      </w:pPr>
      <w:r w:rsidRPr="006D0B2D">
        <w:rPr>
          <w:b/>
          <w:bCs/>
        </w:rPr>
        <w:t>Cash-flow forecasting:</w:t>
      </w:r>
      <w:r w:rsidRPr="006D0B2D">
        <w:t xml:space="preserve"> predicting near-term surplus/shortfall.</w:t>
      </w:r>
    </w:p>
    <w:p w14:paraId="3F3F0102" w14:textId="77777777" w:rsidR="006D0B2D" w:rsidRPr="006D0B2D" w:rsidRDefault="006D0B2D" w:rsidP="006D0B2D">
      <w:pPr>
        <w:numPr>
          <w:ilvl w:val="0"/>
          <w:numId w:val="3"/>
        </w:numPr>
      </w:pPr>
      <w:r w:rsidRPr="006D0B2D">
        <w:rPr>
          <w:b/>
          <w:bCs/>
        </w:rPr>
        <w:t>Life-event detection:</w:t>
      </w:r>
      <w:r w:rsidRPr="006D0B2D">
        <w:t xml:space="preserve"> identifying signals that a member may be moving, having a child, separating from service, buying a home, or preparing for retirement.</w:t>
      </w:r>
    </w:p>
    <w:p w14:paraId="6F167D58" w14:textId="77777777" w:rsidR="006D0B2D" w:rsidRPr="006D0B2D" w:rsidRDefault="006D0B2D" w:rsidP="006D0B2D">
      <w:pPr>
        <w:numPr>
          <w:ilvl w:val="0"/>
          <w:numId w:val="3"/>
        </w:numPr>
      </w:pPr>
      <w:r w:rsidRPr="006D0B2D">
        <w:rPr>
          <w:b/>
          <w:bCs/>
        </w:rPr>
        <w:t>Next-best-action ranking:</w:t>
      </w:r>
      <w:r w:rsidRPr="006D0B2D">
        <w:t xml:space="preserve"> deciding which action to show first based on urgency, likely impact, member propensity, and channel preference.</w:t>
      </w:r>
    </w:p>
    <w:p w14:paraId="4CD38E15" w14:textId="77777777" w:rsidR="006D0B2D" w:rsidRPr="006D0B2D" w:rsidRDefault="006D0B2D" w:rsidP="006D0B2D">
      <w:pPr>
        <w:numPr>
          <w:ilvl w:val="0"/>
          <w:numId w:val="3"/>
        </w:numPr>
      </w:pPr>
      <w:r w:rsidRPr="006D0B2D">
        <w:rPr>
          <w:b/>
          <w:bCs/>
        </w:rPr>
        <w:lastRenderedPageBreak/>
        <w:t>Personalized messaging:</w:t>
      </w:r>
      <w:r w:rsidRPr="006D0B2D">
        <w:t xml:space="preserve"> choosing wording, timing, and channel.</w:t>
      </w:r>
    </w:p>
    <w:p w14:paraId="6AFE91DE" w14:textId="77777777" w:rsidR="006D0B2D" w:rsidRPr="006D0B2D" w:rsidRDefault="006D0B2D" w:rsidP="006D0B2D">
      <w:pPr>
        <w:numPr>
          <w:ilvl w:val="0"/>
          <w:numId w:val="3"/>
        </w:numPr>
      </w:pPr>
      <w:r w:rsidRPr="006D0B2D">
        <w:rPr>
          <w:b/>
          <w:bCs/>
        </w:rPr>
        <w:t>Advisor assist:</w:t>
      </w:r>
      <w:r w:rsidRPr="006D0B2D">
        <w:t xml:space="preserve"> surfacing context to human advisors so they can continue the conversation.</w:t>
      </w:r>
    </w:p>
    <w:p w14:paraId="432EF479" w14:textId="77777777" w:rsidR="006D0B2D" w:rsidRPr="006D0B2D" w:rsidRDefault="006D0B2D" w:rsidP="006D0B2D">
      <w:pPr>
        <w:rPr>
          <w:b/>
          <w:bCs/>
        </w:rPr>
      </w:pPr>
      <w:r w:rsidRPr="006D0B2D">
        <w:rPr>
          <w:b/>
          <w:bCs/>
        </w:rPr>
        <w:t>Architecture view</w:t>
      </w:r>
    </w:p>
    <w:p w14:paraId="7B65A57D" w14:textId="77777777" w:rsidR="006D0B2D" w:rsidRPr="006D0B2D" w:rsidRDefault="006D0B2D" w:rsidP="006D0B2D">
      <w:r w:rsidRPr="006D0B2D">
        <w:t>A plausible architecture would look like this:</w:t>
      </w:r>
    </w:p>
    <w:p w14:paraId="058A9CF5" w14:textId="77777777" w:rsidR="006D0B2D" w:rsidRPr="006D0B2D" w:rsidRDefault="006D0B2D" w:rsidP="006D0B2D">
      <w:pPr>
        <w:numPr>
          <w:ilvl w:val="0"/>
          <w:numId w:val="4"/>
        </w:numPr>
      </w:pPr>
      <w:r w:rsidRPr="006D0B2D">
        <w:rPr>
          <w:b/>
          <w:bCs/>
        </w:rPr>
        <w:t>Data ingestion:</w:t>
      </w:r>
      <w:r w:rsidRPr="006D0B2D">
        <w:t xml:space="preserve"> USAA account systems, insurance systems, profile systems, external account aggregator, survey responses.</w:t>
      </w:r>
    </w:p>
    <w:p w14:paraId="31B40FE3" w14:textId="77777777" w:rsidR="006D0B2D" w:rsidRPr="006D0B2D" w:rsidRDefault="006D0B2D" w:rsidP="006D0B2D">
      <w:pPr>
        <w:numPr>
          <w:ilvl w:val="0"/>
          <w:numId w:val="4"/>
        </w:numPr>
      </w:pPr>
      <w:r w:rsidRPr="006D0B2D">
        <w:rPr>
          <w:b/>
          <w:bCs/>
        </w:rPr>
        <w:t>Data normalization:</w:t>
      </w:r>
      <w:r w:rsidRPr="006D0B2D">
        <w:t xml:space="preserve"> identity resolution, account mapping, transaction cleaning, merchant categorization.</w:t>
      </w:r>
    </w:p>
    <w:p w14:paraId="63D249BC" w14:textId="77777777" w:rsidR="006D0B2D" w:rsidRPr="006D0B2D" w:rsidRDefault="006D0B2D" w:rsidP="006D0B2D">
      <w:pPr>
        <w:numPr>
          <w:ilvl w:val="0"/>
          <w:numId w:val="4"/>
        </w:numPr>
      </w:pPr>
      <w:r w:rsidRPr="006D0B2D">
        <w:rPr>
          <w:b/>
          <w:bCs/>
        </w:rPr>
        <w:t>Feature store:</w:t>
      </w:r>
      <w:r w:rsidRPr="006D0B2D">
        <w:t xml:space="preserve"> member-level financial health features updated daily or near-real-time.</w:t>
      </w:r>
    </w:p>
    <w:p w14:paraId="15639C13" w14:textId="77777777" w:rsidR="006D0B2D" w:rsidRPr="006D0B2D" w:rsidRDefault="006D0B2D" w:rsidP="006D0B2D">
      <w:pPr>
        <w:numPr>
          <w:ilvl w:val="0"/>
          <w:numId w:val="4"/>
        </w:numPr>
      </w:pPr>
      <w:r w:rsidRPr="006D0B2D">
        <w:rPr>
          <w:b/>
          <w:bCs/>
        </w:rPr>
        <w:t>Scoring service:</w:t>
      </w:r>
      <w:r w:rsidRPr="006D0B2D">
        <w:t xml:space="preserve"> computes sub-scores, total score, reason codes, and “what changed.”</w:t>
      </w:r>
    </w:p>
    <w:p w14:paraId="29673229" w14:textId="77777777" w:rsidR="006D0B2D" w:rsidRPr="006D0B2D" w:rsidRDefault="006D0B2D" w:rsidP="006D0B2D">
      <w:pPr>
        <w:numPr>
          <w:ilvl w:val="0"/>
          <w:numId w:val="4"/>
        </w:numPr>
      </w:pPr>
      <w:r w:rsidRPr="006D0B2D">
        <w:rPr>
          <w:b/>
          <w:bCs/>
        </w:rPr>
        <w:t>Recommendation engine:</w:t>
      </w:r>
      <w:r w:rsidRPr="006D0B2D">
        <w:t xml:space="preserve"> maps score gaps to actions, content, calculators, products, and advisor pathways.</w:t>
      </w:r>
    </w:p>
    <w:p w14:paraId="76FC1DA4" w14:textId="77777777" w:rsidR="006D0B2D" w:rsidRPr="006D0B2D" w:rsidRDefault="006D0B2D" w:rsidP="006D0B2D">
      <w:pPr>
        <w:numPr>
          <w:ilvl w:val="0"/>
          <w:numId w:val="4"/>
        </w:numPr>
      </w:pPr>
      <w:r w:rsidRPr="006D0B2D">
        <w:rPr>
          <w:b/>
          <w:bCs/>
        </w:rPr>
        <w:t>Experience layer:</w:t>
      </w:r>
      <w:r w:rsidRPr="006D0B2D">
        <w:t xml:space="preserve"> web/mobile dashboard, alerts, action checklist, educational content.</w:t>
      </w:r>
    </w:p>
    <w:p w14:paraId="410A191C" w14:textId="77777777" w:rsidR="006D0B2D" w:rsidRPr="006D0B2D" w:rsidRDefault="006D0B2D" w:rsidP="006D0B2D">
      <w:pPr>
        <w:numPr>
          <w:ilvl w:val="0"/>
          <w:numId w:val="4"/>
        </w:numPr>
      </w:pPr>
      <w:r w:rsidRPr="006D0B2D">
        <w:rPr>
          <w:b/>
          <w:bCs/>
        </w:rPr>
        <w:t>Advisor layer:</w:t>
      </w:r>
      <w:r w:rsidRPr="006D0B2D">
        <w:t xml:space="preserve"> CRM/advisor interface showing score context and member actions.</w:t>
      </w:r>
    </w:p>
    <w:p w14:paraId="3B721CD1" w14:textId="77777777" w:rsidR="006D0B2D" w:rsidRPr="006D0B2D" w:rsidRDefault="006D0B2D" w:rsidP="006D0B2D">
      <w:pPr>
        <w:numPr>
          <w:ilvl w:val="0"/>
          <w:numId w:val="4"/>
        </w:numPr>
      </w:pPr>
      <w:r w:rsidRPr="006D0B2D">
        <w:rPr>
          <w:b/>
          <w:bCs/>
        </w:rPr>
        <w:t>Measurement layer:</w:t>
      </w:r>
      <w:r w:rsidRPr="006D0B2D">
        <w:t xml:space="preserve"> engagement, action completion, product adoption, score improvement, retention, NPS, advisor conversion, and compliance monitoring.</w:t>
      </w:r>
    </w:p>
    <w:p w14:paraId="23C84902" w14:textId="77777777" w:rsidR="006D0B2D" w:rsidRPr="006D0B2D" w:rsidRDefault="006D0B2D" w:rsidP="006D0B2D">
      <w:pPr>
        <w:rPr>
          <w:b/>
          <w:bCs/>
        </w:rPr>
      </w:pPr>
      <w:r w:rsidRPr="006D0B2D">
        <w:rPr>
          <w:b/>
          <w:bCs/>
        </w:rPr>
        <w:t>The bigger idea</w:t>
      </w:r>
    </w:p>
    <w:p w14:paraId="55A5855A" w14:textId="77777777" w:rsidR="006D0B2D" w:rsidRPr="006D0B2D" w:rsidRDefault="006D0B2D" w:rsidP="006D0B2D">
      <w:r w:rsidRPr="006D0B2D">
        <w:t>The smartest way to think about FRS is this: it turns USAA from a company that waits for members to shop for products into a company that helps members manage financial readiness over time.</w:t>
      </w:r>
    </w:p>
    <w:p w14:paraId="49F9AD4E" w14:textId="77777777" w:rsidR="006D0B2D" w:rsidRPr="006D0B2D" w:rsidRDefault="006D0B2D" w:rsidP="006D0B2D">
      <w:r w:rsidRPr="006D0B2D">
        <w:t>For the member, it is a financial wellness dashboard.</w:t>
      </w:r>
      <w:r w:rsidRPr="006D0B2D">
        <w:br/>
        <w:t>For the business, it is an engagement and advice platform.</w:t>
      </w:r>
      <w:r w:rsidRPr="006D0B2D">
        <w:br/>
        <w:t>For the technology team, it is a data-enriched scoring and recommendation system with strong explainability, compliance, and personalization requirements.</w:t>
      </w:r>
    </w:p>
    <w:p w14:paraId="5C2EF9FB" w14:textId="77777777" w:rsidR="000544FE" w:rsidRDefault="000544FE"/>
    <w:sectPr w:rsidR="000544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70ED1"/>
    <w:multiLevelType w:val="multilevel"/>
    <w:tmpl w:val="1C6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7005E"/>
    <w:multiLevelType w:val="multilevel"/>
    <w:tmpl w:val="A84AD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4662D6"/>
    <w:multiLevelType w:val="multilevel"/>
    <w:tmpl w:val="11C8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65A41"/>
    <w:multiLevelType w:val="multilevel"/>
    <w:tmpl w:val="53F8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046804">
    <w:abstractNumId w:val="3"/>
  </w:num>
  <w:num w:numId="2" w16cid:durableId="845171011">
    <w:abstractNumId w:val="0"/>
  </w:num>
  <w:num w:numId="3" w16cid:durableId="247467260">
    <w:abstractNumId w:val="2"/>
  </w:num>
  <w:num w:numId="4" w16cid:durableId="131664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2D"/>
    <w:rsid w:val="000544FE"/>
    <w:rsid w:val="001B40AD"/>
    <w:rsid w:val="006D0B2D"/>
    <w:rsid w:val="00D50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0D7C"/>
  <w15:chartTrackingRefBased/>
  <w15:docId w15:val="{B4588968-8631-497F-84E7-D686D0EE3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0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0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B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B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B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B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0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B2D"/>
    <w:rPr>
      <w:rFonts w:eastAsiaTheme="majorEastAsia" w:cstheme="majorBidi"/>
      <w:color w:val="272727" w:themeColor="text1" w:themeTint="D8"/>
    </w:rPr>
  </w:style>
  <w:style w:type="paragraph" w:styleId="Title">
    <w:name w:val="Title"/>
    <w:basedOn w:val="Normal"/>
    <w:next w:val="Normal"/>
    <w:link w:val="TitleChar"/>
    <w:uiPriority w:val="10"/>
    <w:qFormat/>
    <w:rsid w:val="006D0B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B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B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B2D"/>
    <w:rPr>
      <w:i/>
      <w:iCs/>
      <w:color w:val="404040" w:themeColor="text1" w:themeTint="BF"/>
    </w:rPr>
  </w:style>
  <w:style w:type="paragraph" w:styleId="ListParagraph">
    <w:name w:val="List Paragraph"/>
    <w:basedOn w:val="Normal"/>
    <w:uiPriority w:val="34"/>
    <w:qFormat/>
    <w:rsid w:val="006D0B2D"/>
    <w:pPr>
      <w:ind w:left="720"/>
      <w:contextualSpacing/>
    </w:pPr>
  </w:style>
  <w:style w:type="character" w:styleId="IntenseEmphasis">
    <w:name w:val="Intense Emphasis"/>
    <w:basedOn w:val="DefaultParagraphFont"/>
    <w:uiPriority w:val="21"/>
    <w:qFormat/>
    <w:rsid w:val="006D0B2D"/>
    <w:rPr>
      <w:i/>
      <w:iCs/>
      <w:color w:val="2F5496" w:themeColor="accent1" w:themeShade="BF"/>
    </w:rPr>
  </w:style>
  <w:style w:type="paragraph" w:styleId="IntenseQuote">
    <w:name w:val="Intense Quote"/>
    <w:basedOn w:val="Normal"/>
    <w:next w:val="Normal"/>
    <w:link w:val="IntenseQuoteChar"/>
    <w:uiPriority w:val="30"/>
    <w:qFormat/>
    <w:rsid w:val="006D0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B2D"/>
    <w:rPr>
      <w:i/>
      <w:iCs/>
      <w:color w:val="2F5496" w:themeColor="accent1" w:themeShade="BF"/>
    </w:rPr>
  </w:style>
  <w:style w:type="character" w:styleId="IntenseReference">
    <w:name w:val="Intense Reference"/>
    <w:basedOn w:val="DefaultParagraphFont"/>
    <w:uiPriority w:val="32"/>
    <w:qFormat/>
    <w:rsid w:val="006D0B2D"/>
    <w:rPr>
      <w:b/>
      <w:bCs/>
      <w:smallCaps/>
      <w:color w:val="2F5496" w:themeColor="accent1" w:themeShade="BF"/>
      <w:spacing w:val="5"/>
    </w:rPr>
  </w:style>
  <w:style w:type="character" w:styleId="Hyperlink">
    <w:name w:val="Hyperlink"/>
    <w:basedOn w:val="DefaultParagraphFont"/>
    <w:uiPriority w:val="99"/>
    <w:unhideWhenUsed/>
    <w:rsid w:val="006D0B2D"/>
    <w:rPr>
      <w:color w:val="0563C1" w:themeColor="hyperlink"/>
      <w:u w:val="single"/>
    </w:rPr>
  </w:style>
  <w:style w:type="character" w:styleId="UnresolvedMention">
    <w:name w:val="Unresolved Mention"/>
    <w:basedOn w:val="DefaultParagraphFont"/>
    <w:uiPriority w:val="99"/>
    <w:semiHidden/>
    <w:unhideWhenUsed/>
    <w:rsid w:val="006D0B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on.org/information-center/news/magazine/2016/may/know-before-you-go" TargetMode="External"/><Relationship Id="rId13" Type="http://schemas.openxmlformats.org/officeDocument/2006/relationships/hyperlink" Target="https://static.usaa.com/content/dam/digital/documents/pdf/brand/mkt-report-to-members-2023.pdf" TargetMode="External"/><Relationship Id="rId3" Type="http://schemas.openxmlformats.org/officeDocument/2006/relationships/settings" Target="settings.xml"/><Relationship Id="rId7" Type="http://schemas.openxmlformats.org/officeDocument/2006/relationships/hyperlink" Target="https://www.americanbanker.com/news/usaa-enters-financial-health-fray-with-readiness-score" TargetMode="External"/><Relationship Id="rId12" Type="http://schemas.openxmlformats.org/officeDocument/2006/relationships/hyperlink" Target="https://static.usaa.com/content/dam/digital/documents/pdf/brand/mkt-report-to-members-2023.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ericanbanker.com/news/usaa-enters-financial-health-fray-with-readiness-score" TargetMode="External"/><Relationship Id="rId11" Type="http://schemas.openxmlformats.org/officeDocument/2006/relationships/hyperlink" Target="https://www.americanbanker.com/news/usaa-enters-financial-health-fray-with-readiness-score" TargetMode="External"/><Relationship Id="rId5" Type="http://schemas.openxmlformats.org/officeDocument/2006/relationships/hyperlink" Target="https://newsroom.usaa360.com/news/2024-usaa-mfwi" TargetMode="External"/><Relationship Id="rId15" Type="http://schemas.openxmlformats.org/officeDocument/2006/relationships/fontTable" Target="fontTable.xml"/><Relationship Id="rId10" Type="http://schemas.openxmlformats.org/officeDocument/2006/relationships/hyperlink" Target="https://static.usaa.com/content/dam/digital/documents/pdf/brand/mkt-report-to-members-2023.pdf" TargetMode="External"/><Relationship Id="rId4" Type="http://schemas.openxmlformats.org/officeDocument/2006/relationships/webSettings" Target="webSettings.xml"/><Relationship Id="rId9" Type="http://schemas.openxmlformats.org/officeDocument/2006/relationships/hyperlink" Target="https://www.americanbanker.com/news/usaa-enters-financial-health-fray-with-readiness-score" TargetMode="External"/><Relationship Id="rId14" Type="http://schemas.openxmlformats.org/officeDocument/2006/relationships/hyperlink" Target="https://www.americanbanker.com/news/usaa-enters-financial-health-fray-with-readiness-s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1791</Words>
  <Characters>10210</Characters>
  <Application>Microsoft Office Word</Application>
  <DocSecurity>0</DocSecurity>
  <Lines>85</Lines>
  <Paragraphs>23</Paragraphs>
  <ScaleCrop>false</ScaleCrop>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Akeroyd</dc:creator>
  <cp:keywords/>
  <dc:description/>
  <cp:lastModifiedBy>Mike Akeroyd</cp:lastModifiedBy>
  <cp:revision>1</cp:revision>
  <dcterms:created xsi:type="dcterms:W3CDTF">2026-07-07T22:56:00Z</dcterms:created>
  <dcterms:modified xsi:type="dcterms:W3CDTF">2026-07-07T22:56:00Z</dcterms:modified>
</cp:coreProperties>
</file>