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6DA9" w14:textId="77777777" w:rsidR="00F14EB6" w:rsidRDefault="00F14EB6" w:rsidP="00F14EB6">
      <w:r w:rsidRPr="00F14EB6">
        <w:t>MASA Global is a membership-based healthcare protection and advocacy business centered on one of the most emotionally acute and financially confusing parts of the healthcare journey: emergency medical transportation and the downstream complexity that follows a medical event. At its core, MASA helps protect members from large out-of-pocket costs associated with ground ambulance, air ambulance, medical evacuation, repatriation, and related emergency transport scenarios that may not be fully covered by primary insurance. The product is especially powerful because it sits at the intersection of healthcare, financial protection, family preparedness, and peace of mind.</w:t>
      </w:r>
    </w:p>
    <w:p w14:paraId="1C1FC4E8" w14:textId="77777777" w:rsidR="00F14EB6" w:rsidRPr="00F14EB6" w:rsidRDefault="00F14EB6" w:rsidP="00F14EB6"/>
    <w:p w14:paraId="5C6796E1" w14:textId="77777777" w:rsidR="00F14EB6" w:rsidRDefault="00F14EB6" w:rsidP="00F14EB6">
      <w:r w:rsidRPr="00F14EB6">
        <w:t>MASA’s business is organized across several major channels, each with distinct customer segments, pricing models, sales motions, and operational needs.</w:t>
      </w:r>
    </w:p>
    <w:p w14:paraId="16F735A5" w14:textId="77777777" w:rsidR="00F14EB6" w:rsidRPr="00F14EB6" w:rsidRDefault="00F14EB6" w:rsidP="00F14EB6"/>
    <w:p w14:paraId="0D140F35" w14:textId="77777777" w:rsidR="00F14EB6" w:rsidRDefault="00F14EB6" w:rsidP="00F14EB6">
      <w:r w:rsidRPr="00F14EB6">
        <w:t>The Consumer channel is primarily focused on older adults, often age 60 and above, who are more likely to be thinking about medical emergencies, retirement planning, fixed-income risk, travel, aging, spouse protection, and family burden. Consumer sales are heavily seminar-driven. Prospects are typically invited to educational restaurant seminars through targeted direct mail and other marketing efforts. The offer is presented in a high-trust, in-person environment where the customer can hear stories, understand the risks, ask questions, and make a purchase decision with a spouse or family member present. Consumer pricing includes monthly, annual, and lifetime membership options. The lifetime product is especially important because it creates a higher-ticket, long-duration relationship and fits the psychology of older consumers who want to “take care of this once” and not leave a future burden for their family.</w:t>
      </w:r>
    </w:p>
    <w:p w14:paraId="00A54B23" w14:textId="77777777" w:rsidR="00F14EB6" w:rsidRPr="00F14EB6" w:rsidRDefault="00F14EB6" w:rsidP="00F14EB6"/>
    <w:p w14:paraId="55981315" w14:textId="496F4D99" w:rsidR="00F14EB6" w:rsidRDefault="00F14EB6" w:rsidP="00F14EB6">
      <w:r w:rsidRPr="00F14EB6">
        <w:t>The Group channel is materially different. Instead of selling directly to older consumers through seminars, Group is sold through employers, brokers, benefit platforms, and voluntary benefit marketplaces. The end customer is generally younger and still working, with coverage often extended to dependents or household members depending on the plan design. Pricing is typically structured more like an employee benefit, often with recurring payroll deduction or benefit-platform enrollment rather than a large upfront sale. The buyer and influencer ecosystem is also different: brokers, HR leaders, benefits consultants, CFOs, and platform partners matter as much as the individual employee. The value proposition in Group is less about a one-time retirement or preparedness decision and more about offering employees an affordable, differentiated benefit that fills a gap in traditional health insurance.</w:t>
      </w:r>
      <w:r w:rsidR="00C8551E">
        <w:t xml:space="preserve"> A challenge that the Group channel has is benefit utilization. Due to the younger audience, there is extremely low utilization of benefits which is leading to hesitation amongst brokers to expand with us or renew with us. Identifying opportunities to show engagement – perhaps via digital or inapp activities – or utilization of lower cost benefits is crucial.</w:t>
      </w:r>
    </w:p>
    <w:p w14:paraId="7E147415" w14:textId="77777777" w:rsidR="00F14EB6" w:rsidRPr="00F14EB6" w:rsidRDefault="00F14EB6" w:rsidP="00F14EB6"/>
    <w:p w14:paraId="4620FAA0" w14:textId="77777777" w:rsidR="00F14EB6" w:rsidRPr="00F14EB6" w:rsidRDefault="00F14EB6" w:rsidP="00F14EB6">
      <w:r w:rsidRPr="00F14EB6">
        <w:t xml:space="preserve">MASA also has partner and affinity channels that sit between Consumer and Group. AMBA is a good example: it behaves in some ways like a partner or group relationship, but the customer demographics and buying motion can resemble Consumer because it reaches older adults through trusted affiliations and seminar-style engagement. Affinity partnerships, associations, senior groups, financial organizations, travel-related partners, and other trusted third parties can extend MASA’s reach by borrowing trust from institutions that already have a relationship </w:t>
      </w:r>
      <w:r w:rsidRPr="00F14EB6">
        <w:lastRenderedPageBreak/>
        <w:t>with the customer. These channels may become increasingly important as MASA expands from a single-core-product company into a broader protection, advocacy, and preparedness platform.</w:t>
      </w:r>
    </w:p>
    <w:p w14:paraId="78274E8A" w14:textId="77777777" w:rsidR="00F14EB6" w:rsidRDefault="00F14EB6" w:rsidP="00F14EB6"/>
    <w:p w14:paraId="7A3B9879" w14:textId="71B642A3" w:rsidR="00F14EB6" w:rsidRDefault="00F14EB6" w:rsidP="00F14EB6">
      <w:r w:rsidRPr="00F14EB6">
        <w:t>The seminar model is one of MASA’s most important business engines. It is not simply a sales event; it is a trust-conversion system. The process typically begins with prospect identification, geographic targeting, and direct mail. A prospect receives an invitation to attend a seminar at a local restaurant, often with a specific venue, date, and time. The prospect RSVPs through phone or web. MASA then manages confirmation, attendance forecasting, capacity, reminder outreach, cancellations, and no-shows. Because seminar economics depend heavily on attendance, show rate, close rate, venue cost, agent productivity, and the quality of the room, the operational model requires careful orchestration.</w:t>
      </w:r>
    </w:p>
    <w:p w14:paraId="6B641D4F" w14:textId="77777777" w:rsidR="00F14EB6" w:rsidRPr="00F14EB6" w:rsidRDefault="00F14EB6" w:rsidP="00F14EB6"/>
    <w:p w14:paraId="5B555DAE" w14:textId="77777777" w:rsidR="00F14EB6" w:rsidRDefault="00F14EB6" w:rsidP="00F14EB6">
      <w:r w:rsidRPr="00F14EB6">
        <w:t>Restaurant selection matters because the venue is part of the trust signal. A good venue can increase attendance, create comfort, support spouse participation, and reinforce the seriousness of the product. Higher-end “Michelin-style” seminars may be especially relevant for more affluent prospects and lifetime-product buyers. Seminar performance can vary based on market, venue, time of day, lead quality, presenter, confirmation process, weather, local competition, and household demographics. This creates a natural opportunity for data-driven optimization: predicting attendance, dynamically filling under-capacity events, managing waitlists, retargeting no-shows, optimizing venue mix, and measuring revenue per available seat.</w:t>
      </w:r>
    </w:p>
    <w:p w14:paraId="5CF10CE7" w14:textId="77777777" w:rsidR="00F14EB6" w:rsidRPr="00F14EB6" w:rsidRDefault="00F14EB6" w:rsidP="00F14EB6"/>
    <w:p w14:paraId="74F7C2A3" w14:textId="77777777" w:rsidR="00F14EB6" w:rsidRDefault="00F14EB6" w:rsidP="00F14EB6">
      <w:r w:rsidRPr="00F14EB6">
        <w:t>The seminar operation also creates a broader strategic asset. MASA has a rare ability to convene older consumers in person around healthcare, financial protection, and family preparedness topics. That creates potential beyond the current emergency transportation product. The same seminar engine could potentially introduce adjacent products such as travel medical insurance, trip protection, final expense, non-emergency medical transportation, long-term care-related offerings, caregiver support, medical bill advocacy, or digital health navigation services. The key is to avoid overloading the seminar with too many products while still using it as a high-trust platform for broader household protection.</w:t>
      </w:r>
    </w:p>
    <w:p w14:paraId="0A17BE52" w14:textId="77777777" w:rsidR="00F14EB6" w:rsidRPr="00F14EB6" w:rsidRDefault="00F14EB6" w:rsidP="00F14EB6"/>
    <w:p w14:paraId="5FF2CCAB" w14:textId="77777777" w:rsidR="00F14EB6" w:rsidRPr="00F14EB6" w:rsidRDefault="00F14EB6" w:rsidP="00F14EB6">
      <w:r w:rsidRPr="00F14EB6">
        <w:t>MASA’s core product has strong emotional resonance because the customer does not need to deeply understand healthcare reimbursement to understand the fear: an ambulance ride, air transport, medical emergency away from home, or a hospital discharge problem can create confusion, large bills, and stress for the whole family. The product sells best when it translates that complex system risk into a simple promise: when something scary happens, MASA helps protect you and your family from being left alone with the bill, the logistics, and the uncertainty.</w:t>
      </w:r>
    </w:p>
    <w:p w14:paraId="2F9086FD" w14:textId="77777777" w:rsidR="00F14EB6" w:rsidRDefault="00F14EB6" w:rsidP="00F14EB6"/>
    <w:p w14:paraId="0C059661" w14:textId="3391339E" w:rsidR="00C8551E" w:rsidRDefault="00F14EB6" w:rsidP="00F14EB6">
      <w:r w:rsidRPr="00F14EB6">
        <w:t xml:space="preserve">At the same time, MASA’s product complexity is meaningful. There are many benefits, state-specific rules, coverage differences, payment logic variations, and channel-specific plan structures. This complexity creates risk for customer understanding, sales consistency, service quality, compliance, and internal operations. A major product opportunity is to simplify the way MASA explains its value: grouping benefits into intuitive customer “jobs” such as emergency transport protection, getting home safely, supporting family members, navigating recovery, </w:t>
      </w:r>
      <w:r w:rsidRPr="00F14EB6">
        <w:lastRenderedPageBreak/>
        <w:t>protecting against financial shock, and planning for future medical events. Internally, MASA may still need detailed benefit logic, but externally the product should feel simple, confidence-building, and easy to explain.</w:t>
      </w:r>
    </w:p>
    <w:p w14:paraId="780D5C0C" w14:textId="77777777" w:rsidR="00C8551E" w:rsidRPr="00F14EB6" w:rsidRDefault="00C8551E" w:rsidP="00F14EB6"/>
    <w:p w14:paraId="7F095415" w14:textId="78C981B9" w:rsidR="00F14EB6" w:rsidRDefault="00F14EB6" w:rsidP="00F14EB6">
      <w:r w:rsidRPr="00F14EB6">
        <w:t>The digital opportunity for MASA is significant because the core product is low-frequency but high-severity. Members may not need MASA often, but when they do, the moment is critical. The challenge is keeping MASA visible and valuable between emergencies. A better digital experience could shift MASA from a passive “just in case” membership into an active health, preparedness, and advocacy companion. This could include member ID and benefit access, claims status, emergency planning, travel preparedness, post-ER checklists, medical bill explanation, family coordination, document storage, care navigation, and annual benefit activation. The app and digital experience should make members feel that MASA is useful even when no ambulance event has occurred.</w:t>
      </w:r>
      <w:r w:rsidR="00C8551E">
        <w:t xml:space="preserve"> </w:t>
      </w:r>
      <w:r w:rsidRPr="00F14EB6">
        <w:t xml:space="preserve">AI and advocacy fit naturally into MASA’s next phase. </w:t>
      </w:r>
    </w:p>
    <w:p w14:paraId="2A8B14D4" w14:textId="77777777" w:rsidR="00F14EB6" w:rsidRDefault="00F14EB6" w:rsidP="00F14EB6"/>
    <w:p w14:paraId="15E37D24" w14:textId="501A2272" w:rsidR="00686DBD" w:rsidRDefault="00C8551E" w:rsidP="00F14EB6">
      <w:r>
        <w:t xml:space="preserve">A customer experience improvement opportunity </w:t>
      </w:r>
      <w:r w:rsidR="00686DBD">
        <w:t>is associated with claims. A selling point in seminars is that we offer a ‘form free’ submission to start a claim. Customers will simply email us a picture of a receipt or submit it via an online form. This will end up in an outlook inbox and a claims agent will have to sift through it to assess what the receipt is. If there is little to no context provided – or if the customer used a different email than what we have on file – an agent will have to reach out for more information. This can result in multiple back-and-forths leading to extremely long turn-around times associated with claims. While the intent is positive to offer a basic claim experience, it leads to customer dissatisfaction.</w:t>
      </w:r>
    </w:p>
    <w:p w14:paraId="07E88237" w14:textId="77777777" w:rsidR="00686DBD" w:rsidRPr="00F14EB6" w:rsidRDefault="00686DBD" w:rsidP="00F14EB6"/>
    <w:p w14:paraId="214CB43C" w14:textId="77777777" w:rsidR="00F14EB6" w:rsidRDefault="00F14EB6" w:rsidP="00F14EB6">
      <w:r w:rsidRPr="00F14EB6">
        <w:t>The strategic opportunity is to connect MASA’s strongest historical asset — high-trust distribution — with a more modern product, data, and digital operating model. Seminars remain a powerful engine, especially for Consumer and senior segments. Group and affinity partnerships can expand reach into younger and partner-mediated populations. Digital and AI can improve engagement, reduce friction, and create value between major medical events. Data and ML can improve prospect targeting, seminar yield, churn prediction, cross-sell, claims triage, service prioritization, and product personalization.</w:t>
      </w:r>
    </w:p>
    <w:p w14:paraId="1B017AE8" w14:textId="77777777" w:rsidR="00F14EB6" w:rsidRPr="00F14EB6" w:rsidRDefault="00F14EB6" w:rsidP="00F14EB6"/>
    <w:p w14:paraId="16AB1D4B" w14:textId="77777777" w:rsidR="00F14EB6" w:rsidRPr="00F14EB6" w:rsidRDefault="00F14EB6" w:rsidP="00F14EB6">
      <w:r w:rsidRPr="00F14EB6">
        <w:t>In simple terms, MASA today is best understood as an emergency medical transportation protection company with a powerful seminar distribution engine. MASA’s future opportunity is to become a broader family health advocate and preparedness platform: an always-available front door that helps members plan before an emergency, respond during one, recover afterward, and avoid being overwhelmed by medical bills, logistics, and uncertainty.</w:t>
      </w:r>
    </w:p>
    <w:p w14:paraId="5741BFE2" w14:textId="77777777" w:rsidR="000544FE" w:rsidRDefault="000544FE"/>
    <w:sectPr w:rsidR="00054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EB6"/>
    <w:rsid w:val="000544FE"/>
    <w:rsid w:val="00587F65"/>
    <w:rsid w:val="00686DBD"/>
    <w:rsid w:val="00C8551E"/>
    <w:rsid w:val="00D5063F"/>
    <w:rsid w:val="00F14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8F40"/>
  <w15:chartTrackingRefBased/>
  <w15:docId w15:val="{D74687FC-A1A8-4295-A79B-57AEE4D9E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4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4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E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E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E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E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4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4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EB6"/>
    <w:rPr>
      <w:rFonts w:eastAsiaTheme="majorEastAsia" w:cstheme="majorBidi"/>
      <w:color w:val="272727" w:themeColor="text1" w:themeTint="D8"/>
    </w:rPr>
  </w:style>
  <w:style w:type="paragraph" w:styleId="Title">
    <w:name w:val="Title"/>
    <w:basedOn w:val="Normal"/>
    <w:next w:val="Normal"/>
    <w:link w:val="TitleChar"/>
    <w:uiPriority w:val="10"/>
    <w:qFormat/>
    <w:rsid w:val="00F14E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E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E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4EB6"/>
    <w:rPr>
      <w:i/>
      <w:iCs/>
      <w:color w:val="404040" w:themeColor="text1" w:themeTint="BF"/>
    </w:rPr>
  </w:style>
  <w:style w:type="paragraph" w:styleId="ListParagraph">
    <w:name w:val="List Paragraph"/>
    <w:basedOn w:val="Normal"/>
    <w:uiPriority w:val="34"/>
    <w:qFormat/>
    <w:rsid w:val="00F14EB6"/>
    <w:pPr>
      <w:ind w:left="720"/>
      <w:contextualSpacing/>
    </w:pPr>
  </w:style>
  <w:style w:type="character" w:styleId="IntenseEmphasis">
    <w:name w:val="Intense Emphasis"/>
    <w:basedOn w:val="DefaultParagraphFont"/>
    <w:uiPriority w:val="21"/>
    <w:qFormat/>
    <w:rsid w:val="00F14EB6"/>
    <w:rPr>
      <w:i/>
      <w:iCs/>
      <w:color w:val="2F5496" w:themeColor="accent1" w:themeShade="BF"/>
    </w:rPr>
  </w:style>
  <w:style w:type="paragraph" w:styleId="IntenseQuote">
    <w:name w:val="Intense Quote"/>
    <w:basedOn w:val="Normal"/>
    <w:next w:val="Normal"/>
    <w:link w:val="IntenseQuoteChar"/>
    <w:uiPriority w:val="30"/>
    <w:qFormat/>
    <w:rsid w:val="00F14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EB6"/>
    <w:rPr>
      <w:i/>
      <w:iCs/>
      <w:color w:val="2F5496" w:themeColor="accent1" w:themeShade="BF"/>
    </w:rPr>
  </w:style>
  <w:style w:type="character" w:styleId="IntenseReference">
    <w:name w:val="Intense Reference"/>
    <w:basedOn w:val="DefaultParagraphFont"/>
    <w:uiPriority w:val="32"/>
    <w:qFormat/>
    <w:rsid w:val="00F14E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Akeroyd</dc:creator>
  <cp:keywords/>
  <dc:description/>
  <cp:lastModifiedBy>Mike Akeroyd</cp:lastModifiedBy>
  <cp:revision>2</cp:revision>
  <dcterms:created xsi:type="dcterms:W3CDTF">2026-07-07T23:36:00Z</dcterms:created>
  <dcterms:modified xsi:type="dcterms:W3CDTF">2026-07-07T23:54:00Z</dcterms:modified>
</cp:coreProperties>
</file>