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left w:val="none"/>
              <w:bottom w:val="none"/>
              <w:right w:val="none"/>
            </w:tcBorders>
            <w:shd w:fill="230871" w:color="auto" w:val="clear"/>
            <w:tcMar>
              <w:top w:type="dxa" w:w="360"/>
              <w:left w:type="dxa" w:w="260"/>
              <w:bottom w:type="dxa" w:w="360"/>
              <w:right w:type="dxa" w:w="260"/>
            </w:tcMar>
          </w:tcPr>
          <w:p>
            <w:pPr>
              <w:spacing w:after="120"/>
            </w:pPr>
            <w:r>
              <w:rPr>
                <w:rFonts w:ascii="Poppins" w:cs="Poppins" w:eastAsia="Poppins" w:hAnsi="Poppins"/>
                <w:b/>
                <w:bCs/>
                <w:i w:val="false"/>
                <w:iCs w:val="false"/>
                <w:color w:val="FFFFFF"/>
                <w:sz w:val="30"/>
                <w:szCs w:val="30"/>
              </w:rPr>
              <w:t xml:space="preserve">MASA  +</w:t>
            </w:r>
          </w:p>
          <w:p>
            <w:pPr>
              <w:spacing w:after="60"/>
            </w:pPr>
            <w:r>
              <w:rPr>
                <w:rFonts w:ascii="Poppins" w:cs="Poppins" w:eastAsia="Poppins" w:hAnsi="Poppins"/>
                <w:b/>
                <w:bCs/>
                <w:i w:val="false"/>
                <w:iCs w:val="false"/>
                <w:color w:val="FFD040"/>
                <w:sz w:val="18"/>
                <w:szCs w:val="18"/>
              </w:rPr>
              <w:t xml:space="preserve">INTERNAL WORKING DOCUMENT</w:t>
            </w:r>
          </w:p>
          <w:p>
            <w:pPr>
              <w:spacing w:after="100"/>
            </w:pPr>
            <w:r>
              <w:rPr>
                <w:rFonts w:ascii="Poppins" w:cs="Poppins" w:eastAsia="Poppins" w:hAnsi="Poppins"/>
                <w:b/>
                <w:bCs/>
                <w:i w:val="false"/>
                <w:iCs w:val="false"/>
                <w:color w:val="FFFFFF"/>
                <w:sz w:val="50"/>
                <w:szCs w:val="50"/>
              </w:rPr>
              <w:t xml:space="preserve">The Care Circle Foundation</w:t>
            </w:r>
          </w:p>
          <w:p>
            <w:pPr>
              <w:spacing w:after="0"/>
            </w:pPr>
            <w:r>
              <w:rPr>
                <w:rFonts w:ascii="Poppins" w:cs="Poppins" w:eastAsia="Poppins" w:hAnsi="Poppins"/>
                <w:b/>
                <w:bCs/>
                <w:i w:val="false"/>
                <w:iCs w:val="false"/>
                <w:color w:val="FFFFFF"/>
                <w:sz w:val="28"/>
                <w:szCs w:val="28"/>
              </w:rPr>
              <w:t xml:space="preserve">Identity, Permissions &amp; the Account Architecture</w:t>
            </w:r>
          </w:p>
        </w:tc>
      </w:tr>
    </w:tbl>
    <w:p>
      <w:pPr>
        <w:spacing w:after="200"/>
      </w:pPr>
      <w:r>
        <w:rPr>
          <w:rFonts w:ascii="Open Sans" w:cs="Open Sans" w:eastAsia="Open Sans" w:hAnsi="Open Sans"/>
          <w:b w:val="false"/>
          <w:bCs w:val="false"/>
          <w:i w:val="false"/>
          <w:iCs w:val="false"/>
          <w:color w:val="262626"/>
          <w:sz w:val="22"/>
          <w:szCs w:val="22"/>
        </w:rPr>
        <w:t xml:space="preserve"/>
      </w:r>
    </w:p>
    <w:p>
      <w:pPr>
        <w:spacing w:after="120" w:line="276" w:lineRule="auto"/>
      </w:pPr>
      <w:r>
        <w:rPr>
          <w:rFonts w:ascii="Open Sans" w:cs="Open Sans" w:eastAsia="Open Sans" w:hAnsi="Open Sans"/>
          <w:b w:val="false"/>
          <w:bCs w:val="false"/>
          <w:i w:val="false"/>
          <w:iCs w:val="false"/>
          <w:color w:val="262626"/>
          <w:sz w:val="26"/>
          <w:szCs w:val="26"/>
        </w:rPr>
        <w:t xml:space="preserve">The substrate beneath Helm: which “care circle” features to build and which to refuse, and the account model that lets MASA serve plan members, their caregivers, and non-member subscribers on one set of rails.</w:t>
      </w:r>
    </w:p>
    <w:p>
      <w:pPr>
        <w:spacing w:after="160"/>
      </w:pPr>
      <w:r>
        <w:rPr>
          <w:rFonts w:ascii="Open Sans" w:cs="Open Sans" w:eastAsia="Open Sans" w:hAnsi="Open Sans"/>
          <w:b w:val="false"/>
          <w:bCs w:val="false"/>
          <w:i w:val="false"/>
          <w:iCs w:val="false"/>
          <w:color w:val="262626"/>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c>
          <w:tcPr>
            <w:tcW w:type="dxa" w:w="2200"/>
            <w:tcBorders>
              <w:top w:val="single" w:color="D9D4DC" w:sz="2"/>
              <w:left w:val="single" w:color="D9D4DC" w:sz="2"/>
              <w:bottom w:val="single" w:color="D9D4DC" w:sz="2"/>
              <w:right w:val="single" w:color="D9D4DC" w:sz="2"/>
            </w:tcBorders>
            <w:shd w:fill="E8E3E8"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30871"/>
                <w:sz w:val="20"/>
                <w:szCs w:val="20"/>
              </w:rPr>
              <w:t xml:space="preserve">Prepared for</w:t>
            </w:r>
          </w:p>
        </w:tc>
        <w:tc>
          <w:tcPr>
            <w:tcW w:type="dxa" w:w="64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MASA Product Strategy — NEMT / Care Circle workstream</w:t>
            </w:r>
          </w:p>
        </w:tc>
      </w:tr>
      <w:tr>
        <w:tc>
          <w:tcPr>
            <w:tcW w:type="dxa" w:w="2200"/>
            <w:tcBorders>
              <w:top w:val="single" w:color="D9D4DC" w:sz="2"/>
              <w:left w:val="single" w:color="D9D4DC" w:sz="2"/>
              <w:bottom w:val="single" w:color="D9D4DC" w:sz="2"/>
              <w:right w:val="single" w:color="D9D4DC" w:sz="2"/>
            </w:tcBorders>
            <w:shd w:fill="E8E3E8"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30871"/>
                <w:sz w:val="20"/>
                <w:szCs w:val="20"/>
              </w:rPr>
              <w:t xml:space="preserve">Purpose</w:t>
            </w:r>
          </w:p>
        </w:tc>
        <w:tc>
          <w:tcPr>
            <w:tcW w:type="dxa" w:w="64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Define the Care Circle foundation: feature scope and the identity / entitlement model</w:t>
            </w:r>
          </w:p>
        </w:tc>
      </w:tr>
      <w:tr>
        <w:tc>
          <w:tcPr>
            <w:tcW w:type="dxa" w:w="2200"/>
            <w:tcBorders>
              <w:top w:val="single" w:color="D9D4DC" w:sz="2"/>
              <w:left w:val="single" w:color="D9D4DC" w:sz="2"/>
              <w:bottom w:val="single" w:color="D9D4DC" w:sz="2"/>
              <w:right w:val="single" w:color="D9D4DC" w:sz="2"/>
            </w:tcBorders>
            <w:shd w:fill="E8E3E8"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30871"/>
                <w:sz w:val="20"/>
                <w:szCs w:val="20"/>
              </w:rPr>
              <w:t xml:space="preserve">Status</w:t>
            </w:r>
          </w:p>
        </w:tc>
        <w:tc>
          <w:tcPr>
            <w:tcW w:type="dxa" w:w="64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Working draft for build scoping</w:t>
            </w:r>
          </w:p>
        </w:tc>
      </w:tr>
      <w:tr>
        <w:tc>
          <w:tcPr>
            <w:tcW w:type="dxa" w:w="2200"/>
            <w:tcBorders>
              <w:top w:val="single" w:color="D9D4DC" w:sz="2"/>
              <w:left w:val="single" w:color="D9D4DC" w:sz="2"/>
              <w:bottom w:val="single" w:color="D9D4DC" w:sz="2"/>
              <w:right w:val="single" w:color="D9D4DC" w:sz="2"/>
            </w:tcBorders>
            <w:shd w:fill="E8E3E8"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30871"/>
                <w:sz w:val="20"/>
                <w:szCs w:val="20"/>
              </w:rPr>
              <w:t xml:space="preserve">Companion to</w:t>
            </w:r>
          </w:p>
        </w:tc>
        <w:tc>
          <w:tcPr>
            <w:tcW w:type="dxa" w:w="64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The Member’s Agent — NEMT &amp; Care Circle Execution Model. Slots in as the “Foundation” section ahead of the phased NEMT build.</w:t>
            </w:r>
          </w:p>
        </w:tc>
      </w:tr>
    </w:tbl>
    <w:p>
      <w:r>
        <w:br w:type="page"/>
      </w:r>
    </w:p>
    <w:p>
      <w:pPr>
        <w:pBdr>
          <w:bottom w:val="single" w:color="968694" w:sz="8" w:space="6"/>
        </w:pBdr>
        <w:spacing w:after="160" w:before="320"/>
      </w:pPr>
      <w:r>
        <w:rPr>
          <w:rFonts w:ascii="Poppins" w:cs="Poppins" w:eastAsia="Poppins" w:hAnsi="Poppins"/>
          <w:b/>
          <w:bCs/>
          <w:i w:val="false"/>
          <w:iCs w:val="false"/>
          <w:color w:val="230871"/>
          <w:sz w:val="44"/>
          <w:szCs w:val="44"/>
        </w:rPr>
        <w:t xml:space="preserve">1.  What this resolves</w:t>
      </w:r>
    </w:p>
    <w:p>
      <w:pPr>
        <w:spacing w:after="120" w:line="276" w:lineRule="auto"/>
      </w:pPr>
      <w:r>
        <w:rPr>
          <w:rFonts w:ascii="Open Sans" w:cs="Open Sans" w:eastAsia="Open Sans" w:hAnsi="Open Sans"/>
          <w:b w:val="false"/>
          <w:bCs w:val="false"/>
          <w:i w:val="false"/>
          <w:iCs w:val="false"/>
          <w:color w:val="262626"/>
          <w:sz w:val="22"/>
          <w:szCs w:val="22"/>
        </w:rPr>
        <w:t xml:space="preserve">In the execution model, Care Circle is the substrate — identity, permissions, and a shared activity log — on which NEMT and every later job runs. This document answers two open questions about the foundation itself.</w:t>
      </w:r>
    </w:p>
    <w:p>
      <w:pPr>
        <w:pStyle w:val="ListParagraph"/>
        <w:numPr>
          <w:ilvl w:val="0"/>
          <w:numId w:val="2"/>
        </w:numPr>
        <w:spacing w:after="100" w:line="276" w:lineRule="auto"/>
      </w:pPr>
      <w:r>
        <w:rPr>
          <w:rFonts w:ascii="Open Sans" w:cs="Open Sans" w:eastAsia="Open Sans" w:hAnsi="Open Sans"/>
          <w:b/>
          <w:bCs/>
          <w:i w:val="false"/>
          <w:iCs w:val="false"/>
          <w:color w:val="230871"/>
          <w:sz w:val="22"/>
          <w:szCs w:val="22"/>
        </w:rPr>
        <w:t xml:space="preserve">Feature scope. </w:t>
      </w:r>
      <w:r>
        <w:rPr>
          <w:rFonts w:ascii="Open Sans" w:cs="Open Sans" w:eastAsia="Open Sans" w:hAnsi="Open Sans"/>
          <w:b w:val="false"/>
          <w:bCs w:val="false"/>
          <w:i w:val="false"/>
          <w:iCs w:val="false"/>
          <w:color w:val="262626"/>
          <w:sz w:val="22"/>
          <w:szCs w:val="22"/>
        </w:rPr>
        <w:t xml:space="preserve">Are we missing anything a “care circle” is expected to have? Which category features are load-bearing, and which are commodity we should consciously refuse?</w:t>
      </w:r>
    </w:p>
    <w:p>
      <w:pPr>
        <w:pStyle w:val="ListParagraph"/>
        <w:numPr>
          <w:ilvl w:val="0"/>
          <w:numId w:val="2"/>
        </w:numPr>
        <w:spacing w:after="100" w:line="276" w:lineRule="auto"/>
      </w:pPr>
      <w:r>
        <w:rPr>
          <w:rFonts w:ascii="Open Sans" w:cs="Open Sans" w:eastAsia="Open Sans" w:hAnsi="Open Sans"/>
          <w:b/>
          <w:bCs/>
          <w:i w:val="false"/>
          <w:iCs w:val="false"/>
          <w:color w:val="230871"/>
          <w:sz w:val="22"/>
          <w:szCs w:val="22"/>
        </w:rPr>
        <w:t xml:space="preserve">Identity &amp; accounts. </w:t>
      </w:r>
      <w:r>
        <w:rPr>
          <w:rFonts w:ascii="Open Sans" w:cs="Open Sans" w:eastAsia="Open Sans" w:hAnsi="Open Sans"/>
          <w:b w:val="false"/>
          <w:bCs w:val="false"/>
          <w:i w:val="false"/>
          <w:iCs w:val="false"/>
          <w:color w:val="262626"/>
          <w:sz w:val="22"/>
          <w:szCs w:val="22"/>
        </w:rPr>
        <w:t xml:space="preserve">How does login and permissioning work once users include non-members — adult-child caregivers, read-only relatives — and, over time, paid Helm subscribers who hold no MASA plan at all?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0F0FB" w:sz="2"/>
              <w:left w:val="single" w:color="0071CE" w:sz="32"/>
              <w:bottom w:val="single" w:color="E0F0FB" w:sz="2"/>
              <w:right w:val="single" w:color="E0F0FB" w:sz="2"/>
            </w:tcBorders>
            <w:shd w:fill="E0F0FB" w:color="auto" w:val="clear"/>
            <w:tcMar>
              <w:top w:type="dxa" w:w="120"/>
              <w:left w:type="dxa" w:w="200"/>
              <w:bottom w:type="dxa" w:w="120"/>
              <w:right w:type="dxa" w:w="160"/>
            </w:tcMar>
          </w:tcPr>
          <w:p>
            <w:pPr>
              <w:spacing w:after="60"/>
            </w:pPr>
            <w:r>
              <w:rPr>
                <w:rFonts w:ascii="Poppins" w:cs="Poppins" w:eastAsia="Poppins" w:hAnsi="Poppins"/>
                <w:b/>
                <w:bCs/>
                <w:i w:val="false"/>
                <w:iCs w:val="false"/>
                <w:color w:val="230871"/>
                <w:sz w:val="22"/>
                <w:szCs w:val="22"/>
              </w:rPr>
              <w:t xml:space="preserve">Why this is foundational, not plumbing</w:t>
            </w:r>
          </w:p>
          <w:p>
            <w:pPr>
              <w:spacing w:after="0" w:line="264" w:lineRule="auto"/>
            </w:pPr>
            <w:r>
              <w:rPr>
                <w:rFonts w:ascii="Open Sans" w:cs="Open Sans" w:eastAsia="Open Sans" w:hAnsi="Open Sans"/>
                <w:b w:val="false"/>
                <w:bCs w:val="false"/>
                <w:i w:val="false"/>
                <w:iCs w:val="false"/>
                <w:color w:val="262626"/>
                <w:sz w:val="21"/>
                <w:szCs w:val="21"/>
              </w:rPr>
              <w:t xml:space="preserve">The account architecture is the thing that makes caregiver acquisition and non-member revenue </w:t>
            </w:r>
            <w:r>
              <w:rPr>
                <w:rFonts w:ascii="Open Sans" w:cs="Open Sans" w:eastAsia="Open Sans" w:hAnsi="Open Sans"/>
                <w:b/>
                <w:bCs/>
                <w:i w:val="false"/>
                <w:iCs w:val="false"/>
                <w:color w:val="230871"/>
                <w:sz w:val="21"/>
                <w:szCs w:val="21"/>
              </w:rPr>
              <w:t xml:space="preserve">possible or impossible</w:t>
            </w:r>
            <w:r>
              <w:rPr>
                <w:rFonts w:ascii="Open Sans" w:cs="Open Sans" w:eastAsia="Open Sans" w:hAnsi="Open Sans"/>
                <w:b w:val="false"/>
                <w:bCs w:val="false"/>
                <w:i w:val="false"/>
                <w:iCs w:val="false"/>
                <w:color w:val="262626"/>
                <w:sz w:val="21"/>
                <w:szCs w:val="21"/>
              </w:rPr>
              <w:t xml:space="preserve">. A plan-gated identity model caps the addressable audience at plan members. Decoupling the account from the plan is what lets a 35–54 caregiver — who may never hold a plan — have a direct relationship with MASA. This is decided once, here.</w:t>
            </w:r>
          </w:p>
        </w:tc>
      </w:tr>
    </w:tbl>
    <w:p>
      <w:pPr>
        <w:pBdr>
          <w:bottom w:val="single" w:color="968694" w:sz="8" w:space="6"/>
        </w:pBdr>
        <w:spacing w:after="160" w:before="320"/>
      </w:pPr>
      <w:r>
        <w:rPr>
          <w:rFonts w:ascii="Poppins" w:cs="Poppins" w:eastAsia="Poppins" w:hAnsi="Poppins"/>
          <w:b/>
          <w:bCs/>
          <w:i w:val="false"/>
          <w:iCs w:val="false"/>
          <w:color w:val="230871"/>
          <w:sz w:val="44"/>
          <w:szCs w:val="44"/>
        </w:rPr>
        <w:t xml:space="preserve">2.  Build the load-bearing, refuse the commodity</w:t>
      </w:r>
    </w:p>
    <w:p>
      <w:pPr>
        <w:spacing w:after="120" w:line="276" w:lineRule="auto"/>
      </w:pPr>
      <w:r>
        <w:rPr>
          <w:rFonts w:ascii="Open Sans" w:cs="Open Sans" w:eastAsia="Open Sans" w:hAnsi="Open Sans"/>
          <w:b w:val="false"/>
          <w:bCs w:val="false"/>
          <w:i w:val="false"/>
          <w:iCs w:val="false"/>
          <w:color w:val="262626"/>
          <w:sz w:val="22"/>
          <w:szCs w:val="22"/>
        </w:rPr>
        <w:t xml:space="preserve">Feature parity is the trap. The category’s signature features — medication reminders, shared family calendars, chore-fairness boards, group chat, volunteer sign-ups — are exactly the commodity surface that CircleCare and Caring Village already give away free. They are not the value. The discipline is to split the category list into what the jobs genuinely read from versus what we must consciously decline.</w:t>
      </w:r>
    </w:p>
    <w:p>
      <w:pPr>
        <w:spacing w:after="40"/>
      </w:pPr>
      <w:r>
        <w:rPr>
          <w:rFonts w:ascii="Open Sans" w:cs="Open Sans" w:eastAsia="Open Sans" w:hAnsi="Open Sans"/>
          <w:b w:val="false"/>
          <w:bCs w:val="false"/>
          <w:i w:val="false"/>
          <w:iCs w:val="false"/>
          <w:color w:val="262626"/>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440"/>
      </w:tblGrid>
      <w:tr>
        <w:trPr>
          <w:tblHeader/>
        </w:trPr>
        <w:tc>
          <w:tcPr>
            <w:tcW w:type="dxa" w:w="25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Feature</w:t>
            </w:r>
          </w:p>
        </w:tc>
        <w:tc>
          <w:tcPr>
            <w:tcW w:type="dxa" w:w="17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Verdict</w:t>
            </w:r>
          </w:p>
        </w:tc>
        <w:tc>
          <w:tcPr>
            <w:tcW w:type="dxa" w:w="444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Why</w:t>
            </w:r>
          </w:p>
        </w:tc>
      </w:tr>
      <w:tr>
        <w:tc>
          <w:tcPr>
            <w:tcW w:type="dxa" w:w="25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62626"/>
                <w:sz w:val="20"/>
                <w:szCs w:val="20"/>
              </w:rPr>
              <w:t xml:space="preserve">Subject record (care-recipient profile)</w:t>
            </w:r>
          </w:p>
        </w:tc>
        <w:tc>
          <w:tcPr>
            <w:tcW w:type="dxa" w:w="17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0071CE"/>
                <w:sz w:val="20"/>
                <w:szCs w:val="20"/>
              </w:rPr>
              <w:t xml:space="preserve">Build now</w:t>
            </w:r>
          </w:p>
        </w:tc>
        <w:tc>
          <w:tcPr>
            <w:tcW w:type="dxa" w:w="444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The canonical “who is this person” the jobs consume: conditions, mobility profile, allergies, current med list, providers, pharmacy. A read profile, not an adherence engine. Makes NEMT mode-determination and the Post-ER pre-brief work.</w:t>
            </w:r>
          </w:p>
        </w:tc>
      </w:tr>
      <w:tr>
        <w:tc>
          <w:tcPr>
            <w:tcW w:type="dxa" w:w="25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62626"/>
                <w:sz w:val="20"/>
                <w:szCs w:val="20"/>
              </w:rPr>
              <w:t xml:space="preserve">Document vault</w:t>
            </w:r>
          </w:p>
        </w:tc>
        <w:tc>
          <w:tcPr>
            <w:tcW w:type="dxa" w:w="17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0071CE"/>
                <w:sz w:val="20"/>
                <w:szCs w:val="20"/>
              </w:rPr>
              <w:t xml:space="preserve">Build now</w:t>
            </w:r>
          </w:p>
        </w:tc>
        <w:tc>
          <w:tcPr>
            <w:tcW w:type="dxa" w:w="444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Discharge papers, coverage cards, the signed HIPAA authorization, POA / advance directive, the surprise bill. Discharge extraction and bill advocacy read from it; the AR’s authorization lives in it.</w:t>
            </w:r>
          </w:p>
        </w:tc>
      </w:tr>
      <w:tr>
        <w:tc>
          <w:tcPr>
            <w:tcW w:type="dxa" w:w="25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62626"/>
                <w:sz w:val="20"/>
                <w:szCs w:val="20"/>
              </w:rPr>
              <w:t xml:space="preserve">Contacts / care-team directory</w:t>
            </w:r>
          </w:p>
        </w:tc>
        <w:tc>
          <w:tcPr>
            <w:tcW w:type="dxa" w:w="17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0071CE"/>
                <w:sz w:val="20"/>
                <w:szCs w:val="20"/>
              </w:rPr>
              <w:t xml:space="preserve">Build now</w:t>
            </w:r>
          </w:p>
        </w:tc>
        <w:tc>
          <w:tcPr>
            <w:tcW w:type="dxa" w:w="444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Providers, pharmacy, contracted vendors. Trivial to build; every job needs it.</w:t>
            </w:r>
          </w:p>
        </w:tc>
      </w:tr>
      <w:tr>
        <w:tc>
          <w:tcPr>
            <w:tcW w:type="dxa" w:w="25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62626"/>
                <w:sz w:val="20"/>
                <w:szCs w:val="20"/>
              </w:rPr>
              <w:t xml:space="preserve">Invite-and-onboard loop</w:t>
            </w:r>
          </w:p>
        </w:tc>
        <w:tc>
          <w:tcPr>
            <w:tcW w:type="dxa" w:w="17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0071CE"/>
                <w:sz w:val="20"/>
                <w:szCs w:val="20"/>
              </w:rPr>
              <w:t xml:space="preserve">Build now</w:t>
            </w:r>
          </w:p>
        </w:tc>
        <w:tc>
          <w:tcPr>
            <w:tcW w:type="dxa" w:w="444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Invite by email / phone → accept → link to the right Subject. The most-used feature in every care-circle app, and the bridge to the identity model in §3.</w:t>
            </w:r>
          </w:p>
        </w:tc>
      </w:tr>
      <w:tr>
        <w:tc>
          <w:tcPr>
            <w:tcW w:type="dxa" w:w="25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62626"/>
                <w:sz w:val="20"/>
                <w:szCs w:val="20"/>
              </w:rPr>
              <w:t xml:space="preserve">Activity log as consent / access audit trail</w:t>
            </w:r>
          </w:p>
        </w:tc>
        <w:tc>
          <w:tcPr>
            <w:tcW w:type="dxa" w:w="170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0071CE"/>
                <w:sz w:val="20"/>
                <w:szCs w:val="20"/>
              </w:rPr>
              <w:t xml:space="preserve">Already in substrate — name its second job</w:t>
            </w:r>
          </w:p>
        </w:tc>
        <w:tc>
          <w:tcPr>
            <w:tcW w:type="dxa" w:w="4440"/>
            <w:tcBorders>
              <w:top w:val="single" w:color="D9D4DC" w:sz="2"/>
              <w:left w:val="single" w:color="D9D4DC" w:sz="2"/>
              <w:bottom w:val="single" w:color="D9D4DC" w:sz="2"/>
              <w:right w:val="single" w:color="D9D4DC" w:sz="2"/>
            </w:tcBorders>
            <w:shd w:fill="E0F0FB"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For a HIPAA-proxy system, the log is not a nicety: who accessed what, who acted on whose behalf, when. It is a compliance requirement.</w:t>
            </w:r>
          </w:p>
        </w:tc>
      </w:tr>
      <w:tr>
        <w:tc>
          <w:tcPr>
            <w:tcW w:type="dxa" w:w="25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Medication reminder / adherence engine</w:t>
            </w:r>
          </w:p>
        </w:tc>
        <w:tc>
          <w:tcPr>
            <w:tcW w:type="dxa" w:w="17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E64B38"/>
                <w:sz w:val="20"/>
                <w:szCs w:val="20"/>
              </w:rPr>
              <w:t xml:space="preserve">Refuse</w:t>
            </w:r>
          </w:p>
        </w:tc>
        <w:tc>
          <w:tcPr>
            <w:tcW w:type="dxa" w:w="444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CircleCare gives it away free. Keep the med list (a read), not the reminder loop.</w:t>
            </w:r>
          </w:p>
        </w:tc>
      </w:tr>
      <w:tr>
        <w:tc>
          <w:tcPr>
            <w:tcW w:type="dxa" w:w="25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General shared family calendar</w:t>
            </w:r>
          </w:p>
        </w:tc>
        <w:tc>
          <w:tcPr>
            <w:tcW w:type="dxa" w:w="17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E64B38"/>
                <w:sz w:val="20"/>
                <w:szCs w:val="20"/>
              </w:rPr>
              <w:t xml:space="preserve">Refuse</w:t>
            </w:r>
          </w:p>
        </w:tc>
        <w:tc>
          <w:tcPr>
            <w:tcW w:type="dxa" w:w="44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Surface only the appointments that trigger jobs. Do not become the family scheduler.</w:t>
            </w:r>
          </w:p>
        </w:tc>
      </w:tr>
      <w:tr>
        <w:tc>
          <w:tcPr>
            <w:tcW w:type="dxa" w:w="25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Task assignment / contribution-fairness tracking</w:t>
            </w:r>
          </w:p>
        </w:tc>
        <w:tc>
          <w:tcPr>
            <w:tcW w:type="dxa" w:w="17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E64B38"/>
                <w:sz w:val="20"/>
                <w:szCs w:val="20"/>
              </w:rPr>
              <w:t xml:space="preserve">Refuse</w:t>
            </w:r>
          </w:p>
        </w:tc>
        <w:tc>
          <w:tcPr>
            <w:tcW w:type="dxa" w:w="444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This is CircleCare’s entire value prop — and the opposite of the “SAM does the coordination” model.</w:t>
            </w:r>
          </w:p>
        </w:tc>
      </w:tr>
      <w:tr>
        <w:tc>
          <w:tcPr>
            <w:tcW w:type="dxa" w:w="25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Group chat / wellness journal / volunteer rally</w:t>
            </w:r>
          </w:p>
        </w:tc>
        <w:tc>
          <w:tcPr>
            <w:tcW w:type="dxa" w:w="17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968694"/>
                <w:sz w:val="20"/>
                <w:szCs w:val="20"/>
              </w:rPr>
              <w:t xml:space="preserve">Defer</w:t>
            </w:r>
          </w:p>
        </w:tc>
        <w:tc>
          <w:tcPr>
            <w:tcW w:type="dxa" w:w="44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The community cluster. No edge here; revisit only if engagement data later demands it.</w:t>
            </w:r>
          </w:p>
        </w:tc>
      </w:tr>
    </w:tbl>
    <w:p>
      <w:pPr>
        <w:spacing w:after="60"/>
      </w:pPr>
      <w:r>
        <w:rPr>
          <w:rFonts w:ascii="Open Sans" w:cs="Open Sans" w:eastAsia="Open Sans" w:hAnsi="Open Sans"/>
          <w:b w:val="false"/>
          <w:bCs w:val="false"/>
          <w:i w:val="false"/>
          <w:iCs w:val="false"/>
          <w:color w:val="262626"/>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FCEAE7" w:sz="2"/>
              <w:left w:val="single" w:color="E64B38" w:sz="32"/>
              <w:bottom w:val="single" w:color="FCEAE7" w:sz="2"/>
              <w:right w:val="single" w:color="FCEAE7" w:sz="2"/>
            </w:tcBorders>
            <w:shd w:fill="FCEAE7" w:color="auto" w:val="clear"/>
            <w:tcMar>
              <w:top w:type="dxa" w:w="120"/>
              <w:left w:type="dxa" w:w="200"/>
              <w:bottom w:type="dxa" w:w="120"/>
              <w:right w:type="dxa" w:w="160"/>
            </w:tcMar>
          </w:tcPr>
          <w:p>
            <w:pPr>
              <w:spacing w:after="60"/>
            </w:pPr>
            <w:r>
              <w:rPr>
                <w:rFonts w:ascii="Poppins" w:cs="Poppins" w:eastAsia="Poppins" w:hAnsi="Poppins"/>
                <w:b/>
                <w:bCs/>
                <w:i w:val="false"/>
                <w:iCs w:val="false"/>
                <w:color w:val="230871"/>
                <w:sz w:val="22"/>
                <w:szCs w:val="22"/>
              </w:rPr>
              <w:t xml:space="preserve">The rule</w:t>
            </w:r>
          </w:p>
          <w:p>
            <w:pPr>
              <w:spacing w:after="0" w:line="264" w:lineRule="auto"/>
            </w:pPr>
            <w:r>
              <w:rPr>
                <w:rFonts w:ascii="Open Sans" w:cs="Open Sans" w:eastAsia="Open Sans" w:hAnsi="Open Sans"/>
                <w:b w:val="false"/>
                <w:bCs w:val="false"/>
                <w:i w:val="false"/>
                <w:iCs w:val="false"/>
                <w:color w:val="262626"/>
                <w:sz w:val="21"/>
                <w:szCs w:val="21"/>
              </w:rPr>
              <w:t xml:space="preserve">The foundation owns the data the jobs depend on — who the person is, what documents exist, who is on the team, who did what. It does not try to out-organize the free coordination apps. Building toward the commodity surface spends money where MASA has no edge.</w:t>
            </w:r>
          </w:p>
        </w:tc>
      </w:tr>
    </w:tbl>
    <w:p>
      <w:r>
        <w:br w:type="page"/>
      </w:r>
    </w:p>
    <w:p>
      <w:pPr>
        <w:pBdr>
          <w:bottom w:val="single" w:color="968694" w:sz="8" w:space="6"/>
        </w:pBdr>
        <w:spacing w:after="160" w:before="320"/>
      </w:pPr>
      <w:r>
        <w:rPr>
          <w:rFonts w:ascii="Poppins" w:cs="Poppins" w:eastAsia="Poppins" w:hAnsi="Poppins"/>
          <w:b/>
          <w:bCs/>
          <w:i w:val="false"/>
          <w:iCs w:val="false"/>
          <w:color w:val="230871"/>
          <w:sz w:val="44"/>
          <w:szCs w:val="44"/>
        </w:rPr>
        <w:t xml:space="preserve">3.  Decouple the account from the plan</w:t>
      </w:r>
    </w:p>
    <w:p>
      <w:pPr>
        <w:spacing w:after="120" w:line="276" w:lineRule="auto"/>
      </w:pPr>
      <w:r>
        <w:rPr>
          <w:rFonts w:ascii="Open Sans" w:cs="Open Sans" w:eastAsia="Open Sans" w:hAnsi="Open Sans"/>
          <w:b w:val="false"/>
          <w:bCs w:val="false"/>
          <w:i w:val="false"/>
          <w:iCs w:val="false"/>
          <w:color w:val="262626"/>
          <w:sz w:val="22"/>
          <w:szCs w:val="22"/>
        </w:rPr>
        <w:t xml:space="preserve">Today’s model conflates two things that have to come apart: </w:t>
      </w:r>
      <w:r>
        <w:rPr>
          <w:rFonts w:ascii="Open Sans" w:cs="Open Sans" w:eastAsia="Open Sans" w:hAnsi="Open Sans"/>
          <w:b/>
          <w:bCs/>
          <w:i w:val="false"/>
          <w:iCs w:val="false"/>
          <w:color w:val="230871"/>
          <w:sz w:val="22"/>
          <w:szCs w:val="22"/>
        </w:rPr>
        <w:t xml:space="preserve">being a MASA plan member</w:t>
      </w:r>
      <w:r>
        <w:rPr>
          <w:rFonts w:ascii="Open Sans" w:cs="Open Sans" w:eastAsia="Open Sans" w:hAnsi="Open Sans"/>
          <w:b w:val="false"/>
          <w:bCs w:val="false"/>
          <w:i w:val="false"/>
          <w:iCs w:val="false"/>
          <w:color w:val="262626"/>
          <w:sz w:val="22"/>
          <w:szCs w:val="22"/>
        </w:rPr>
        <w:t xml:space="preserve"> and </w:t>
      </w:r>
      <w:r>
        <w:rPr>
          <w:rFonts w:ascii="Open Sans" w:cs="Open Sans" w:eastAsia="Open Sans" w:hAnsi="Open Sans"/>
          <w:b/>
          <w:bCs/>
          <w:i w:val="false"/>
          <w:iCs w:val="false"/>
          <w:color w:val="230871"/>
          <w:sz w:val="22"/>
          <w:szCs w:val="22"/>
        </w:rPr>
        <w:t xml:space="preserve">having a Helm account</w:t>
      </w:r>
      <w:r>
        <w:rPr>
          <w:rFonts w:ascii="Open Sans" w:cs="Open Sans" w:eastAsia="Open Sans" w:hAnsi="Open Sans"/>
          <w:b w:val="false"/>
          <w:bCs w:val="false"/>
          <w:i w:val="false"/>
          <w:iCs w:val="false"/>
          <w:color w:val="262626"/>
          <w:sz w:val="22"/>
          <w:szCs w:val="22"/>
        </w:rPr>
        <w:t xml:space="preserve">. The current flow — memberID + a piece of PII → login — works only because every user is a member. It breaks the instant the user is an adult child, a read-only sibling, or a future non-member subscriber.</w:t>
      </w:r>
    </w:p>
    <w:p>
      <w:pPr>
        <w:spacing w:after="120" w:line="276" w:lineRule="auto"/>
      </w:pPr>
      <w:r>
        <w:rPr>
          <w:rFonts w:ascii="Open Sans" w:cs="Open Sans" w:eastAsia="Open Sans" w:hAnsi="Open Sans"/>
          <w:b w:val="false"/>
          <w:bCs w:val="false"/>
          <w:i w:val="false"/>
          <w:iCs w:val="false"/>
          <w:color w:val="262626"/>
          <w:sz w:val="22"/>
          <w:szCs w:val="22"/>
        </w:rPr>
        <w:t xml:space="preserve">The fix is a three-layer model. One account can hold several entitlements at once; entitlements point at the person being cared for.</w:t>
      </w:r>
    </w:p>
    <w:p>
      <w:pPr>
        <w:spacing w:after="40"/>
      </w:pPr>
      <w:r>
        <w:rPr>
          <w:rFonts w:ascii="Open Sans" w:cs="Open Sans" w:eastAsia="Open Sans" w:hAnsi="Open Sans"/>
          <w:b w:val="false"/>
          <w:bCs w:val="false"/>
          <w:i w:val="false"/>
          <w:iCs w:val="false"/>
          <w:color w:val="262626"/>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940"/>
      </w:tblGrid>
      <w:tr>
        <w:trPr>
          <w:tblHeader/>
        </w:trPr>
        <w:tc>
          <w:tcPr>
            <w:tcW w:type="dxa" w:w="17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Layer</w:t>
            </w:r>
          </w:p>
        </w:tc>
        <w:tc>
          <w:tcPr>
            <w:tcW w:type="dxa" w:w="30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What it is</w:t>
            </w:r>
          </w:p>
        </w:tc>
        <w:tc>
          <w:tcPr>
            <w:tcW w:type="dxa" w:w="394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Key rule</w:t>
            </w:r>
          </w:p>
        </w:tc>
      </w:tr>
      <w:tr>
        <w:tc>
          <w:tcPr>
            <w:tcW w:type="dxa" w:w="17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30871"/>
                <w:sz w:val="20"/>
                <w:szCs w:val="20"/>
              </w:rPr>
              <w:t xml:space="preserve">Account</w:t>
            </w:r>
          </w:p>
        </w:tc>
        <w:tc>
          <w:tcPr>
            <w:tcW w:type="dxa" w:w="30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A person with a login</w:t>
            </w:r>
          </w:p>
        </w:tc>
        <w:tc>
          <w:tcPr>
            <w:tcW w:type="dxa" w:w="39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One per human. Free to create. Keyed by email or phone — not memberID.</w:t>
            </w:r>
          </w:p>
        </w:tc>
      </w:tr>
      <w:tr>
        <w:tc>
          <w:tcPr>
            <w:tcW w:type="dxa" w:w="17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30871"/>
                <w:sz w:val="20"/>
                <w:szCs w:val="20"/>
              </w:rPr>
              <w:t xml:space="preserve">Entitlement</w:t>
            </w:r>
          </w:p>
        </w:tc>
        <w:tc>
          <w:tcPr>
            <w:tcW w:type="dxa" w:w="30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A grant attached to an account</w:t>
            </w:r>
          </w:p>
        </w:tc>
        <w:tc>
          <w:tcPr>
            <w:tcW w:type="dxa" w:w="394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One account can hold many: holds plan #X, read-only for Mom, Authorized Rep for Mom, paid Helm subscription, benefit funding.</w:t>
            </w:r>
          </w:p>
        </w:tc>
      </w:tr>
      <w:tr>
        <w:tc>
          <w:tcPr>
            <w:tcW w:type="dxa" w:w="17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30871"/>
                <w:sz w:val="20"/>
                <w:szCs w:val="20"/>
              </w:rPr>
              <w:t xml:space="preserve">Subject</w:t>
            </w:r>
          </w:p>
        </w:tc>
        <w:tc>
          <w:tcPr>
            <w:tcW w:type="dxa" w:w="30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The person being cared for</w:t>
            </w:r>
          </w:p>
        </w:tc>
        <w:tc>
          <w:tcPr>
            <w:tcW w:type="dxa" w:w="39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May have no Account of their own (many recipients never log in). Entitlements point at a Subject.</w:t>
            </w:r>
          </w:p>
        </w:tc>
      </w:tr>
    </w:tbl>
    <w:p>
      <w:pPr>
        <w:spacing w:after="60"/>
      </w:pPr>
      <w:r>
        <w:rPr>
          <w:rFonts w:ascii="Open Sans" w:cs="Open Sans" w:eastAsia="Open Sans" w:hAnsi="Open Sans"/>
          <w:b w:val="false"/>
          <w:bCs w:val="false"/>
          <w:i w:val="false"/>
          <w:iCs w:val="false"/>
          <w:color w:val="262626"/>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0F0FB" w:sz="2"/>
              <w:left w:val="single" w:color="0071CE" w:sz="32"/>
              <w:bottom w:val="single" w:color="E0F0FB" w:sz="2"/>
              <w:right w:val="single" w:color="E0F0FB" w:sz="2"/>
            </w:tcBorders>
            <w:shd w:fill="E0F0FB" w:color="auto" w:val="clear"/>
            <w:tcMar>
              <w:top w:type="dxa" w:w="120"/>
              <w:left w:type="dxa" w:w="200"/>
              <w:bottom w:type="dxa" w:w="120"/>
              <w:right w:type="dxa" w:w="160"/>
            </w:tcMar>
          </w:tcPr>
          <w:p>
            <w:pPr>
              <w:spacing w:after="60"/>
            </w:pPr>
            <w:r>
              <w:rPr>
                <w:rFonts w:ascii="Poppins" w:cs="Poppins" w:eastAsia="Poppins" w:hAnsi="Poppins"/>
                <w:b/>
                <w:bCs/>
                <w:i w:val="false"/>
                <w:iCs w:val="false"/>
                <w:color w:val="230871"/>
                <w:sz w:val="22"/>
                <w:szCs w:val="22"/>
              </w:rPr>
              <w:t xml:space="preserve">The unifying principle</w:t>
            </w:r>
          </w:p>
          <w:p>
            <w:pPr>
              <w:spacing w:after="0" w:line="264" w:lineRule="auto"/>
            </w:pPr>
            <w:r>
              <w:rPr>
                <w:rFonts w:ascii="Open Sans" w:cs="Open Sans" w:eastAsia="Open Sans" w:hAnsi="Open Sans"/>
                <w:b w:val="false"/>
                <w:bCs w:val="false"/>
                <w:i w:val="false"/>
                <w:iCs w:val="false"/>
                <w:color w:val="262626"/>
                <w:sz w:val="21"/>
                <w:szCs w:val="21"/>
              </w:rPr>
              <w:t xml:space="preserve">An account is free and easy to create; what varies is the </w:t>
            </w:r>
            <w:r>
              <w:rPr>
                <w:rFonts w:ascii="Open Sans" w:cs="Open Sans" w:eastAsia="Open Sans" w:hAnsi="Open Sans"/>
                <w:b/>
                <w:bCs/>
                <w:i w:val="false"/>
                <w:iCs w:val="false"/>
                <w:color w:val="230871"/>
                <w:sz w:val="21"/>
                <w:szCs w:val="21"/>
              </w:rPr>
              <w:t xml:space="preserve">entitlement</w:t>
            </w:r>
            <w:r>
              <w:rPr>
                <w:rFonts w:ascii="Open Sans" w:cs="Open Sans" w:eastAsia="Open Sans" w:hAnsi="Open Sans"/>
                <w:b w:val="false"/>
                <w:bCs w:val="false"/>
                <w:i w:val="false"/>
                <w:iCs w:val="false"/>
                <w:color w:val="262626"/>
                <w:sz w:val="21"/>
                <w:szCs w:val="21"/>
              </w:rPr>
              <w:t xml:space="preserve"> attached to it and the </w:t>
            </w:r>
            <w:r>
              <w:rPr>
                <w:rFonts w:ascii="Open Sans" w:cs="Open Sans" w:eastAsia="Open Sans" w:hAnsi="Open Sans"/>
                <w:b/>
                <w:bCs/>
                <w:i w:val="false"/>
                <w:iCs w:val="false"/>
                <w:color w:val="230871"/>
                <w:sz w:val="21"/>
                <w:szCs w:val="21"/>
              </w:rPr>
              <w:t xml:space="preserve">identity assurance</w:t>
            </w:r>
            <w:r>
              <w:rPr>
                <w:rFonts w:ascii="Open Sans" w:cs="Open Sans" w:eastAsia="Open Sans" w:hAnsi="Open Sans"/>
                <w:b w:val="false"/>
                <w:bCs w:val="false"/>
                <w:i w:val="false"/>
                <w:iCs w:val="false"/>
                <w:color w:val="262626"/>
                <w:sz w:val="21"/>
                <w:szCs w:val="21"/>
              </w:rPr>
              <w:t xml:space="preserve"> required to attach it. </w:t>
            </w:r>
            <w:r>
              <w:rPr>
                <w:rFonts w:ascii="Open Sans" w:cs="Open Sans" w:eastAsia="Open Sans" w:hAnsi="Open Sans"/>
                <w:b/>
                <w:bCs/>
                <w:i w:val="false"/>
                <w:iCs w:val="false"/>
                <w:color w:val="262626"/>
                <w:sz w:val="21"/>
                <w:szCs w:val="21"/>
              </w:rPr>
              <w:t xml:space="preserve">memberID stops being the login key and becomes a one-time entitlement claim</w:t>
            </w:r>
            <w:r>
              <w:rPr>
                <w:rFonts w:ascii="Open Sans" w:cs="Open Sans" w:eastAsia="Open Sans" w:hAnsi="Open Sans"/>
                <w:b w:val="false"/>
                <w:bCs w:val="false"/>
                <w:i w:val="false"/>
                <w:iCs w:val="false"/>
                <w:color w:val="262626"/>
                <w:sz w:val="21"/>
                <w:szCs w:val="21"/>
              </w:rPr>
              <w:t xml:space="preserve"> entered during linking. Proofing scales with sensitivity.</w:t>
            </w:r>
          </w:p>
        </w:tc>
      </w:tr>
    </w:tbl>
    <w:p>
      <w:pPr>
        <w:pBdr>
          <w:bottom w:val="single" w:color="968694" w:sz="8" w:space="6"/>
        </w:pBdr>
        <w:spacing w:after="160" w:before="320"/>
      </w:pPr>
      <w:r>
        <w:rPr>
          <w:rFonts w:ascii="Poppins" w:cs="Poppins" w:eastAsia="Poppins" w:hAnsi="Poppins"/>
          <w:b/>
          <w:bCs/>
          <w:i w:val="false"/>
          <w:iCs w:val="false"/>
          <w:color w:val="230871"/>
          <w:sz w:val="44"/>
          <w:szCs w:val="44"/>
        </w:rPr>
        <w:t xml:space="preserve">4.  Entry paths &amp; identity assurance</w:t>
      </w:r>
    </w:p>
    <w:p>
      <w:pPr>
        <w:spacing w:after="120" w:line="276" w:lineRule="auto"/>
      </w:pPr>
      <w:r>
        <w:rPr>
          <w:rFonts w:ascii="Open Sans" w:cs="Open Sans" w:eastAsia="Open Sans" w:hAnsi="Open Sans"/>
          <w:b w:val="false"/>
          <w:bCs w:val="false"/>
          <w:i w:val="false"/>
          <w:iCs w:val="false"/>
          <w:color w:val="262626"/>
          <w:sz w:val="22"/>
          <w:szCs w:val="22"/>
        </w:rPr>
        <w:t xml:space="preserve">Every user enters through one of these paths. The account is the same in all of them; the entitlement granted and the proof required differ.</w:t>
      </w:r>
    </w:p>
    <w:p>
      <w:pPr>
        <w:spacing w:after="40"/>
      </w:pPr>
      <w:r>
        <w:rPr>
          <w:rFonts w:ascii="Open Sans" w:cs="Open Sans" w:eastAsia="Open Sans" w:hAnsi="Open Sans"/>
          <w:b w:val="false"/>
          <w:bCs w:val="false"/>
          <w:i w:val="false"/>
          <w:iCs w:val="false"/>
          <w:color w:val="262626"/>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50"/>
        <w:gridCol w:w="700"/>
        <w:gridCol w:w="2090"/>
        <w:gridCol w:w="1600"/>
        <w:gridCol w:w="2400"/>
      </w:tblGrid>
      <w:tr>
        <w:trPr>
          <w:tblHeader/>
        </w:trPr>
        <w:tc>
          <w:tcPr>
            <w:tcW w:type="dxa" w:w="185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Entry path</w:t>
            </w:r>
          </w:p>
        </w:tc>
        <w:tc>
          <w:tcPr>
            <w:tcW w:type="dxa" w:w="7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Plan</w:t>
            </w:r>
          </w:p>
        </w:tc>
        <w:tc>
          <w:tcPr>
            <w:tcW w:type="dxa" w:w="209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Entitlement granted</w:t>
            </w:r>
          </w:p>
        </w:tc>
        <w:tc>
          <w:tcPr>
            <w:tcW w:type="dxa" w:w="16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Assurance</w:t>
            </w:r>
          </w:p>
        </w:tc>
        <w:tc>
          <w:tcPr>
            <w:tcW w:type="dxa" w:w="24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How verified</w:t>
            </w:r>
          </w:p>
        </w:tc>
      </w:tr>
      <w:tr>
        <w:tc>
          <w:tcPr>
            <w:tcW w:type="dxa" w:w="185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Existing plan member</w:t>
            </w:r>
          </w:p>
        </w:tc>
        <w:tc>
          <w:tcPr>
            <w:tcW w:type="dxa" w:w="7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Yes</w:t>
            </w:r>
          </w:p>
        </w:tc>
        <w:tc>
          <w:tcPr>
            <w:tcW w:type="dxa" w:w="209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Plan member (+ Subject of self)</w:t>
            </w:r>
          </w:p>
        </w:tc>
        <w:tc>
          <w:tcPr>
            <w:tcW w:type="dxa" w:w="16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Medium</w:t>
            </w:r>
          </w:p>
        </w:tc>
        <w:tc>
          <w:tcPr>
            <w:tcW w:type="dxa" w:w="24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memberID + PII vs. roster (today’s flow, preserved)</w:t>
            </w:r>
          </w:p>
        </w:tc>
      </w:tr>
      <w:tr>
        <w:tc>
          <w:tcPr>
            <w:tcW w:type="dxa" w:w="185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Invited Care Circle member</w:t>
            </w:r>
          </w:p>
        </w:tc>
        <w:tc>
          <w:tcPr>
            <w:tcW w:type="dxa" w:w="7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No</w:t>
            </w:r>
          </w:p>
        </w:tc>
        <w:tc>
          <w:tcPr>
            <w:tcW w:type="dxa" w:w="209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Read-only / granular shared views</w:t>
            </w:r>
          </w:p>
        </w:tc>
        <w:tc>
          <w:tcPr>
            <w:tcW w:type="dxa" w:w="16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Low (vouched)</w:t>
            </w:r>
          </w:p>
        </w:tc>
        <w:tc>
          <w:tcPr>
            <w:tcW w:type="dxa" w:w="24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Invite token from the member or AR</w:t>
            </w:r>
          </w:p>
        </w:tc>
      </w:tr>
      <w:tr>
        <w:tc>
          <w:tcPr>
            <w:tcW w:type="dxa" w:w="185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Authorized Representative</w:t>
            </w:r>
          </w:p>
        </w:tc>
        <w:tc>
          <w:tcPr>
            <w:tcW w:type="dxa" w:w="7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No</w:t>
            </w:r>
          </w:p>
        </w:tc>
        <w:tc>
          <w:tcPr>
            <w:tcW w:type="dxa" w:w="209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62626"/>
                <w:sz w:val="20"/>
                <w:szCs w:val="20"/>
              </w:rPr>
              <w:t xml:space="preserve">Full proxy / PHI on a Subject</w:t>
            </w:r>
          </w:p>
        </w:tc>
        <w:tc>
          <w:tcPr>
            <w:tcW w:type="dxa" w:w="16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E64B38"/>
                <w:sz w:val="20"/>
                <w:szCs w:val="20"/>
              </w:rPr>
              <w:t xml:space="preserve">High</w:t>
            </w:r>
          </w:p>
        </w:tc>
        <w:tc>
          <w:tcPr>
            <w:tcW w:type="dxa" w:w="24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Subject’s signed HIPAA auth (or POA) + ID proofing; pilot states</w:t>
            </w:r>
          </w:p>
        </w:tc>
      </w:tr>
      <w:tr>
        <w:tc>
          <w:tcPr>
            <w:tcW w:type="dxa" w:w="185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Caregiver-initiated — parent IS a member</w:t>
            </w:r>
          </w:p>
        </w:tc>
        <w:tc>
          <w:tcPr>
            <w:tcW w:type="dxa" w:w="7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No</w:t>
            </w:r>
          </w:p>
        </w:tc>
        <w:tc>
          <w:tcPr>
            <w:tcW w:type="dxa" w:w="209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Pending → relationship on confirm</w:t>
            </w:r>
          </w:p>
        </w:tc>
        <w:tc>
          <w:tcPr>
            <w:tcW w:type="dxa" w:w="16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Medium</w:t>
            </w:r>
          </w:p>
        </w:tc>
        <w:tc>
          <w:tcPr>
            <w:tcW w:type="dxa" w:w="24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Caregiver claims; parent confirms via their own channel</w:t>
            </w:r>
          </w:p>
        </w:tc>
      </w:tr>
      <w:tr>
        <w:tc>
          <w:tcPr>
            <w:tcW w:type="dxa" w:w="185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Caregiver-initiated — parent NOT a member</w:t>
            </w:r>
          </w:p>
        </w:tc>
        <w:tc>
          <w:tcPr>
            <w:tcW w:type="dxa" w:w="7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No</w:t>
            </w:r>
          </w:p>
        </w:tc>
        <w:tc>
          <w:tcPr>
            <w:tcW w:type="dxa" w:w="209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Self-declared Subject (+ later Helm sub)</w:t>
            </w:r>
          </w:p>
        </w:tc>
        <w:tc>
          <w:tcPr>
            <w:tcW w:type="dxa" w:w="16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Low → escalate</w:t>
            </w:r>
          </w:p>
        </w:tc>
        <w:tc>
          <w:tcPr>
            <w:tcW w:type="dxa" w:w="24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Self-asserted; escalate to consent if PHI actions arise</w:t>
            </w:r>
          </w:p>
        </w:tc>
      </w:tr>
      <w:tr>
        <w:tc>
          <w:tcPr>
            <w:tcW w:type="dxa" w:w="185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Non-member Helm subscriber</w:t>
            </w:r>
          </w:p>
        </w:tc>
        <w:tc>
          <w:tcPr>
            <w:tcW w:type="dxa" w:w="7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No</w:t>
            </w:r>
          </w:p>
        </w:tc>
        <w:tc>
          <w:tcPr>
            <w:tcW w:type="dxa" w:w="209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262626"/>
                <w:sz w:val="20"/>
                <w:szCs w:val="20"/>
              </w:rPr>
              <w:t xml:space="preserve">Paid Helm subscription (+ Subject)</w:t>
            </w:r>
          </w:p>
        </w:tc>
        <w:tc>
          <w:tcPr>
            <w:tcW w:type="dxa" w:w="16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Medium</w:t>
            </w:r>
          </w:p>
        </w:tc>
        <w:tc>
          <w:tcPr>
            <w:tcW w:type="dxa" w:w="24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Email / phone verify + payment</w:t>
            </w:r>
          </w:p>
        </w:tc>
      </w:tr>
    </w:tbl>
    <w:p>
      <w:r>
        <w:br w:type="page"/>
      </w:r>
    </w:p>
    <w:p>
      <w:pPr>
        <w:pBdr>
          <w:bottom w:val="single" w:color="968694" w:sz="8" w:space="6"/>
        </w:pBdr>
        <w:spacing w:after="160" w:before="320"/>
      </w:pPr>
      <w:r>
        <w:rPr>
          <w:rFonts w:ascii="Poppins" w:cs="Poppins" w:eastAsia="Poppins" w:hAnsi="Poppins"/>
          <w:b/>
          <w:bCs/>
          <w:i w:val="false"/>
          <w:iCs w:val="false"/>
          <w:color w:val="230871"/>
          <w:sz w:val="44"/>
          <w:szCs w:val="44"/>
        </w:rPr>
        <w:t xml:space="preserve">5.  The experience that falls out</w:t>
      </w:r>
    </w:p>
    <w:p>
      <w:pPr>
        <w:spacing w:after="80" w:before="180"/>
      </w:pPr>
      <w:r>
        <w:rPr>
          <w:rFonts w:ascii="Poppins" w:cs="Poppins" w:eastAsia="Poppins" w:hAnsi="Poppins"/>
          <w:b/>
          <w:bCs/>
          <w:i w:val="false"/>
          <w:iCs w:val="false"/>
          <w:color w:val="230871"/>
          <w:sz w:val="26"/>
          <w:szCs w:val="26"/>
        </w:rPr>
        <w:t xml:space="preserve">Login</w:t>
      </w:r>
    </w:p>
    <w:p>
      <w:pPr>
        <w:spacing w:after="120" w:line="276" w:lineRule="auto"/>
      </w:pPr>
      <w:r>
        <w:rPr>
          <w:rFonts w:ascii="Open Sans" w:cs="Open Sans" w:eastAsia="Open Sans" w:hAnsi="Open Sans"/>
          <w:b w:val="false"/>
          <w:bCs w:val="false"/>
          <w:i w:val="false"/>
          <w:iCs w:val="false"/>
          <w:color w:val="262626"/>
          <w:sz w:val="22"/>
          <w:szCs w:val="22"/>
        </w:rPr>
        <w:t xml:space="preserve">Email or phone as the primary identifier, ideally with passwordless OTP and Apple / Google SSO for the younger caregiver segment. One account, multiple Subjects, with a “who are you acting for” switcher (self / Mom / Dad) driven by entitlements — the multi-loved-one pattern the category has already trained people to expect.</w:t>
      </w:r>
    </w:p>
    <w:p>
      <w:pPr>
        <w:spacing w:after="120" w:line="276" w:lineRule="auto"/>
      </w:pPr>
      <w:r>
        <w:rPr>
          <w:rFonts w:ascii="Open Sans" w:cs="Open Sans" w:eastAsia="Open Sans" w:hAnsi="Open Sans"/>
          <w:b w:val="false"/>
          <w:bCs w:val="false"/>
          <w:i w:val="false"/>
          <w:iCs w:val="false"/>
          <w:color w:val="262626"/>
          <w:sz w:val="22"/>
          <w:szCs w:val="22"/>
        </w:rPr>
        <w:t xml:space="preserve">For the existing 2M, migrate gently: on next login, prompt them to add an email, and their memberID-based account quietly becomes an </w:t>
      </w:r>
      <w:r>
        <w:rPr>
          <w:rFonts w:ascii="Open Sans" w:cs="Open Sans" w:eastAsia="Open Sans" w:hAnsi="Open Sans"/>
          <w:b/>
          <w:bCs/>
          <w:i w:val="false"/>
          <w:iCs w:val="false"/>
          <w:color w:val="230871"/>
          <w:sz w:val="22"/>
          <w:szCs w:val="22"/>
        </w:rPr>
        <w:t xml:space="preserve">Account-with-plan-entitlement</w:t>
      </w:r>
      <w:r>
        <w:rPr>
          <w:rFonts w:ascii="Open Sans" w:cs="Open Sans" w:eastAsia="Open Sans" w:hAnsi="Open Sans"/>
          <w:b w:val="false"/>
          <w:bCs w:val="false"/>
          <w:i w:val="false"/>
          <w:iCs w:val="false"/>
          <w:color w:val="262626"/>
          <w:sz w:val="22"/>
          <w:szCs w:val="22"/>
        </w:rPr>
        <w:t xml:space="preserve">. Do not strand them on memberID.</w:t>
      </w:r>
    </w:p>
    <w:p>
      <w:pPr>
        <w:spacing w:after="80" w:before="180"/>
      </w:pPr>
      <w:r>
        <w:rPr>
          <w:rFonts w:ascii="Poppins" w:cs="Poppins" w:eastAsia="Poppins" w:hAnsi="Poppins"/>
          <w:b/>
          <w:bCs/>
          <w:i w:val="false"/>
          <w:iCs w:val="false"/>
          <w:color w:val="230871"/>
          <w:sz w:val="26"/>
          <w:szCs w:val="26"/>
        </w:rPr>
        <w:t xml:space="preserve">Two failure modes to design against</w:t>
      </w:r>
    </w:p>
    <w:p>
      <w:pPr>
        <w:spacing w:after="120" w:line="276" w:lineRule="auto"/>
      </w:pPr>
      <w:r>
        <w:rPr>
          <w:rFonts w:ascii="Open Sans" w:cs="Open Sans" w:eastAsia="Open Sans" w:hAnsi="Open Sans"/>
          <w:b/>
          <w:bCs/>
          <w:i w:val="false"/>
          <w:iCs w:val="false"/>
          <w:color w:val="E64B38"/>
          <w:sz w:val="22"/>
          <w:szCs w:val="22"/>
        </w:rPr>
        <w:t xml:space="preserve">Proxy fraud. </w:t>
      </w:r>
      <w:r>
        <w:rPr>
          <w:rFonts w:ascii="Open Sans" w:cs="Open Sans" w:eastAsia="Open Sans" w:hAnsi="Open Sans"/>
          <w:b w:val="false"/>
          <w:bCs w:val="false"/>
          <w:i w:val="false"/>
          <w:iCs w:val="false"/>
          <w:color w:val="262626"/>
          <w:sz w:val="22"/>
          <w:szCs w:val="22"/>
        </w:rPr>
        <w:t xml:space="preserve">Someone claiming authority over a vulnerable senior is the scariest thing in this system. This is exactly why caregiver-initiated links require the </w:t>
      </w:r>
      <w:r>
        <w:rPr>
          <w:rFonts w:ascii="Open Sans" w:cs="Open Sans" w:eastAsia="Open Sans" w:hAnsi="Open Sans"/>
          <w:b/>
          <w:bCs/>
          <w:i w:val="false"/>
          <w:iCs w:val="false"/>
          <w:color w:val="262626"/>
          <w:sz w:val="22"/>
          <w:szCs w:val="22"/>
        </w:rPr>
        <w:t xml:space="preserve">Subject to confirm</w:t>
      </w:r>
      <w:r>
        <w:rPr>
          <w:rFonts w:ascii="Open Sans" w:cs="Open Sans" w:eastAsia="Open Sans" w:hAnsi="Open Sans"/>
          <w:b w:val="false"/>
          <w:bCs w:val="false"/>
          <w:i w:val="false"/>
          <w:iCs w:val="false"/>
          <w:color w:val="262626"/>
          <w:sz w:val="22"/>
          <w:szCs w:val="22"/>
        </w:rPr>
        <w:t xml:space="preserve">, and why PHI-level AR access requires real identity proofing — not just an invite token.</w:t>
      </w:r>
    </w:p>
    <w:p>
      <w:pPr>
        <w:spacing w:after="120" w:line="276" w:lineRule="auto"/>
      </w:pPr>
      <w:r>
        <w:rPr>
          <w:rFonts w:ascii="Open Sans" w:cs="Open Sans" w:eastAsia="Open Sans" w:hAnsi="Open Sans"/>
          <w:b/>
          <w:bCs/>
          <w:i w:val="false"/>
          <w:iCs w:val="false"/>
          <w:color w:val="E64B38"/>
          <w:sz w:val="22"/>
          <w:szCs w:val="22"/>
        </w:rPr>
        <w:t xml:space="preserve">The Subject who never logs in. </w:t>
      </w:r>
      <w:r>
        <w:rPr>
          <w:rFonts w:ascii="Open Sans" w:cs="Open Sans" w:eastAsia="Open Sans" w:hAnsi="Open Sans"/>
          <w:b w:val="false"/>
          <w:bCs w:val="false"/>
          <w:i w:val="false"/>
          <w:iCs w:val="false"/>
          <w:color w:val="262626"/>
          <w:sz w:val="22"/>
          <w:szCs w:val="22"/>
        </w:rPr>
        <w:t xml:space="preserve">Common, and fine. Capture AR consent through an alternate channel — signed form, mailed code, phone confirmation — rather than an in-app tap.</w:t>
      </w:r>
    </w:p>
    <w:p>
      <w:pPr>
        <w:pBdr>
          <w:bottom w:val="single" w:color="968694" w:sz="8" w:space="6"/>
        </w:pBdr>
        <w:spacing w:after="160" w:before="320"/>
      </w:pPr>
      <w:r>
        <w:rPr>
          <w:rFonts w:ascii="Poppins" w:cs="Poppins" w:eastAsia="Poppins" w:hAnsi="Poppins"/>
          <w:b/>
          <w:bCs/>
          <w:i w:val="false"/>
          <w:iCs w:val="false"/>
          <w:color w:val="230871"/>
          <w:sz w:val="44"/>
          <w:szCs w:val="44"/>
        </w:rPr>
        <w:t xml:space="preserve">6.  Why the foundation is the revenue model</w:t>
      </w:r>
    </w:p>
    <w:p>
      <w:pPr>
        <w:spacing w:after="120" w:line="276" w:lineRule="auto"/>
      </w:pPr>
      <w:r>
        <w:rPr>
          <w:rFonts w:ascii="Open Sans" w:cs="Open Sans" w:eastAsia="Open Sans" w:hAnsi="Open Sans"/>
          <w:b w:val="false"/>
          <w:bCs w:val="false"/>
          <w:i w:val="false"/>
          <w:iCs w:val="false"/>
          <w:color w:val="262626"/>
          <w:sz w:val="22"/>
          <w:szCs w:val="22"/>
        </w:rPr>
        <w:t xml:space="preserve">Because Account ≠ Plan, the entitlement layer doubles as the </w:t>
      </w:r>
      <w:r>
        <w:rPr>
          <w:rFonts w:ascii="Open Sans" w:cs="Open Sans" w:eastAsia="Open Sans" w:hAnsi="Open Sans"/>
          <w:b/>
          <w:bCs/>
          <w:i w:val="false"/>
          <w:iCs w:val="false"/>
          <w:color w:val="230871"/>
          <w:sz w:val="22"/>
          <w:szCs w:val="22"/>
        </w:rPr>
        <w:t xml:space="preserve">packaging and billing layer</w:t>
      </w:r>
      <w:r>
        <w:rPr>
          <w:rFonts w:ascii="Open Sans" w:cs="Open Sans" w:eastAsia="Open Sans" w:hAnsi="Open Sans"/>
          <w:b w:val="false"/>
          <w:bCs w:val="false"/>
          <w:i w:val="false"/>
          <w:iCs w:val="false"/>
          <w:color w:val="262626"/>
          <w:sz w:val="22"/>
          <w:szCs w:val="22"/>
        </w:rPr>
        <w:t xml:space="preserve">. Helm becomes sellable to three distinct buyers — on the same rails.</w:t>
      </w:r>
    </w:p>
    <w:p>
      <w:pPr>
        <w:spacing w:after="40"/>
      </w:pPr>
      <w:r>
        <w:rPr>
          <w:rFonts w:ascii="Open Sans" w:cs="Open Sans" w:eastAsia="Open Sans" w:hAnsi="Open Sans"/>
          <w:b w:val="false"/>
          <w:bCs w:val="false"/>
          <w:i w:val="false"/>
          <w:iCs w:val="false"/>
          <w:color w:val="262626"/>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540"/>
      </w:tblGrid>
      <w:tr>
        <w:trPr>
          <w:tblHeader/>
        </w:trPr>
        <w:tc>
          <w:tcPr>
            <w:tcW w:type="dxa" w:w="21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Buyer</w:t>
            </w:r>
          </w:p>
        </w:tc>
        <w:tc>
          <w:tcPr>
            <w:tcW w:type="dxa" w:w="300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Relationship to MASA</w:t>
            </w:r>
          </w:p>
        </w:tc>
        <w:tc>
          <w:tcPr>
            <w:tcW w:type="dxa" w:w="3540"/>
            <w:tcBorders>
              <w:top w:val="single" w:color="D9D4DC" w:sz="2"/>
              <w:left w:val="single" w:color="D9D4DC" w:sz="2"/>
              <w:bottom w:val="single" w:color="D9D4DC" w:sz="2"/>
              <w:right w:val="single" w:color="D9D4DC" w:sz="2"/>
            </w:tcBorders>
            <w:shd w:fill="230871" w:color="auto" w:val="clear"/>
            <w:tcMar>
              <w:top w:type="dxa" w:w="70"/>
              <w:left w:type="dxa" w:w="110"/>
              <w:bottom w:type="dxa" w:w="70"/>
              <w:right w:type="dxa" w:w="110"/>
            </w:tcMar>
            <w:vAlign w:val="center"/>
          </w:tcPr>
          <w:p>
            <w:pPr>
              <w:spacing w:after="0" w:line="252" w:lineRule="auto"/>
              <w:jc w:val="left"/>
            </w:pPr>
            <w:r>
              <w:rPr>
                <w:rFonts w:ascii="Poppins" w:cs="Poppins" w:eastAsia="Poppins" w:hAnsi="Poppins"/>
                <w:b/>
                <w:bCs/>
                <w:i w:val="false"/>
                <w:iCs w:val="false"/>
                <w:color w:val="FFFFFF"/>
                <w:sz w:val="20"/>
                <w:szCs w:val="20"/>
              </w:rPr>
              <w:t xml:space="preserve">Helm as revenue</w:t>
            </w:r>
          </w:p>
        </w:tc>
      </w:tr>
      <w:tr>
        <w:tc>
          <w:tcPr>
            <w:tcW w:type="dxa" w:w="21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Existing plan member</w:t>
            </w:r>
          </w:p>
        </w:tc>
        <w:tc>
          <w:tcPr>
            <w:tcW w:type="dxa" w:w="30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Holds a MASA plan</w:t>
            </w:r>
          </w:p>
        </w:tc>
        <w:tc>
          <w:tcPr>
            <w:tcW w:type="dxa" w:w="35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Bundle into the plan, or upsell as an add-on</w:t>
            </w:r>
          </w:p>
        </w:tc>
      </w:tr>
      <w:tr>
        <w:tc>
          <w:tcPr>
            <w:tcW w:type="dxa" w:w="21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Caregiver of a member</w:t>
            </w:r>
          </w:p>
        </w:tc>
        <w:tc>
          <w:tcPr>
            <w:tcW w:type="dxa" w:w="300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Authorized Rep; no plan of their own</w:t>
            </w:r>
          </w:p>
        </w:tc>
        <w:tc>
          <w:tcPr>
            <w:tcW w:type="dxa" w:w="3540"/>
            <w:tcBorders>
              <w:top w:val="single" w:color="D9D4DC" w:sz="2"/>
              <w:left w:val="single" w:color="D9D4DC" w:sz="2"/>
              <w:bottom w:val="single" w:color="D9D4DC" w:sz="2"/>
              <w:right w:val="single" w:color="D9D4DC" w:sz="2"/>
            </w:tcBorders>
            <w:shd w:fill="F4F2F6"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The AR pays for Helm to coordinate the member’s care (Mom is the member; Kevin is the payer)</w:t>
            </w:r>
          </w:p>
        </w:tc>
      </w:tr>
      <w:tr>
        <w:tc>
          <w:tcPr>
            <w:tcW w:type="dxa" w:w="21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Pure non-member</w:t>
            </w:r>
          </w:p>
        </w:tc>
        <w:tc>
          <w:tcPr>
            <w:tcW w:type="dxa" w:w="300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val="false"/>
                <w:bCs w:val="false"/>
                <w:i w:val="false"/>
                <w:iCs w:val="false"/>
                <w:color w:val="262626"/>
                <w:sz w:val="20"/>
                <w:szCs w:val="20"/>
              </w:rPr>
              <w:t xml:space="preserve">No plan, no member tie</w:t>
            </w:r>
          </w:p>
        </w:tc>
        <w:tc>
          <w:tcPr>
            <w:tcW w:type="dxa" w:w="3540"/>
            <w:tcBorders>
              <w:top w:val="single" w:color="D9D4DC" w:sz="2"/>
              <w:left w:val="single" w:color="D9D4DC" w:sz="2"/>
              <w:bottom w:val="single" w:color="D9D4DC" w:sz="2"/>
              <w:right w:val="single" w:color="D9D4DC" w:sz="2"/>
            </w:tcBorders>
            <w:shd w:fill="FFFFFF" w:color="auto" w:val="clear"/>
            <w:tcMar>
              <w:top w:type="dxa" w:w="70"/>
              <w:left w:type="dxa" w:w="110"/>
              <w:bottom w:type="dxa" w:w="70"/>
              <w:right w:type="dxa" w:w="110"/>
            </w:tcMar>
            <w:vAlign w:val="center"/>
          </w:tcPr>
          <w:p>
            <w:pPr>
              <w:spacing w:after="0" w:line="252" w:lineRule="auto"/>
              <w:jc w:val="left"/>
            </w:pPr>
            <w:r>
              <w:rPr>
                <w:rFonts w:ascii="Open Sans" w:cs="Open Sans" w:eastAsia="Open Sans" w:hAnsi="Open Sans"/>
                <w:b/>
                <w:bCs/>
                <w:i w:val="false"/>
                <w:iCs w:val="false"/>
                <w:color w:val="0071CE"/>
                <w:sz w:val="20"/>
                <w:szCs w:val="20"/>
              </w:rPr>
              <w:t xml:space="preserve">Standalone Helm subscription — TAM expansion past the 2M</w:t>
            </w:r>
          </w:p>
        </w:tc>
      </w:tr>
    </w:tbl>
    <w:p>
      <w:pPr>
        <w:spacing w:after="60"/>
      </w:pPr>
      <w:r>
        <w:rPr>
          <w:rFonts w:ascii="Open Sans" w:cs="Open Sans" w:eastAsia="Open Sans" w:hAnsi="Open Sans"/>
          <w:b w:val="false"/>
          <w:bCs w:val="false"/>
          <w:i w:val="false"/>
          <w:iCs w:val="false"/>
          <w:color w:val="262626"/>
          <w:sz w:val="22"/>
          <w:szCs w:val="22"/>
        </w:rPr>
        <w:t xml:space="preserve"/>
      </w:r>
    </w:p>
    <w:p>
      <w:pPr>
        <w:spacing w:after="120" w:line="276" w:lineRule="auto"/>
      </w:pPr>
      <w:r>
        <w:rPr>
          <w:rFonts w:ascii="Open Sans" w:cs="Open Sans" w:eastAsia="Open Sans" w:hAnsi="Open Sans"/>
          <w:b w:val="false"/>
          <w:bCs w:val="false"/>
          <w:i w:val="false"/>
          <w:iCs w:val="false"/>
          <w:color w:val="262626"/>
          <w:sz w:val="22"/>
          <w:szCs w:val="22"/>
        </w:rPr>
        <w:t xml:space="preserve">Funding resolves the same way: </w:t>
      </w:r>
      <w:r>
        <w:rPr>
          <w:rFonts w:ascii="Open Sans" w:cs="Open Sans" w:eastAsia="Open Sans" w:hAnsi="Open Sans"/>
          <w:b/>
          <w:bCs/>
          <w:i w:val="false"/>
          <w:iCs w:val="false"/>
          <w:color w:val="230871"/>
          <w:sz w:val="22"/>
          <w:szCs w:val="22"/>
        </w:rPr>
        <w:t xml:space="preserve">funding is just another entitlement type</w:t>
      </w:r>
      <w:r>
        <w:rPr>
          <w:rFonts w:ascii="Open Sans" w:cs="Open Sans" w:eastAsia="Open Sans" w:hAnsi="Open Sans"/>
          <w:b w:val="false"/>
          <w:bCs w:val="false"/>
          <w:i w:val="false"/>
          <w:iCs w:val="false"/>
          <w:color w:val="262626"/>
          <w:sz w:val="22"/>
          <w:szCs w:val="22"/>
        </w:rPr>
        <w:t xml:space="preserve">. A plan member’s ride is covered by a benefit entitlement from the plan; a non-member subscriber’s ride is covered by a purchased entitlement (or paid out of pocket). Same orchestration engine, different funding grant — the “MASA owns the funding layer” idea from the boundary model, now expressed as data.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E0F0FB" w:sz="2"/>
              <w:left w:val="single" w:color="0071CE" w:sz="32"/>
              <w:bottom w:val="single" w:color="E0F0FB" w:sz="2"/>
              <w:right w:val="single" w:color="E0F0FB" w:sz="2"/>
            </w:tcBorders>
            <w:shd w:fill="E0F0FB" w:color="auto" w:val="clear"/>
            <w:tcMar>
              <w:top w:type="dxa" w:w="120"/>
              <w:left w:type="dxa" w:w="200"/>
              <w:bottom w:type="dxa" w:w="120"/>
              <w:right w:type="dxa" w:w="160"/>
            </w:tcMar>
          </w:tcPr>
          <w:p>
            <w:pPr>
              <w:spacing w:after="60"/>
            </w:pPr>
            <w:r>
              <w:rPr>
                <w:rFonts w:ascii="Poppins" w:cs="Poppins" w:eastAsia="Poppins" w:hAnsi="Poppins"/>
                <w:b/>
                <w:bCs/>
                <w:i w:val="false"/>
                <w:iCs w:val="false"/>
                <w:color w:val="230871"/>
                <w:sz w:val="22"/>
                <w:szCs w:val="22"/>
              </w:rPr>
              <w:t xml:space="preserve">The strategic clincher</w:t>
            </w:r>
          </w:p>
          <w:p>
            <w:pPr>
              <w:spacing w:after="0" w:line="264" w:lineRule="auto"/>
            </w:pPr>
            <w:r>
              <w:rPr>
                <w:rFonts w:ascii="Open Sans" w:cs="Open Sans" w:eastAsia="Open Sans" w:hAnsi="Open Sans"/>
                <w:b w:val="false"/>
                <w:bCs w:val="false"/>
                <w:i w:val="false"/>
                <w:iCs w:val="false"/>
                <w:color w:val="262626"/>
                <w:sz w:val="21"/>
                <w:szCs w:val="21"/>
              </w:rPr>
              <w:t xml:space="preserve">Plan-gated identity caps the addressable audience at plan members and the PII that can be matched against a roster. The caregiver-acquisition thesis — the 35–54 adult child who may </w:t>
            </w:r>
            <w:r>
              <w:rPr>
                <w:rFonts w:ascii="Open Sans" w:cs="Open Sans" w:eastAsia="Open Sans" w:hAnsi="Open Sans"/>
                <w:b w:val="false"/>
                <w:bCs w:val="false"/>
                <w:i/>
                <w:iCs/>
                <w:color w:val="262626"/>
                <w:sz w:val="21"/>
                <w:szCs w:val="21"/>
              </w:rPr>
              <w:t xml:space="preserve">never</w:t>
            </w:r>
            <w:r>
              <w:rPr>
                <w:rFonts w:ascii="Open Sans" w:cs="Open Sans" w:eastAsia="Open Sans" w:hAnsi="Open Sans"/>
                <w:b w:val="false"/>
                <w:bCs w:val="false"/>
                <w:i w:val="false"/>
                <w:iCs w:val="false"/>
                <w:color w:val="262626"/>
                <w:sz w:val="21"/>
                <w:szCs w:val="21"/>
              </w:rPr>
              <w:t xml:space="preserve"> be a plan member — only works if the architecture lets that person hold a real, direct relationship with MASA without a plan behind it. Get this decoupling right once, and every later move (caregiver acquisition, the Helm subscription, non-member NEMT) is a new </w:t>
            </w:r>
            <w:r>
              <w:rPr>
                <w:rFonts w:ascii="Open Sans" w:cs="Open Sans" w:eastAsia="Open Sans" w:hAnsi="Open Sans"/>
                <w:b/>
                <w:bCs/>
                <w:i w:val="false"/>
                <w:iCs w:val="false"/>
                <w:color w:val="230871"/>
                <w:sz w:val="21"/>
                <w:szCs w:val="21"/>
              </w:rPr>
              <w:t xml:space="preserve">entitlement type</w:t>
            </w:r>
            <w:r>
              <w:rPr>
                <w:rFonts w:ascii="Open Sans" w:cs="Open Sans" w:eastAsia="Open Sans" w:hAnsi="Open Sans"/>
                <w:b w:val="false"/>
                <w:bCs w:val="false"/>
                <w:i w:val="false"/>
                <w:iCs w:val="false"/>
                <w:color w:val="262626"/>
                <w:sz w:val="21"/>
                <w:szCs w:val="21"/>
              </w:rPr>
              <w:t xml:space="preserve"> rather than a re-architecture.</w:t>
            </w:r>
          </w:p>
        </w:tc>
      </w:tr>
    </w:tbl>
    <w:p>
      <w:pPr>
        <w:pBdr>
          <w:bottom w:val="single" w:color="968694" w:sz="8" w:space="6"/>
        </w:pBdr>
        <w:spacing w:after="160" w:before="320"/>
      </w:pPr>
      <w:r>
        <w:rPr>
          <w:rFonts w:ascii="Poppins" w:cs="Poppins" w:eastAsia="Poppins" w:hAnsi="Poppins"/>
          <w:b/>
          <w:bCs/>
          <w:i w:val="false"/>
          <w:iCs w:val="false"/>
          <w:color w:val="230871"/>
          <w:sz w:val="44"/>
          <w:szCs w:val="44"/>
        </w:rPr>
        <w:t xml:space="preserve">7.  What to lock</w:t>
      </w:r>
    </w:p>
    <w:p>
      <w:pPr>
        <w:pStyle w:val="ListParagraph"/>
        <w:numPr>
          <w:ilvl w:val="0"/>
          <w:numId w:val="3"/>
        </w:numPr>
        <w:spacing w:after="100" w:line="276" w:lineRule="auto"/>
      </w:pPr>
      <w:r>
        <w:rPr>
          <w:rFonts w:ascii="Open Sans" w:cs="Open Sans" w:eastAsia="Open Sans" w:hAnsi="Open Sans"/>
          <w:b/>
          <w:bCs/>
          <w:i w:val="false"/>
          <w:iCs w:val="false"/>
          <w:color w:val="262626"/>
          <w:sz w:val="22"/>
          <w:szCs w:val="22"/>
        </w:rPr>
        <w:t xml:space="preserve">The Account / Entitlement / Subject schema</w:t>
      </w:r>
      <w:r>
        <w:rPr>
          <w:rFonts w:ascii="Open Sans" w:cs="Open Sans" w:eastAsia="Open Sans" w:hAnsi="Open Sans"/>
          <w:b w:val="false"/>
          <w:bCs w:val="false"/>
          <w:i w:val="false"/>
          <w:iCs w:val="false"/>
          <w:color w:val="262626"/>
          <w:sz w:val="22"/>
          <w:szCs w:val="22"/>
        </w:rPr>
        <w:t xml:space="preserve"> — one account, many entitlements, entitlements point at Subjects.</w:t>
      </w:r>
    </w:p>
    <w:p>
      <w:pPr>
        <w:pStyle w:val="ListParagraph"/>
        <w:numPr>
          <w:ilvl w:val="0"/>
          <w:numId w:val="3"/>
        </w:numPr>
        <w:spacing w:after="100" w:line="276" w:lineRule="auto"/>
      </w:pPr>
      <w:r>
        <w:rPr>
          <w:rFonts w:ascii="Open Sans" w:cs="Open Sans" w:eastAsia="Open Sans" w:hAnsi="Open Sans"/>
          <w:b/>
          <w:bCs/>
          <w:i w:val="false"/>
          <w:iCs w:val="false"/>
          <w:color w:val="262626"/>
          <w:sz w:val="22"/>
          <w:szCs w:val="22"/>
        </w:rPr>
        <w:t xml:space="preserve">The entitlement taxonomy</w:t>
      </w:r>
      <w:r>
        <w:rPr>
          <w:rFonts w:ascii="Open Sans" w:cs="Open Sans" w:eastAsia="Open Sans" w:hAnsi="Open Sans"/>
          <w:b w:val="false"/>
          <w:bCs w:val="false"/>
          <w:i w:val="false"/>
          <w:iCs w:val="false"/>
          <w:color w:val="262626"/>
          <w:sz w:val="22"/>
          <w:szCs w:val="22"/>
        </w:rPr>
        <w:t xml:space="preserve"> — plan member, relationship (read-only), AR proxy, paid Helm subscription, benefit funding, purchased funding.</w:t>
      </w:r>
    </w:p>
    <w:p>
      <w:pPr>
        <w:pStyle w:val="ListParagraph"/>
        <w:numPr>
          <w:ilvl w:val="0"/>
          <w:numId w:val="3"/>
        </w:numPr>
        <w:spacing w:after="100" w:line="276" w:lineRule="auto"/>
      </w:pPr>
      <w:r>
        <w:rPr>
          <w:rFonts w:ascii="Open Sans" w:cs="Open Sans" w:eastAsia="Open Sans" w:hAnsi="Open Sans"/>
          <w:b/>
          <w:bCs/>
          <w:i w:val="false"/>
          <w:iCs w:val="false"/>
          <w:color w:val="262626"/>
          <w:sz w:val="22"/>
          <w:szCs w:val="22"/>
        </w:rPr>
        <w:t xml:space="preserve">Assurance tiers + verification method per entry path</w:t>
      </w:r>
      <w:r>
        <w:rPr>
          <w:rFonts w:ascii="Open Sans" w:cs="Open Sans" w:eastAsia="Open Sans" w:hAnsi="Open Sans"/>
          <w:b w:val="false"/>
          <w:bCs w:val="false"/>
          <w:i w:val="false"/>
          <w:iCs w:val="false"/>
          <w:color w:val="262626"/>
          <w:sz w:val="22"/>
          <w:szCs w:val="22"/>
        </w:rPr>
        <w:t xml:space="preserve"> — from the §4 table; proofing scales with sensitivity.</w:t>
      </w:r>
    </w:p>
    <w:p>
      <w:pPr>
        <w:pStyle w:val="ListParagraph"/>
        <w:numPr>
          <w:ilvl w:val="0"/>
          <w:numId w:val="3"/>
        </w:numPr>
        <w:spacing w:after="100" w:line="276" w:lineRule="auto"/>
      </w:pPr>
      <w:r>
        <w:rPr>
          <w:rFonts w:ascii="Open Sans" w:cs="Open Sans" w:eastAsia="Open Sans" w:hAnsi="Open Sans"/>
          <w:b/>
          <w:bCs/>
          <w:i w:val="false"/>
          <w:iCs w:val="false"/>
          <w:color w:val="262626"/>
          <w:sz w:val="22"/>
          <w:szCs w:val="22"/>
        </w:rPr>
        <w:t xml:space="preserve">The invite-and-onboard loop with a Subject-confirmation step</w:t>
      </w:r>
      <w:r>
        <w:rPr>
          <w:rFonts w:ascii="Open Sans" w:cs="Open Sans" w:eastAsia="Open Sans" w:hAnsi="Open Sans"/>
          <w:b w:val="false"/>
          <w:bCs w:val="false"/>
          <w:i w:val="false"/>
          <w:iCs w:val="false"/>
          <w:color w:val="262626"/>
          <w:sz w:val="22"/>
          <w:szCs w:val="22"/>
        </w:rPr>
        <w:t xml:space="preserve"> — the anti-fraud control for caregiver-initiated links.</w:t>
      </w:r>
    </w:p>
    <w:p>
      <w:pPr>
        <w:pStyle w:val="ListParagraph"/>
        <w:numPr>
          <w:ilvl w:val="0"/>
          <w:numId w:val="3"/>
        </w:numPr>
        <w:spacing w:after="100" w:line="276" w:lineRule="auto"/>
      </w:pPr>
      <w:r>
        <w:rPr>
          <w:rFonts w:ascii="Open Sans" w:cs="Open Sans" w:eastAsia="Open Sans" w:hAnsi="Open Sans"/>
          <w:b/>
          <w:bCs/>
          <w:i w:val="false"/>
          <w:iCs w:val="false"/>
          <w:color w:val="262626"/>
          <w:sz w:val="22"/>
          <w:szCs w:val="22"/>
        </w:rPr>
        <w:t xml:space="preserve">The migration path for the existing 2M</w:t>
      </w:r>
      <w:r>
        <w:rPr>
          <w:rFonts w:ascii="Open Sans" w:cs="Open Sans" w:eastAsia="Open Sans" w:hAnsi="Open Sans"/>
          <w:b w:val="false"/>
          <w:bCs w:val="false"/>
          <w:i w:val="false"/>
          <w:iCs w:val="false"/>
          <w:color w:val="262626"/>
          <w:sz w:val="22"/>
          <w:szCs w:val="22"/>
        </w:rPr>
        <w:t xml:space="preserve"> — memberID → Account-with-plan-entitlement; add email / phone on next login.</w:t>
      </w:r>
    </w:p>
    <w:p>
      <w:pPr>
        <w:pStyle w:val="ListParagraph"/>
        <w:numPr>
          <w:ilvl w:val="0"/>
          <w:numId w:val="3"/>
        </w:numPr>
        <w:spacing w:after="100" w:line="276" w:lineRule="auto"/>
      </w:pPr>
      <w:r>
        <w:rPr>
          <w:rFonts w:ascii="Open Sans" w:cs="Open Sans" w:eastAsia="Open Sans" w:hAnsi="Open Sans"/>
          <w:b/>
          <w:bCs/>
          <w:i w:val="false"/>
          <w:iCs w:val="false"/>
          <w:color w:val="262626"/>
          <w:sz w:val="22"/>
          <w:szCs w:val="22"/>
        </w:rPr>
        <w:t xml:space="preserve">Alternate-channel AR consent capture</w:t>
      </w:r>
      <w:r>
        <w:rPr>
          <w:rFonts w:ascii="Open Sans" w:cs="Open Sans" w:eastAsia="Open Sans" w:hAnsi="Open Sans"/>
          <w:b w:val="false"/>
          <w:bCs w:val="false"/>
          <w:i w:val="false"/>
          <w:iCs w:val="false"/>
          <w:color w:val="262626"/>
          <w:sz w:val="22"/>
          <w:szCs w:val="22"/>
        </w:rPr>
        <w:t xml:space="preserve"> — for Subjects who will never log in.</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8640"/>
      </w:tabs>
    </w:pPr>
    <w:r>
      <w:rPr>
        <w:rFonts w:ascii="Open Sans" w:cs="Open Sans" w:eastAsia="Open Sans" w:hAnsi="Open Sans"/>
        <w:b w:val="false"/>
        <w:bCs w:val="false"/>
        <w:i w:val="false"/>
        <w:iCs w:val="false"/>
        <w:color w:val="968694"/>
        <w:sz w:val="16"/>
        <w:szCs w:val="16"/>
      </w:rPr>
      <w:t xml:space="preserve">MASA Internal — Working Draft</w:t>
    </w:r>
    <w:r>
      <w:rPr>
        <w:rFonts w:ascii="Open Sans" w:cs="Open Sans" w:eastAsia="Open Sans" w:hAnsi="Open Sans"/>
      </w:rPr>
      <w:t xml:space="preserve">	</w:t>
    </w:r>
    <w:r>
      <w:rPr>
        <w:rFonts w:ascii="Open Sans" w:cs="Open Sans" w:eastAsia="Open Sans" w:hAnsi="Open Sans"/>
        <w:color w:val="968694"/>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0871" w:sz="6" w:space="4"/>
      </w:pBdr>
      <w:spacing w:after="60"/>
    </w:pPr>
    <w:r>
      <w:rPr>
        <w:rFonts w:ascii="Poppins" w:cs="Poppins" w:eastAsia="Poppins" w:hAnsi="Poppins"/>
        <w:b/>
        <w:bCs/>
        <w:i w:val="false"/>
        <w:iCs w:val="false"/>
        <w:color w:val="230871"/>
        <w:sz w:val="18"/>
        <w:szCs w:val="18"/>
      </w:rPr>
      <w:t xml:space="preserve">MASA  +</w:t>
    </w:r>
    <w:r>
      <w:rPr>
        <w:rFonts w:ascii="Open Sans" w:cs="Open Sans" w:eastAsia="Open Sans" w:hAnsi="Open Sans"/>
        <w:b w:val="false"/>
        <w:bCs w:val="false"/>
        <w:i w:val="false"/>
        <w:iCs w:val="false"/>
        <w:color w:val="968694"/>
        <w:sz w:val="15"/>
        <w:szCs w:val="15"/>
      </w:rPr>
      <w:t xml:space="preserve">   |   The Care Circle Foundation — Identity, Permissions &amp; Accounts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rPr>
        <w:b/>
        <w:bCs/>
        <w:color w:val="230871"/>
      </w:rPr>
    </w:lvl>
  </w:abstractNum>
  <w:abstractNum w:abstractNumId="3" w15:restartNumberingAfterBreak="0">
    <w:multiLevelType w:val="hybridMultilevel"/>
    <w:lvl w:ilvl="0" w15:tentative="1">
      <w:start w:val="1"/>
      <w:numFmt w:val="decimal"/>
      <w:lvlText w:val="%1."/>
      <w:lvlJc w:val="left"/>
      <w:pPr>
        <w:ind w:left="460" w:hanging="300"/>
      </w:pPr>
      <w:rPr>
        <w:b/>
        <w:bCs/>
        <w:color w:val="23087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2026-06-23T12:59:15.895Z</dcterms:created>
  <dcterms:modified xsi:type="dcterms:W3CDTF">2026-06-23T12:59:15.895Z</dcterms:modified>
</cp:coreProperties>
</file>

<file path=docProps/custom.xml><?xml version="1.0" encoding="utf-8"?>
<Properties xmlns="http://schemas.openxmlformats.org/officeDocument/2006/custom-properties" xmlns:vt="http://schemas.openxmlformats.org/officeDocument/2006/docPropsVTypes"/>
</file>