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75A19B43" w14:textId="77777777">
        <w:tblPrEx>
          <w:tblCellMar>
            <w:top w:w="0" w:type="dxa"/>
            <w:bottom w:w="0" w:type="dxa"/>
          </w:tblCellMar>
        </w:tblPrEx>
        <w:tc>
          <w:tcPr>
            <w:tcW w:w="8640" w:type="dxa"/>
            <w:shd w:val="clear" w:color="auto" w:fill="230871"/>
            <w:tcMar>
              <w:top w:w="360" w:type="dxa"/>
              <w:left w:w="260" w:type="dxa"/>
              <w:bottom w:w="360" w:type="dxa"/>
              <w:right w:w="260" w:type="dxa"/>
            </w:tcMar>
          </w:tcPr>
          <w:p w14:paraId="340050A7" w14:textId="77777777" w:rsidR="000B0AE6" w:rsidRDefault="00000000">
            <w:pPr>
              <w:spacing w:after="120"/>
            </w:pPr>
            <w:proofErr w:type="gramStart"/>
            <w:r>
              <w:rPr>
                <w:rFonts w:ascii="Poppins" w:eastAsia="Poppins" w:hAnsi="Poppins" w:cs="Poppins"/>
                <w:b/>
                <w:bCs/>
                <w:color w:val="FFFFFF"/>
                <w:sz w:val="30"/>
                <w:szCs w:val="30"/>
              </w:rPr>
              <w:t>MASA  +</w:t>
            </w:r>
            <w:proofErr w:type="gramEnd"/>
          </w:p>
          <w:p w14:paraId="0B22E39F" w14:textId="77777777" w:rsidR="000B0AE6" w:rsidRDefault="00000000">
            <w:pPr>
              <w:spacing w:after="60"/>
            </w:pPr>
            <w:r>
              <w:rPr>
                <w:rFonts w:ascii="Poppins" w:eastAsia="Poppins" w:hAnsi="Poppins" w:cs="Poppins"/>
                <w:b/>
                <w:bCs/>
                <w:color w:val="FFD040"/>
                <w:sz w:val="18"/>
                <w:szCs w:val="18"/>
              </w:rPr>
              <w:t>INTERNAL WORKING DOCUMENT</w:t>
            </w:r>
          </w:p>
          <w:p w14:paraId="54831324" w14:textId="77777777" w:rsidR="000B0AE6" w:rsidRDefault="00000000">
            <w:pPr>
              <w:spacing w:after="100"/>
            </w:pPr>
            <w:r>
              <w:rPr>
                <w:rFonts w:ascii="Poppins" w:eastAsia="Poppins" w:hAnsi="Poppins" w:cs="Poppins"/>
                <w:b/>
                <w:bCs/>
                <w:color w:val="FFFFFF"/>
                <w:sz w:val="52"/>
                <w:szCs w:val="52"/>
              </w:rPr>
              <w:t>The Member’s Agent</w:t>
            </w:r>
          </w:p>
          <w:p w14:paraId="438237C0" w14:textId="77777777" w:rsidR="000B0AE6" w:rsidRDefault="00000000">
            <w:r>
              <w:rPr>
                <w:rFonts w:ascii="Poppins" w:eastAsia="Poppins" w:hAnsi="Poppins" w:cs="Poppins"/>
                <w:b/>
                <w:bCs/>
                <w:color w:val="FFFFFF"/>
                <w:sz w:val="30"/>
                <w:szCs w:val="30"/>
              </w:rPr>
              <w:t>NEMT &amp; Care Circle Execution Model</w:t>
            </w:r>
          </w:p>
        </w:tc>
      </w:tr>
    </w:tbl>
    <w:p w14:paraId="53CE435D" w14:textId="77777777" w:rsidR="000B0AE6" w:rsidRDefault="000B0AE6">
      <w:pPr>
        <w:spacing w:after="200"/>
      </w:pPr>
    </w:p>
    <w:p w14:paraId="2AFB2186" w14:textId="77777777" w:rsidR="000B0AE6" w:rsidRDefault="00000000">
      <w:pPr>
        <w:spacing w:after="120" w:line="276" w:lineRule="auto"/>
      </w:pPr>
      <w:r>
        <w:rPr>
          <w:sz w:val="26"/>
          <w:szCs w:val="26"/>
        </w:rPr>
        <w:t>Filling the post-ER transport gap through orchestration and accountability — not supply. The strategic boundary that keeps MASA off the aggregator / fleet / software path, the Care Circle substrate, the phased NEMT build sequence, and five scenarios that show the model in motion.</w:t>
      </w:r>
    </w:p>
    <w:p w14:paraId="7F41EA3E" w14:textId="77777777" w:rsidR="000B0AE6" w:rsidRDefault="000B0AE6">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40"/>
      </w:tblGrid>
      <w:tr w:rsidR="000B0AE6" w14:paraId="7507499E" w14:textId="77777777">
        <w:tblPrEx>
          <w:tblCellMar>
            <w:top w:w="0" w:type="dxa"/>
            <w:bottom w:w="0" w:type="dxa"/>
          </w:tblCellMar>
        </w:tblPrEx>
        <w:tc>
          <w:tcPr>
            <w:tcW w:w="2200" w:type="dxa"/>
            <w:tcBorders>
              <w:top w:val="single" w:sz="2" w:space="0" w:color="D9D4DC"/>
              <w:left w:val="single" w:sz="2" w:space="0" w:color="D9D4DC"/>
              <w:bottom w:val="single" w:sz="2" w:space="0" w:color="D9D4DC"/>
              <w:right w:val="single" w:sz="2" w:space="0" w:color="D9D4DC"/>
            </w:tcBorders>
            <w:shd w:val="clear" w:color="auto" w:fill="E8E3E8"/>
            <w:tcMar>
              <w:top w:w="70" w:type="dxa"/>
              <w:left w:w="110" w:type="dxa"/>
              <w:bottom w:w="70" w:type="dxa"/>
              <w:right w:w="110" w:type="dxa"/>
            </w:tcMar>
            <w:vAlign w:val="center"/>
          </w:tcPr>
          <w:p w14:paraId="1EC44130" w14:textId="77777777" w:rsidR="000B0AE6" w:rsidRDefault="00000000">
            <w:pPr>
              <w:spacing w:line="252" w:lineRule="auto"/>
            </w:pPr>
            <w:r>
              <w:rPr>
                <w:b/>
                <w:bCs/>
                <w:color w:val="230871"/>
                <w:sz w:val="20"/>
                <w:szCs w:val="20"/>
              </w:rPr>
              <w:t>Prepared for</w:t>
            </w:r>
          </w:p>
        </w:tc>
        <w:tc>
          <w:tcPr>
            <w:tcW w:w="64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6A05A13B" w14:textId="77777777" w:rsidR="000B0AE6" w:rsidRDefault="00000000">
            <w:pPr>
              <w:spacing w:line="252" w:lineRule="auto"/>
            </w:pPr>
            <w:r>
              <w:rPr>
                <w:sz w:val="20"/>
                <w:szCs w:val="20"/>
              </w:rPr>
              <w:t>MASA Product Strategy — NEMT / Care Circle workstream</w:t>
            </w:r>
          </w:p>
        </w:tc>
      </w:tr>
      <w:tr w:rsidR="000B0AE6" w14:paraId="5AFB0CD9" w14:textId="77777777">
        <w:tblPrEx>
          <w:tblCellMar>
            <w:top w:w="0" w:type="dxa"/>
            <w:bottom w:w="0" w:type="dxa"/>
          </w:tblCellMar>
        </w:tblPrEx>
        <w:tc>
          <w:tcPr>
            <w:tcW w:w="2200" w:type="dxa"/>
            <w:tcBorders>
              <w:top w:val="single" w:sz="2" w:space="0" w:color="D9D4DC"/>
              <w:left w:val="single" w:sz="2" w:space="0" w:color="D9D4DC"/>
              <w:bottom w:val="single" w:sz="2" w:space="0" w:color="D9D4DC"/>
              <w:right w:val="single" w:sz="2" w:space="0" w:color="D9D4DC"/>
            </w:tcBorders>
            <w:shd w:val="clear" w:color="auto" w:fill="E8E3E8"/>
            <w:tcMar>
              <w:top w:w="70" w:type="dxa"/>
              <w:left w:w="110" w:type="dxa"/>
              <w:bottom w:w="70" w:type="dxa"/>
              <w:right w:w="110" w:type="dxa"/>
            </w:tcMar>
            <w:vAlign w:val="center"/>
          </w:tcPr>
          <w:p w14:paraId="33A035E6" w14:textId="77777777" w:rsidR="000B0AE6" w:rsidRDefault="00000000">
            <w:pPr>
              <w:spacing w:line="252" w:lineRule="auto"/>
            </w:pPr>
            <w:r>
              <w:rPr>
                <w:b/>
                <w:bCs/>
                <w:color w:val="230871"/>
                <w:sz w:val="20"/>
                <w:szCs w:val="20"/>
              </w:rPr>
              <w:t>Purpose</w:t>
            </w:r>
          </w:p>
        </w:tc>
        <w:tc>
          <w:tcPr>
            <w:tcW w:w="64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24408A01" w14:textId="77777777" w:rsidR="000B0AE6" w:rsidRDefault="00000000">
            <w:pPr>
              <w:spacing w:line="252" w:lineRule="auto"/>
            </w:pPr>
            <w:r>
              <w:rPr>
                <w:sz w:val="20"/>
                <w:szCs w:val="20"/>
              </w:rPr>
              <w:t>Codify the orchestration model and a tactical, phased execution plan</w:t>
            </w:r>
          </w:p>
        </w:tc>
      </w:tr>
      <w:tr w:rsidR="000B0AE6" w14:paraId="44B43CD4" w14:textId="77777777">
        <w:tblPrEx>
          <w:tblCellMar>
            <w:top w:w="0" w:type="dxa"/>
            <w:bottom w:w="0" w:type="dxa"/>
          </w:tblCellMar>
        </w:tblPrEx>
        <w:tc>
          <w:tcPr>
            <w:tcW w:w="2200" w:type="dxa"/>
            <w:tcBorders>
              <w:top w:val="single" w:sz="2" w:space="0" w:color="D9D4DC"/>
              <w:left w:val="single" w:sz="2" w:space="0" w:color="D9D4DC"/>
              <w:bottom w:val="single" w:sz="2" w:space="0" w:color="D9D4DC"/>
              <w:right w:val="single" w:sz="2" w:space="0" w:color="D9D4DC"/>
            </w:tcBorders>
            <w:shd w:val="clear" w:color="auto" w:fill="E8E3E8"/>
            <w:tcMar>
              <w:top w:w="70" w:type="dxa"/>
              <w:left w:w="110" w:type="dxa"/>
              <w:bottom w:w="70" w:type="dxa"/>
              <w:right w:w="110" w:type="dxa"/>
            </w:tcMar>
            <w:vAlign w:val="center"/>
          </w:tcPr>
          <w:p w14:paraId="6C28BB6B" w14:textId="77777777" w:rsidR="000B0AE6" w:rsidRDefault="00000000">
            <w:pPr>
              <w:spacing w:line="252" w:lineRule="auto"/>
            </w:pPr>
            <w:r>
              <w:rPr>
                <w:b/>
                <w:bCs/>
                <w:color w:val="230871"/>
                <w:sz w:val="20"/>
                <w:szCs w:val="20"/>
              </w:rPr>
              <w:t>Status</w:t>
            </w:r>
          </w:p>
        </w:tc>
        <w:tc>
          <w:tcPr>
            <w:tcW w:w="64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71AAE8DC" w14:textId="77777777" w:rsidR="000B0AE6" w:rsidRDefault="00000000">
            <w:pPr>
              <w:spacing w:line="252" w:lineRule="auto"/>
            </w:pPr>
            <w:r>
              <w:rPr>
                <w:sz w:val="20"/>
                <w:szCs w:val="20"/>
              </w:rPr>
              <w:t>Working draft for sequencing and build scoping</w:t>
            </w:r>
          </w:p>
        </w:tc>
      </w:tr>
      <w:tr w:rsidR="000B0AE6" w14:paraId="37541D32" w14:textId="77777777">
        <w:tblPrEx>
          <w:tblCellMar>
            <w:top w:w="0" w:type="dxa"/>
            <w:bottom w:w="0" w:type="dxa"/>
          </w:tblCellMar>
        </w:tblPrEx>
        <w:tc>
          <w:tcPr>
            <w:tcW w:w="2200" w:type="dxa"/>
            <w:tcBorders>
              <w:top w:val="single" w:sz="2" w:space="0" w:color="D9D4DC"/>
              <w:left w:val="single" w:sz="2" w:space="0" w:color="D9D4DC"/>
              <w:bottom w:val="single" w:sz="2" w:space="0" w:color="D9D4DC"/>
              <w:right w:val="single" w:sz="2" w:space="0" w:color="D9D4DC"/>
            </w:tcBorders>
            <w:shd w:val="clear" w:color="auto" w:fill="E8E3E8"/>
            <w:tcMar>
              <w:top w:w="70" w:type="dxa"/>
              <w:left w:w="110" w:type="dxa"/>
              <w:bottom w:w="70" w:type="dxa"/>
              <w:right w:w="110" w:type="dxa"/>
            </w:tcMar>
            <w:vAlign w:val="center"/>
          </w:tcPr>
          <w:p w14:paraId="518E6310" w14:textId="77777777" w:rsidR="000B0AE6" w:rsidRDefault="00000000">
            <w:pPr>
              <w:spacing w:line="252" w:lineRule="auto"/>
            </w:pPr>
            <w:r>
              <w:rPr>
                <w:b/>
                <w:bCs/>
                <w:color w:val="230871"/>
                <w:sz w:val="20"/>
                <w:szCs w:val="20"/>
              </w:rPr>
              <w:t>Relationship to prior work</w:t>
            </w:r>
          </w:p>
        </w:tc>
        <w:tc>
          <w:tcPr>
            <w:tcW w:w="64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5E7B32AE" w14:textId="77777777" w:rsidR="000B0AE6" w:rsidRDefault="00000000">
            <w:pPr>
              <w:spacing w:line="252" w:lineRule="auto"/>
            </w:pPr>
            <w:r>
              <w:rPr>
                <w:sz w:val="20"/>
                <w:szCs w:val="20"/>
              </w:rPr>
              <w:t>Builds on the Caregiver Acquisition Brief and the SAM Post-ER PRD (v1.0)</w:t>
            </w:r>
          </w:p>
        </w:tc>
      </w:tr>
    </w:tbl>
    <w:p w14:paraId="30F0D4CB" w14:textId="77777777" w:rsidR="000B0AE6" w:rsidRDefault="00000000">
      <w:r>
        <w:br w:type="page"/>
      </w:r>
    </w:p>
    <w:p w14:paraId="22202A1E" w14:textId="77777777" w:rsidR="000B0AE6" w:rsidRDefault="00000000">
      <w:pPr>
        <w:pBdr>
          <w:bottom w:val="single" w:sz="8" w:space="6" w:color="968694"/>
        </w:pBdr>
        <w:spacing w:before="320" w:after="160"/>
      </w:pPr>
      <w:r>
        <w:rPr>
          <w:rFonts w:ascii="Poppins" w:eastAsia="Poppins" w:hAnsi="Poppins" w:cs="Poppins"/>
          <w:b/>
          <w:bCs/>
          <w:color w:val="230871"/>
          <w:sz w:val="44"/>
          <w:szCs w:val="44"/>
        </w:rPr>
        <w:lastRenderedPageBreak/>
        <w:t>1.  The question this resolves</w:t>
      </w:r>
    </w:p>
    <w:p w14:paraId="46FC877B" w14:textId="77777777" w:rsidR="000B0AE6" w:rsidRDefault="00000000">
      <w:pPr>
        <w:spacing w:after="120" w:line="276" w:lineRule="auto"/>
      </w:pPr>
      <w:r>
        <w:t>MASA will build NEMT coordination capability either way. The strategic anxiety is not whether to do it, but how to do it without sliding into one of three roles MASA has explicitly ruled out: becoming a broker/aggregator (</w:t>
      </w:r>
      <w:proofErr w:type="spellStart"/>
      <w:r>
        <w:t>ModivCare</w:t>
      </w:r>
      <w:proofErr w:type="spellEnd"/>
      <w:r>
        <w:t>, MTM, Veyo), standing up a fleet of transport providers, or building dispatch software sold to operators.</w:t>
      </w:r>
    </w:p>
    <w:p w14:paraId="60E65791" w14:textId="77777777" w:rsidR="000B0AE6" w:rsidRDefault="00000000">
      <w:pPr>
        <w:spacing w:after="120" w:line="276" w:lineRule="auto"/>
      </w:pPr>
      <w:r>
        <w:t>This document resolves that tension. The short version: the gap MASA fills is not provider selection — it is orchestration and accountability, and that gap sits entirely on the demand side, on top of rented supply. MASA acts as the member’s agent. None of the three ruled-out roles are required to occupy it.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11A9B6E5" w14:textId="77777777">
        <w:tblPrEx>
          <w:tblCellMar>
            <w:top w:w="0" w:type="dxa"/>
            <w:bottom w:w="0" w:type="dxa"/>
          </w:tblCellMar>
        </w:tblPrEx>
        <w:tc>
          <w:tcPr>
            <w:tcW w:w="8640" w:type="dxa"/>
            <w:tcBorders>
              <w:top w:val="single" w:sz="2" w:space="0" w:color="E0F0FB"/>
              <w:left w:val="single" w:sz="32" w:space="0" w:color="0071CE"/>
              <w:bottom w:val="single" w:sz="2" w:space="0" w:color="E0F0FB"/>
              <w:right w:val="single" w:sz="2" w:space="0" w:color="E0F0FB"/>
            </w:tcBorders>
            <w:shd w:val="clear" w:color="auto" w:fill="E0F0FB"/>
            <w:tcMar>
              <w:top w:w="120" w:type="dxa"/>
              <w:left w:w="200" w:type="dxa"/>
              <w:bottom w:w="120" w:type="dxa"/>
              <w:right w:w="160" w:type="dxa"/>
            </w:tcMar>
          </w:tcPr>
          <w:p w14:paraId="7FBA465D" w14:textId="77777777" w:rsidR="000B0AE6" w:rsidRDefault="00000000">
            <w:pPr>
              <w:spacing w:after="60"/>
            </w:pPr>
            <w:r>
              <w:rPr>
                <w:rFonts w:ascii="Poppins" w:eastAsia="Poppins" w:hAnsi="Poppins" w:cs="Poppins"/>
                <w:b/>
                <w:bCs/>
                <w:color w:val="230871"/>
              </w:rPr>
              <w:t xml:space="preserve">The core </w:t>
            </w:r>
            <w:proofErr w:type="gramStart"/>
            <w:r>
              <w:rPr>
                <w:rFonts w:ascii="Poppins" w:eastAsia="Poppins" w:hAnsi="Poppins" w:cs="Poppins"/>
                <w:b/>
                <w:bCs/>
                <w:color w:val="230871"/>
              </w:rPr>
              <w:t>reframe</w:t>
            </w:r>
            <w:proofErr w:type="gramEnd"/>
          </w:p>
          <w:p w14:paraId="282A652F" w14:textId="77777777" w:rsidR="000B0AE6" w:rsidRDefault="00000000">
            <w:pPr>
              <w:spacing w:after="60" w:line="264" w:lineRule="auto"/>
            </w:pPr>
            <w:r>
              <w:rPr>
                <w:sz w:val="21"/>
                <w:szCs w:val="21"/>
              </w:rPr>
              <w:t xml:space="preserve">If you treat the member problem as </w:t>
            </w:r>
            <w:r>
              <w:rPr>
                <w:i/>
                <w:iCs/>
                <w:sz w:val="21"/>
                <w:szCs w:val="21"/>
              </w:rPr>
              <w:t>“they don’t get to choose their provider,”</w:t>
            </w:r>
            <w:r>
              <w:rPr>
                <w:sz w:val="21"/>
                <w:szCs w:val="21"/>
              </w:rPr>
              <w:t xml:space="preserve"> the only solution is a marketplace — and a marketplace is an aggregator. Chasing </w:t>
            </w:r>
            <w:r>
              <w:rPr>
                <w:b/>
                <w:bCs/>
                <w:color w:val="230871"/>
                <w:sz w:val="21"/>
                <w:szCs w:val="21"/>
              </w:rPr>
              <w:t>choice</w:t>
            </w:r>
            <w:r>
              <w:rPr>
                <w:sz w:val="21"/>
                <w:szCs w:val="21"/>
              </w:rPr>
              <w:t xml:space="preserve"> is the road that turns MASA into </w:t>
            </w:r>
            <w:proofErr w:type="spellStart"/>
            <w:r>
              <w:rPr>
                <w:sz w:val="21"/>
                <w:szCs w:val="21"/>
              </w:rPr>
              <w:t>ModivCare</w:t>
            </w:r>
            <w:proofErr w:type="spellEnd"/>
            <w:r>
              <w:rPr>
                <w:sz w:val="21"/>
                <w:szCs w:val="21"/>
              </w:rPr>
              <w:t xml:space="preserve"> with a nicer UI.</w:t>
            </w:r>
          </w:p>
          <w:p w14:paraId="7D78783D" w14:textId="77777777" w:rsidR="000B0AE6" w:rsidRDefault="00000000">
            <w:pPr>
              <w:spacing w:line="264" w:lineRule="auto"/>
            </w:pPr>
            <w:r>
              <w:rPr>
                <w:sz w:val="21"/>
                <w:szCs w:val="21"/>
              </w:rPr>
              <w:t xml:space="preserve">The real problem is </w:t>
            </w:r>
            <w:r>
              <w:rPr>
                <w:b/>
                <w:bCs/>
                <w:color w:val="230871"/>
                <w:sz w:val="21"/>
                <w:szCs w:val="21"/>
              </w:rPr>
              <w:t>accountability</w:t>
            </w:r>
            <w:r>
              <w:rPr>
                <w:sz w:val="21"/>
                <w:szCs w:val="21"/>
              </w:rPr>
              <w:t xml:space="preserve"> — someone to own the outcome. From the Caregiver Brief: </w:t>
            </w:r>
            <w:r>
              <w:rPr>
                <w:i/>
                <w:iCs/>
                <w:sz w:val="21"/>
                <w:szCs w:val="21"/>
              </w:rPr>
              <w:t>“I just want one number to call. One bill. One person who knows my mom’s situation and can make this work.”</w:t>
            </w:r>
            <w:r>
              <w:rPr>
                <w:sz w:val="21"/>
                <w:szCs w:val="21"/>
              </w:rPr>
              <w:t xml:space="preserve"> That is not a request for a comparison grid.</w:t>
            </w:r>
          </w:p>
        </w:tc>
      </w:tr>
    </w:tbl>
    <w:p w14:paraId="36DA370C" w14:textId="77777777" w:rsidR="000B0AE6" w:rsidRDefault="00000000">
      <w:pPr>
        <w:pBdr>
          <w:bottom w:val="single" w:sz="8" w:space="6" w:color="968694"/>
        </w:pBdr>
        <w:spacing w:before="320" w:after="160"/>
      </w:pPr>
      <w:r>
        <w:rPr>
          <w:rFonts w:ascii="Poppins" w:eastAsia="Poppins" w:hAnsi="Poppins" w:cs="Poppins"/>
          <w:b/>
          <w:bCs/>
          <w:color w:val="230871"/>
          <w:sz w:val="44"/>
          <w:szCs w:val="44"/>
        </w:rPr>
        <w:t>2.  What MASA is — and is not</w:t>
      </w:r>
    </w:p>
    <w:p w14:paraId="6C7EA89D" w14:textId="77777777" w:rsidR="000B0AE6" w:rsidRDefault="00000000">
      <w:pPr>
        <w:spacing w:after="120" w:line="276" w:lineRule="auto"/>
      </w:pPr>
      <w:r>
        <w:t>Read the value chain by layer. The three ruled-out roles all live in the supply or payer half of the chain. MASA operates only in the demand half. The line is clean and defensible.</w:t>
      </w:r>
    </w:p>
    <w:p w14:paraId="52178665" w14:textId="77777777" w:rsidR="000B0AE6" w:rsidRDefault="000B0AE6">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2940"/>
      </w:tblGrid>
      <w:tr w:rsidR="000B0AE6" w14:paraId="537AD529" w14:textId="77777777">
        <w:tblPrEx>
          <w:tblCellMar>
            <w:top w:w="0" w:type="dxa"/>
            <w:bottom w:w="0" w:type="dxa"/>
          </w:tblCellMar>
        </w:tblPrEx>
        <w:trPr>
          <w:tblHeader/>
        </w:trPr>
        <w:tc>
          <w:tcPr>
            <w:tcW w:w="2400" w:type="dxa"/>
            <w:tcBorders>
              <w:top w:val="single" w:sz="2" w:space="0" w:color="D9D4DC"/>
              <w:left w:val="single" w:sz="2" w:space="0" w:color="D9D4DC"/>
              <w:bottom w:val="single" w:sz="2" w:space="0" w:color="D9D4DC"/>
              <w:right w:val="single" w:sz="2" w:space="0" w:color="D9D4DC"/>
            </w:tcBorders>
            <w:shd w:val="clear" w:color="auto" w:fill="230871"/>
            <w:tcMar>
              <w:top w:w="70" w:type="dxa"/>
              <w:left w:w="110" w:type="dxa"/>
              <w:bottom w:w="70" w:type="dxa"/>
              <w:right w:w="110" w:type="dxa"/>
            </w:tcMar>
            <w:vAlign w:val="center"/>
          </w:tcPr>
          <w:p w14:paraId="6B8BB82A" w14:textId="77777777" w:rsidR="000B0AE6" w:rsidRDefault="00000000">
            <w:pPr>
              <w:spacing w:line="252" w:lineRule="auto"/>
            </w:pPr>
            <w:r>
              <w:rPr>
                <w:rFonts w:ascii="Poppins" w:eastAsia="Poppins" w:hAnsi="Poppins" w:cs="Poppins"/>
                <w:b/>
                <w:bCs/>
                <w:color w:val="FFFFFF"/>
                <w:sz w:val="20"/>
                <w:szCs w:val="20"/>
              </w:rPr>
              <w:t>Layer</w:t>
            </w:r>
          </w:p>
        </w:tc>
        <w:tc>
          <w:tcPr>
            <w:tcW w:w="3300" w:type="dxa"/>
            <w:tcBorders>
              <w:top w:val="single" w:sz="2" w:space="0" w:color="D9D4DC"/>
              <w:left w:val="single" w:sz="2" w:space="0" w:color="D9D4DC"/>
              <w:bottom w:val="single" w:sz="2" w:space="0" w:color="D9D4DC"/>
              <w:right w:val="single" w:sz="2" w:space="0" w:color="D9D4DC"/>
            </w:tcBorders>
            <w:shd w:val="clear" w:color="auto" w:fill="230871"/>
            <w:tcMar>
              <w:top w:w="70" w:type="dxa"/>
              <w:left w:w="110" w:type="dxa"/>
              <w:bottom w:w="70" w:type="dxa"/>
              <w:right w:w="110" w:type="dxa"/>
            </w:tcMar>
            <w:vAlign w:val="center"/>
          </w:tcPr>
          <w:p w14:paraId="6A251D8A" w14:textId="77777777" w:rsidR="000B0AE6" w:rsidRDefault="00000000">
            <w:pPr>
              <w:spacing w:line="252" w:lineRule="auto"/>
            </w:pPr>
            <w:r>
              <w:rPr>
                <w:rFonts w:ascii="Poppins" w:eastAsia="Poppins" w:hAnsi="Poppins" w:cs="Poppins"/>
                <w:b/>
                <w:bCs/>
                <w:color w:val="FFFFFF"/>
                <w:sz w:val="20"/>
                <w:szCs w:val="20"/>
              </w:rPr>
              <w:t>Who owns it</w:t>
            </w:r>
          </w:p>
        </w:tc>
        <w:tc>
          <w:tcPr>
            <w:tcW w:w="2940" w:type="dxa"/>
            <w:tcBorders>
              <w:top w:val="single" w:sz="2" w:space="0" w:color="D9D4DC"/>
              <w:left w:val="single" w:sz="2" w:space="0" w:color="D9D4DC"/>
              <w:bottom w:val="single" w:sz="2" w:space="0" w:color="D9D4DC"/>
              <w:right w:val="single" w:sz="2" w:space="0" w:color="D9D4DC"/>
            </w:tcBorders>
            <w:shd w:val="clear" w:color="auto" w:fill="230871"/>
            <w:tcMar>
              <w:top w:w="70" w:type="dxa"/>
              <w:left w:w="110" w:type="dxa"/>
              <w:bottom w:w="70" w:type="dxa"/>
              <w:right w:w="110" w:type="dxa"/>
            </w:tcMar>
            <w:vAlign w:val="center"/>
          </w:tcPr>
          <w:p w14:paraId="2CEB21C2" w14:textId="77777777" w:rsidR="000B0AE6" w:rsidRDefault="00000000">
            <w:pPr>
              <w:spacing w:line="252" w:lineRule="auto"/>
            </w:pPr>
            <w:r>
              <w:rPr>
                <w:rFonts w:ascii="Poppins" w:eastAsia="Poppins" w:hAnsi="Poppins" w:cs="Poppins"/>
                <w:b/>
                <w:bCs/>
                <w:color w:val="FFFFFF"/>
                <w:sz w:val="20"/>
                <w:szCs w:val="20"/>
              </w:rPr>
              <w:t>MASA’s position</w:t>
            </w:r>
          </w:p>
        </w:tc>
      </w:tr>
      <w:tr w:rsidR="000B0AE6" w14:paraId="2F2A1291" w14:textId="77777777">
        <w:tblPrEx>
          <w:tblCellMar>
            <w:top w:w="0" w:type="dxa"/>
            <w:bottom w:w="0" w:type="dxa"/>
          </w:tblCellMar>
        </w:tblPrEx>
        <w:tc>
          <w:tcPr>
            <w:tcW w:w="24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2A505CE3" w14:textId="77777777" w:rsidR="000B0AE6" w:rsidRDefault="00000000">
            <w:pPr>
              <w:spacing w:line="252" w:lineRule="auto"/>
            </w:pPr>
            <w:r>
              <w:rPr>
                <w:sz w:val="20"/>
                <w:szCs w:val="20"/>
              </w:rPr>
              <w:t>Vehicles &amp; drivers</w:t>
            </w:r>
          </w:p>
        </w:tc>
        <w:tc>
          <w:tcPr>
            <w:tcW w:w="33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680845E2" w14:textId="77777777" w:rsidR="000B0AE6" w:rsidRDefault="00000000">
            <w:pPr>
              <w:spacing w:line="252" w:lineRule="auto"/>
            </w:pPr>
            <w:r>
              <w:rPr>
                <w:sz w:val="20"/>
                <w:szCs w:val="20"/>
              </w:rPr>
              <w:t>Operators: Uber Health, contracted vendors</w:t>
            </w:r>
          </w:p>
        </w:tc>
        <w:tc>
          <w:tcPr>
            <w:tcW w:w="29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206DCBA4" w14:textId="77777777" w:rsidR="000B0AE6" w:rsidRDefault="00000000">
            <w:pPr>
              <w:spacing w:line="252" w:lineRule="auto"/>
            </w:pPr>
            <w:r>
              <w:rPr>
                <w:b/>
                <w:bCs/>
                <w:color w:val="230871"/>
                <w:sz w:val="20"/>
                <w:szCs w:val="20"/>
              </w:rPr>
              <w:t>Rents, never owns — not a fleet</w:t>
            </w:r>
          </w:p>
        </w:tc>
      </w:tr>
      <w:tr w:rsidR="000B0AE6" w14:paraId="75BF60BF" w14:textId="77777777">
        <w:tblPrEx>
          <w:tblCellMar>
            <w:top w:w="0" w:type="dxa"/>
            <w:bottom w:w="0" w:type="dxa"/>
          </w:tblCellMar>
        </w:tblPrEx>
        <w:tc>
          <w:tcPr>
            <w:tcW w:w="24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7C172328" w14:textId="77777777" w:rsidR="000B0AE6" w:rsidRDefault="00000000">
            <w:pPr>
              <w:spacing w:line="252" w:lineRule="auto"/>
            </w:pPr>
            <w:r>
              <w:rPr>
                <w:sz w:val="20"/>
                <w:szCs w:val="20"/>
              </w:rPr>
              <w:t>Payer risk contract &amp; network management</w:t>
            </w:r>
          </w:p>
        </w:tc>
        <w:tc>
          <w:tcPr>
            <w:tcW w:w="33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1EACB79C" w14:textId="77777777" w:rsidR="000B0AE6" w:rsidRDefault="00000000">
            <w:pPr>
              <w:spacing w:line="252" w:lineRule="auto"/>
            </w:pPr>
            <w:proofErr w:type="spellStart"/>
            <w:r>
              <w:rPr>
                <w:sz w:val="20"/>
                <w:szCs w:val="20"/>
              </w:rPr>
              <w:t>ModivCare</w:t>
            </w:r>
            <w:proofErr w:type="spellEnd"/>
            <w:r>
              <w:rPr>
                <w:sz w:val="20"/>
                <w:szCs w:val="20"/>
              </w:rPr>
              <w:t>, MTM, Veyo (Medicaid / MA)</w:t>
            </w:r>
          </w:p>
        </w:tc>
        <w:tc>
          <w:tcPr>
            <w:tcW w:w="294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630C9BBC" w14:textId="77777777" w:rsidR="000B0AE6" w:rsidRDefault="00000000">
            <w:pPr>
              <w:spacing w:line="252" w:lineRule="auto"/>
            </w:pPr>
            <w:r>
              <w:rPr>
                <w:b/>
                <w:bCs/>
                <w:color w:val="230871"/>
                <w:sz w:val="20"/>
                <w:szCs w:val="20"/>
              </w:rPr>
              <w:t>Not in this layer. Principal is the member, not the MCO — not an aggregator</w:t>
            </w:r>
          </w:p>
        </w:tc>
      </w:tr>
      <w:tr w:rsidR="000B0AE6" w14:paraId="2C52B55C" w14:textId="77777777">
        <w:tblPrEx>
          <w:tblCellMar>
            <w:top w:w="0" w:type="dxa"/>
            <w:bottom w:w="0" w:type="dxa"/>
          </w:tblCellMar>
        </w:tblPrEx>
        <w:tc>
          <w:tcPr>
            <w:tcW w:w="24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49EF7D57" w14:textId="77777777" w:rsidR="000B0AE6" w:rsidRDefault="00000000">
            <w:pPr>
              <w:spacing w:line="252" w:lineRule="auto"/>
            </w:pPr>
            <w:r>
              <w:rPr>
                <w:sz w:val="20"/>
                <w:szCs w:val="20"/>
              </w:rPr>
              <w:t>Dispatch SaaS sold to operators</w:t>
            </w:r>
          </w:p>
        </w:tc>
        <w:tc>
          <w:tcPr>
            <w:tcW w:w="33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03A8597C" w14:textId="77777777" w:rsidR="000B0AE6" w:rsidRDefault="00000000">
            <w:pPr>
              <w:spacing w:line="252" w:lineRule="auto"/>
            </w:pPr>
            <w:r>
              <w:rPr>
                <w:sz w:val="20"/>
                <w:szCs w:val="20"/>
              </w:rPr>
              <w:t xml:space="preserve">Kinetik, </w:t>
            </w:r>
            <w:proofErr w:type="spellStart"/>
            <w:r>
              <w:rPr>
                <w:sz w:val="20"/>
                <w:szCs w:val="20"/>
              </w:rPr>
              <w:t>RoundTrip</w:t>
            </w:r>
            <w:proofErr w:type="spellEnd"/>
          </w:p>
        </w:tc>
        <w:tc>
          <w:tcPr>
            <w:tcW w:w="29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6C7DAC95" w14:textId="77777777" w:rsidR="000B0AE6" w:rsidRDefault="00000000">
            <w:pPr>
              <w:spacing w:line="252" w:lineRule="auto"/>
            </w:pPr>
            <w:r>
              <w:rPr>
                <w:b/>
                <w:bCs/>
                <w:color w:val="230871"/>
                <w:sz w:val="20"/>
                <w:szCs w:val="20"/>
              </w:rPr>
              <w:t>Does not sell tools to operators — not a software vendor</w:t>
            </w:r>
          </w:p>
        </w:tc>
      </w:tr>
      <w:tr w:rsidR="000B0AE6" w14:paraId="0005CA34" w14:textId="77777777">
        <w:tblPrEx>
          <w:tblCellMar>
            <w:top w:w="0" w:type="dxa"/>
            <w:bottom w:w="0" w:type="dxa"/>
          </w:tblCellMar>
        </w:tblPrEx>
        <w:tc>
          <w:tcPr>
            <w:tcW w:w="240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7C044D2E" w14:textId="77777777" w:rsidR="000B0AE6" w:rsidRDefault="00000000">
            <w:pPr>
              <w:spacing w:line="252" w:lineRule="auto"/>
            </w:pPr>
            <w:r>
              <w:rPr>
                <w:sz w:val="20"/>
                <w:szCs w:val="20"/>
              </w:rPr>
              <w:lastRenderedPageBreak/>
              <w:t>Member relationship &amp; context</w:t>
            </w:r>
          </w:p>
        </w:tc>
        <w:tc>
          <w:tcPr>
            <w:tcW w:w="330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4C11D7D8" w14:textId="77777777" w:rsidR="000B0AE6" w:rsidRDefault="00000000">
            <w:pPr>
              <w:spacing w:line="252" w:lineRule="auto"/>
            </w:pPr>
            <w:r>
              <w:rPr>
                <w:sz w:val="20"/>
                <w:szCs w:val="20"/>
              </w:rPr>
              <w:t>MASA — policy, mobility profile, discharge docs, Care Circle</w:t>
            </w:r>
          </w:p>
        </w:tc>
        <w:tc>
          <w:tcPr>
            <w:tcW w:w="294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6392564E" w14:textId="77777777" w:rsidR="000B0AE6" w:rsidRDefault="00000000">
            <w:pPr>
              <w:spacing w:line="252" w:lineRule="auto"/>
            </w:pPr>
            <w:r>
              <w:rPr>
                <w:b/>
                <w:bCs/>
                <w:color w:val="0071CE"/>
                <w:sz w:val="20"/>
                <w:szCs w:val="20"/>
              </w:rPr>
              <w:t>Owns</w:t>
            </w:r>
          </w:p>
        </w:tc>
      </w:tr>
      <w:tr w:rsidR="000B0AE6" w14:paraId="01C4356C" w14:textId="77777777">
        <w:tblPrEx>
          <w:tblCellMar>
            <w:top w:w="0" w:type="dxa"/>
            <w:bottom w:w="0" w:type="dxa"/>
          </w:tblCellMar>
        </w:tblPrEx>
        <w:tc>
          <w:tcPr>
            <w:tcW w:w="240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792AD486" w14:textId="77777777" w:rsidR="000B0AE6" w:rsidRDefault="00000000">
            <w:pPr>
              <w:spacing w:line="252" w:lineRule="auto"/>
            </w:pPr>
            <w:r>
              <w:rPr>
                <w:sz w:val="20"/>
                <w:szCs w:val="20"/>
              </w:rPr>
              <w:t>Funding / benefit dollars</w:t>
            </w:r>
          </w:p>
        </w:tc>
        <w:tc>
          <w:tcPr>
            <w:tcW w:w="330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7B281C40" w14:textId="77777777" w:rsidR="000B0AE6" w:rsidRDefault="00000000">
            <w:pPr>
              <w:spacing w:line="252" w:lineRule="auto"/>
            </w:pPr>
            <w:r>
              <w:rPr>
                <w:sz w:val="20"/>
                <w:szCs w:val="20"/>
              </w:rPr>
              <w:t>MASA — applies coverage; the wallet</w:t>
            </w:r>
          </w:p>
        </w:tc>
        <w:tc>
          <w:tcPr>
            <w:tcW w:w="294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4CD0CFE4" w14:textId="77777777" w:rsidR="000B0AE6" w:rsidRDefault="00000000">
            <w:pPr>
              <w:spacing w:line="252" w:lineRule="auto"/>
            </w:pPr>
            <w:r>
              <w:rPr>
                <w:b/>
                <w:bCs/>
                <w:color w:val="0071CE"/>
                <w:sz w:val="20"/>
                <w:szCs w:val="20"/>
              </w:rPr>
              <w:t>Owns</w:t>
            </w:r>
          </w:p>
        </w:tc>
      </w:tr>
      <w:tr w:rsidR="000B0AE6" w14:paraId="1364C989" w14:textId="77777777">
        <w:tblPrEx>
          <w:tblCellMar>
            <w:top w:w="0" w:type="dxa"/>
            <w:bottom w:w="0" w:type="dxa"/>
          </w:tblCellMar>
        </w:tblPrEx>
        <w:tc>
          <w:tcPr>
            <w:tcW w:w="240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5F4230AC" w14:textId="77777777" w:rsidR="000B0AE6" w:rsidRDefault="00000000">
            <w:pPr>
              <w:spacing w:line="252" w:lineRule="auto"/>
            </w:pPr>
            <w:r>
              <w:rPr>
                <w:sz w:val="20"/>
                <w:szCs w:val="20"/>
              </w:rPr>
              <w:t>Orchestration &amp; accountability</w:t>
            </w:r>
          </w:p>
        </w:tc>
        <w:tc>
          <w:tcPr>
            <w:tcW w:w="330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0952186C" w14:textId="77777777" w:rsidR="000B0AE6" w:rsidRDefault="00000000">
            <w:pPr>
              <w:spacing w:line="252" w:lineRule="auto"/>
            </w:pPr>
            <w:r>
              <w:rPr>
                <w:sz w:val="20"/>
                <w:szCs w:val="20"/>
              </w:rPr>
              <w:t>MASA — routing, booking, follow-through, rebooking</w:t>
            </w:r>
          </w:p>
        </w:tc>
        <w:tc>
          <w:tcPr>
            <w:tcW w:w="2940" w:type="dxa"/>
            <w:tcBorders>
              <w:top w:val="single" w:sz="2" w:space="0" w:color="D9D4DC"/>
              <w:left w:val="single" w:sz="2" w:space="0" w:color="D9D4DC"/>
              <w:bottom w:val="single" w:sz="2" w:space="0" w:color="D9D4DC"/>
              <w:right w:val="single" w:sz="2" w:space="0" w:color="D9D4DC"/>
            </w:tcBorders>
            <w:shd w:val="clear" w:color="auto" w:fill="E0F0FB"/>
            <w:tcMar>
              <w:top w:w="70" w:type="dxa"/>
              <w:left w:w="110" w:type="dxa"/>
              <w:bottom w:w="70" w:type="dxa"/>
              <w:right w:w="110" w:type="dxa"/>
            </w:tcMar>
            <w:vAlign w:val="center"/>
          </w:tcPr>
          <w:p w14:paraId="2D7F9ADD" w14:textId="77777777" w:rsidR="000B0AE6" w:rsidRDefault="00000000">
            <w:pPr>
              <w:spacing w:line="252" w:lineRule="auto"/>
            </w:pPr>
            <w:r>
              <w:rPr>
                <w:b/>
                <w:bCs/>
                <w:color w:val="E64B38"/>
                <w:sz w:val="20"/>
                <w:szCs w:val="20"/>
              </w:rPr>
              <w:t>Owns — THIS IS THE GAP</w:t>
            </w:r>
          </w:p>
        </w:tc>
      </w:tr>
    </w:tbl>
    <w:p w14:paraId="1C94378E" w14:textId="77777777" w:rsidR="000B0AE6" w:rsidRDefault="000B0AE6">
      <w:pPr>
        <w:spacing w:after="80"/>
      </w:pPr>
    </w:p>
    <w:p w14:paraId="7D24118F" w14:textId="77777777" w:rsidR="000B0AE6" w:rsidRDefault="00000000">
      <w:pPr>
        <w:spacing w:before="160" w:after="80"/>
      </w:pPr>
      <w:r>
        <w:rPr>
          <w:rFonts w:ascii="Poppins" w:eastAsia="Poppins" w:hAnsi="Poppins" w:cs="Poppins"/>
          <w:b/>
          <w:bCs/>
          <w:color w:val="230871"/>
          <w:sz w:val="26"/>
          <w:szCs w:val="26"/>
        </w:rPr>
        <w:t>The knot worth untying</w:t>
      </w:r>
    </w:p>
    <w:p w14:paraId="6BC28605" w14:textId="77777777" w:rsidR="000B0AE6" w:rsidRDefault="00000000">
      <w:pPr>
        <w:spacing w:after="120" w:line="276" w:lineRule="auto"/>
      </w:pPr>
      <w:r>
        <w:rPr>
          <w:i/>
          <w:iCs/>
        </w:rPr>
        <w:t>“If we write the routing layer, aren’t we building NEMT software?”</w:t>
      </w:r>
      <w:r>
        <w:t xml:space="preserve"> No — there are two unrelated things called “NEMT software.” One is dispatch/fleet SaaS sold </w:t>
      </w:r>
      <w:r>
        <w:rPr>
          <w:b/>
          <w:bCs/>
        </w:rPr>
        <w:t>to operators</w:t>
      </w:r>
      <w:r>
        <w:t xml:space="preserve"> to run their business; that is the ruled-out role. The other is integration code MASA writes </w:t>
      </w:r>
      <w:r>
        <w:rPr>
          <w:b/>
          <w:bCs/>
        </w:rPr>
        <w:t>for itself</w:t>
      </w:r>
      <w:r>
        <w:t xml:space="preserve"> to call Uber Health’s API and a contracted vendor’s API. Every company that books corporate travel through Uber for Business wrote the second kind — none of them became Uber.</w:t>
      </w:r>
    </w:p>
    <w:p w14:paraId="209C5D63" w14:textId="77777777" w:rsidR="000B0AE6" w:rsidRDefault="00000000">
      <w:pPr>
        <w:spacing w:after="120" w:line="276" w:lineRule="auto"/>
      </w:pPr>
      <w:r>
        <w:t xml:space="preserve">Same logic on supply: </w:t>
      </w:r>
      <w:r>
        <w:rPr>
          <w:b/>
          <w:bCs/>
        </w:rPr>
        <w:t>one contracted non-ambulatory vendor per pilot state</w:t>
      </w:r>
      <w:r>
        <w:t xml:space="preserve"> is procurement, not fleet ownership. Contracting a vendor to fulfill rides at MASA’s direction is what every services company does. It does not make MASA the vendor.</w:t>
      </w:r>
    </w:p>
    <w:p w14:paraId="29B76446" w14:textId="77777777" w:rsidR="000B0AE6" w:rsidRDefault="00000000">
      <w:pPr>
        <w:pBdr>
          <w:bottom w:val="single" w:sz="8" w:space="6" w:color="968694"/>
        </w:pBdr>
        <w:spacing w:before="320" w:after="160"/>
      </w:pPr>
      <w:r>
        <w:rPr>
          <w:rFonts w:ascii="Poppins" w:eastAsia="Poppins" w:hAnsi="Poppins" w:cs="Poppins"/>
          <w:b/>
          <w:bCs/>
          <w:color w:val="230871"/>
          <w:sz w:val="44"/>
          <w:szCs w:val="44"/>
        </w:rPr>
        <w:t>3.  Why this isn’t a call-center business: SAM as leverage</w:t>
      </w:r>
    </w:p>
    <w:p w14:paraId="7B8EABF1" w14:textId="77777777" w:rsidR="000B0AE6" w:rsidRDefault="00000000">
      <w:pPr>
        <w:spacing w:after="120" w:line="276" w:lineRule="auto"/>
      </w:pPr>
      <w:r>
        <w:t>The only thing in this model that scales linearly with headcount is human coordination labor. Left unmanaged, “be the member’s agent” becomes a giant ops business — exactly the weight MASA wants to avoid. SAM is what prevents that.</w:t>
      </w:r>
    </w:p>
    <w:p w14:paraId="2B672693" w14:textId="77777777" w:rsidR="000B0AE6" w:rsidRDefault="00000000">
      <w:pPr>
        <w:spacing w:after="120" w:line="276" w:lineRule="auto"/>
      </w:pPr>
      <w:r>
        <w:t xml:space="preserve">SAM carries the routine load — booking, the T-24h / T-30min nudges, the rebooking when an operator flakes, the structured vendor pre-brief — so a human coordinator only touches </w:t>
      </w:r>
      <w:r>
        <w:rPr>
          <w:b/>
          <w:bCs/>
          <w:color w:val="230871"/>
        </w:rPr>
        <w:t>exceptions and the highest-need families</w:t>
      </w:r>
      <w:r>
        <w:t>. That is how MASA delivers managed-service accountability at closer-to-software cost. The accountability is real; most of it is automated. The differentiable asset is the coordination knowledge and the member context, not the model itself.</w:t>
      </w:r>
    </w:p>
    <w:p w14:paraId="2F3FB024" w14:textId="77777777" w:rsidR="000B0AE6" w:rsidRDefault="00000000">
      <w:pPr>
        <w:pBdr>
          <w:bottom w:val="single" w:sz="8" w:space="6" w:color="968694"/>
        </w:pBdr>
        <w:spacing w:before="320" w:after="160"/>
      </w:pPr>
      <w:r>
        <w:rPr>
          <w:rFonts w:ascii="Poppins" w:eastAsia="Poppins" w:hAnsi="Poppins" w:cs="Poppins"/>
          <w:b/>
          <w:bCs/>
          <w:color w:val="230871"/>
          <w:sz w:val="44"/>
          <w:szCs w:val="44"/>
        </w:rPr>
        <w:lastRenderedPageBreak/>
        <w:t>4.  Care Circle is the substrate — not a feature</w:t>
      </w:r>
    </w:p>
    <w:p w14:paraId="39552DA5" w14:textId="77777777" w:rsidR="000B0AE6" w:rsidRDefault="00000000">
      <w:pPr>
        <w:spacing w:after="120" w:line="276" w:lineRule="auto"/>
      </w:pPr>
      <w:r>
        <w:t>NEMT, discharge planning, care planning, and bill advocacy do not sit beside Care Circle as peer features. They run on top of it. Care Circle is the identity-and-permission substrate every other capability reads from and writes to. That dictates build order: substrate first, then the first job.</w:t>
      </w:r>
    </w:p>
    <w:p w14:paraId="13C4E13F" w14:textId="77777777" w:rsidR="000B0AE6" w:rsidRDefault="00000000">
      <w:pPr>
        <w:spacing w:after="120" w:line="276" w:lineRule="auto"/>
      </w:pPr>
      <w:r>
        <w:t xml:space="preserve">The minimum Care Circle is three objects — all already specified in the </w:t>
      </w:r>
      <w:proofErr w:type="gramStart"/>
      <w:r>
        <w:t>Post-ER PRD</w:t>
      </w:r>
      <w:proofErr w:type="gramEnd"/>
      <w:r>
        <w:t>. The move now is to cut them to a shippable v1 and put no care logic in the substrate itself.</w:t>
      </w:r>
    </w:p>
    <w:p w14:paraId="0301DA40" w14:textId="77777777" w:rsidR="000B0AE6" w:rsidRDefault="00000000">
      <w:pPr>
        <w:pStyle w:val="ListParagraph"/>
        <w:numPr>
          <w:ilvl w:val="0"/>
          <w:numId w:val="2"/>
        </w:numPr>
        <w:spacing w:after="100" w:line="276" w:lineRule="auto"/>
      </w:pPr>
      <w:r>
        <w:rPr>
          <w:b/>
          <w:bCs/>
          <w:color w:val="230871"/>
        </w:rPr>
        <w:t xml:space="preserve">Relationship / identity. </w:t>
      </w:r>
      <w:r>
        <w:t>The Actor / Subject link. Two roles only: Care Circle Member (read-only, curated, all states) and Authorized Representative (full HIPAA proxy; TX, FL, GA, IL, MI).</w:t>
      </w:r>
    </w:p>
    <w:p w14:paraId="791E6ABD" w14:textId="77777777" w:rsidR="000B0AE6" w:rsidRDefault="00000000">
      <w:pPr>
        <w:pStyle w:val="ListParagraph"/>
        <w:numPr>
          <w:ilvl w:val="0"/>
          <w:numId w:val="2"/>
        </w:numPr>
        <w:spacing w:after="100" w:line="276" w:lineRule="auto"/>
      </w:pPr>
      <w:r>
        <w:rPr>
          <w:b/>
          <w:bCs/>
          <w:color w:val="230871"/>
        </w:rPr>
        <w:t xml:space="preserve">Permissions. </w:t>
      </w:r>
      <w:r>
        <w:t>Granular per-person toggles: episode summaries / medications / appointments / bills — and “book-or-manage-transport-on-behalf-of.” That last toggle is the hook that lets NEMT ride on the substrate.</w:t>
      </w:r>
    </w:p>
    <w:p w14:paraId="1EF1DC49" w14:textId="77777777" w:rsidR="000B0AE6" w:rsidRDefault="00000000">
      <w:pPr>
        <w:pStyle w:val="ListParagraph"/>
        <w:numPr>
          <w:ilvl w:val="0"/>
          <w:numId w:val="2"/>
        </w:numPr>
        <w:spacing w:after="100" w:line="276" w:lineRule="auto"/>
      </w:pPr>
      <w:r>
        <w:rPr>
          <w:b/>
          <w:bCs/>
          <w:color w:val="230871"/>
        </w:rPr>
        <w:t xml:space="preserve">Shared activity surface. </w:t>
      </w:r>
      <w:r>
        <w:t>The family-visible log: ride booked, completed, missed; bill arrived. This is the engagement and data flywheel — and it is worth almost nothing until a real job writes events into it, which is exactly why NEMT goes first.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20947651" w14:textId="77777777">
        <w:tblPrEx>
          <w:tblCellMar>
            <w:top w:w="0" w:type="dxa"/>
            <w:bottom w:w="0" w:type="dxa"/>
          </w:tblCellMar>
        </w:tblPrEx>
        <w:tc>
          <w:tcPr>
            <w:tcW w:w="8640" w:type="dxa"/>
            <w:tcBorders>
              <w:top w:val="single" w:sz="2" w:space="0" w:color="E0F0FB"/>
              <w:left w:val="single" w:sz="32" w:space="0" w:color="0071CE"/>
              <w:bottom w:val="single" w:sz="2" w:space="0" w:color="E0F0FB"/>
              <w:right w:val="single" w:sz="2" w:space="0" w:color="E0F0FB"/>
            </w:tcBorders>
            <w:shd w:val="clear" w:color="auto" w:fill="E0F0FB"/>
            <w:tcMar>
              <w:top w:w="120" w:type="dxa"/>
              <w:left w:w="200" w:type="dxa"/>
              <w:bottom w:w="120" w:type="dxa"/>
              <w:right w:w="160" w:type="dxa"/>
            </w:tcMar>
          </w:tcPr>
          <w:p w14:paraId="3F9C9E3B" w14:textId="77777777" w:rsidR="000B0AE6" w:rsidRDefault="00000000">
            <w:pPr>
              <w:spacing w:after="60"/>
            </w:pPr>
            <w:r>
              <w:rPr>
                <w:rFonts w:ascii="Poppins" w:eastAsia="Poppins" w:hAnsi="Poppins" w:cs="Poppins"/>
                <w:b/>
                <w:bCs/>
                <w:color w:val="230871"/>
              </w:rPr>
              <w:t>Design discipline</w:t>
            </w:r>
          </w:p>
          <w:p w14:paraId="766F22BC" w14:textId="77777777" w:rsidR="000B0AE6" w:rsidRDefault="00000000">
            <w:pPr>
              <w:spacing w:line="264" w:lineRule="auto"/>
            </w:pPr>
            <w:r>
              <w:rPr>
                <w:sz w:val="21"/>
                <w:szCs w:val="21"/>
              </w:rPr>
              <w:t>Ship Care Circle as nothing more than “who is connected, what can they do, what do they see.” Every later capability reuses these three objects unchanged. Resist putting any clinical or coordination logic into the substrate.</w:t>
            </w:r>
          </w:p>
        </w:tc>
      </w:tr>
    </w:tbl>
    <w:p w14:paraId="7A8BCA2E" w14:textId="77777777" w:rsidR="000B0AE6" w:rsidRDefault="00000000">
      <w:r>
        <w:br w:type="page"/>
      </w:r>
    </w:p>
    <w:p w14:paraId="5FD82EDC" w14:textId="77777777" w:rsidR="000B0AE6" w:rsidRDefault="00000000">
      <w:pPr>
        <w:pBdr>
          <w:bottom w:val="single" w:sz="8" w:space="6" w:color="968694"/>
        </w:pBdr>
        <w:spacing w:before="320" w:after="160"/>
      </w:pPr>
      <w:r>
        <w:rPr>
          <w:rFonts w:ascii="Poppins" w:eastAsia="Poppins" w:hAnsi="Poppins" w:cs="Poppins"/>
          <w:b/>
          <w:bCs/>
          <w:color w:val="230871"/>
          <w:sz w:val="44"/>
          <w:szCs w:val="44"/>
        </w:rPr>
        <w:lastRenderedPageBreak/>
        <w:t>5.  NEMT execution — the first job on the substrate</w:t>
      </w:r>
    </w:p>
    <w:p w14:paraId="038A9A59" w14:textId="77777777" w:rsidR="000B0AE6" w:rsidRDefault="00000000">
      <w:pPr>
        <w:spacing w:before="160" w:after="80"/>
      </w:pPr>
      <w:r>
        <w:rPr>
          <w:rFonts w:ascii="Poppins" w:eastAsia="Poppins" w:hAnsi="Poppins" w:cs="Poppins"/>
          <w:b/>
          <w:bCs/>
          <w:color w:val="230871"/>
          <w:sz w:val="26"/>
          <w:szCs w:val="26"/>
        </w:rPr>
        <w:t>The operational loop</w:t>
      </w:r>
    </w:p>
    <w:p w14:paraId="774FF570" w14:textId="77777777" w:rsidR="000B0AE6" w:rsidRDefault="00000000">
      <w:pPr>
        <w:spacing w:after="120" w:line="276" w:lineRule="auto"/>
      </w:pPr>
      <w:r>
        <w:t>Every ride, ambulatory or not, runs the same seven-step loop. Steps 4 and 6 are where MASA’s funding and accountability live — the parts no one else in the chain owns today.</w:t>
      </w:r>
    </w:p>
    <w:p w14:paraId="5187B0DD" w14:textId="77777777" w:rsidR="000B0AE6" w:rsidRDefault="00000000">
      <w:pPr>
        <w:pStyle w:val="ListParagraph"/>
        <w:numPr>
          <w:ilvl w:val="0"/>
          <w:numId w:val="3"/>
        </w:numPr>
        <w:spacing w:after="100" w:line="276" w:lineRule="auto"/>
      </w:pPr>
      <w:r>
        <w:rPr>
          <w:b/>
          <w:bCs/>
        </w:rPr>
        <w:t>Capture the need</w:t>
      </w:r>
      <w:r>
        <w:t xml:space="preserve"> — from an appointment in the care plan, a discharge event, or a direct ask.</w:t>
      </w:r>
    </w:p>
    <w:p w14:paraId="5D98ECC5" w14:textId="77777777" w:rsidR="000B0AE6" w:rsidRDefault="00000000">
      <w:pPr>
        <w:pStyle w:val="ListParagraph"/>
        <w:numPr>
          <w:ilvl w:val="0"/>
          <w:numId w:val="3"/>
        </w:numPr>
        <w:spacing w:after="100" w:line="276" w:lineRule="auto"/>
      </w:pPr>
      <w:r>
        <w:rPr>
          <w:b/>
          <w:bCs/>
        </w:rPr>
        <w:t>Determine the mode</w:t>
      </w:r>
      <w:r>
        <w:t xml:space="preserve"> — ambulatory vs. non-ambulatory. MASA’s context advantage: it already knows the mobility profile, O2 dependence, equipment needs.</w:t>
      </w:r>
    </w:p>
    <w:p w14:paraId="4EC01D47" w14:textId="77777777" w:rsidR="000B0AE6" w:rsidRDefault="00000000">
      <w:pPr>
        <w:pStyle w:val="ListParagraph"/>
        <w:numPr>
          <w:ilvl w:val="0"/>
          <w:numId w:val="3"/>
        </w:numPr>
        <w:spacing w:after="100" w:line="276" w:lineRule="auto"/>
      </w:pPr>
      <w:r>
        <w:rPr>
          <w:b/>
          <w:bCs/>
        </w:rPr>
        <w:t>Route to the right rail</w:t>
      </w:r>
      <w:r>
        <w:t xml:space="preserve"> — ambulatory → Uber Health API; non-ambulatory → contracted vendor. Integration MASA writes for itself.</w:t>
      </w:r>
    </w:p>
    <w:p w14:paraId="3B301338" w14:textId="77777777" w:rsidR="000B0AE6" w:rsidRDefault="00000000">
      <w:pPr>
        <w:pStyle w:val="ListParagraph"/>
        <w:numPr>
          <w:ilvl w:val="0"/>
          <w:numId w:val="3"/>
        </w:numPr>
        <w:spacing w:after="100" w:line="276" w:lineRule="auto"/>
      </w:pPr>
      <w:r>
        <w:rPr>
          <w:b/>
          <w:bCs/>
        </w:rPr>
        <w:t>Show coverage + cost before commit</w:t>
      </w:r>
      <w:r>
        <w:t xml:space="preserve"> — the funding decision, surfaced and acknowledged. No surprises after the tap.</w:t>
      </w:r>
    </w:p>
    <w:p w14:paraId="3E5E30CC" w14:textId="77777777" w:rsidR="000B0AE6" w:rsidRDefault="00000000">
      <w:pPr>
        <w:pStyle w:val="ListParagraph"/>
        <w:numPr>
          <w:ilvl w:val="0"/>
          <w:numId w:val="3"/>
        </w:numPr>
        <w:spacing w:after="100" w:line="276" w:lineRule="auto"/>
      </w:pPr>
      <w:r>
        <w:rPr>
          <w:b/>
          <w:bCs/>
        </w:rPr>
        <w:t>Book + structured pre-brief</w:t>
      </w:r>
      <w:r>
        <w:t xml:space="preserve"> — the vendor receives who / where / mobility / reason; the member can edit before it sends.</w:t>
      </w:r>
    </w:p>
    <w:p w14:paraId="3E82D9B3" w14:textId="77777777" w:rsidR="000B0AE6" w:rsidRDefault="00000000">
      <w:pPr>
        <w:pStyle w:val="ListParagraph"/>
        <w:numPr>
          <w:ilvl w:val="0"/>
          <w:numId w:val="3"/>
        </w:numPr>
        <w:spacing w:after="100" w:line="276" w:lineRule="auto"/>
      </w:pPr>
      <w:r>
        <w:rPr>
          <w:b/>
          <w:bCs/>
        </w:rPr>
        <w:t>Day-of + accountability</w:t>
      </w:r>
      <w:r>
        <w:t xml:space="preserve"> — T-24h and T-30min comms, live status, post-ride rating, and — critically — rebooking when an operator fails. This loop is the differentiator.</w:t>
      </w:r>
    </w:p>
    <w:p w14:paraId="3CE68ED4" w14:textId="77777777" w:rsidR="000B0AE6" w:rsidRDefault="00000000">
      <w:pPr>
        <w:pStyle w:val="ListParagraph"/>
        <w:numPr>
          <w:ilvl w:val="0"/>
          <w:numId w:val="3"/>
        </w:numPr>
        <w:spacing w:after="100" w:line="276" w:lineRule="auto"/>
      </w:pPr>
      <w:r>
        <w:rPr>
          <w:b/>
          <w:bCs/>
        </w:rPr>
        <w:t>Log to Care Circle</w:t>
      </w:r>
      <w:r>
        <w:t xml:space="preserve"> — the family sees it; the data accrues; the flywheel turns.</w:t>
      </w:r>
    </w:p>
    <w:p w14:paraId="74023CF2" w14:textId="77777777" w:rsidR="000B0AE6" w:rsidRDefault="000B0AE6">
      <w:pPr>
        <w:spacing w:after="80"/>
      </w:pPr>
    </w:p>
    <w:p w14:paraId="14E8F944" w14:textId="77777777" w:rsidR="000B0AE6" w:rsidRDefault="00000000">
      <w:pPr>
        <w:spacing w:before="160" w:after="80"/>
      </w:pPr>
      <w:r>
        <w:rPr>
          <w:rFonts w:ascii="Poppins" w:eastAsia="Poppins" w:hAnsi="Poppins" w:cs="Poppins"/>
          <w:b/>
          <w:bCs/>
          <w:color w:val="230871"/>
          <w:sz w:val="26"/>
          <w:szCs w:val="26"/>
        </w:rPr>
        <w:t>The phased build sequence</w:t>
      </w:r>
    </w:p>
    <w:p w14:paraId="48AF682A" w14:textId="77777777" w:rsidR="000B0AE6" w:rsidRDefault="00000000">
      <w:pPr>
        <w:spacing w:after="120" w:line="276" w:lineRule="auto"/>
      </w:pPr>
      <w:r>
        <w:t>Build the substrate, then the easy rail, then the hard rail, then attach jobs. Each phase is independently shippable and de-risks the next.</w:t>
      </w:r>
    </w:p>
    <w:p w14:paraId="0C3BF185" w14:textId="77777777" w:rsidR="000B0AE6" w:rsidRDefault="000B0AE6">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3640"/>
        <w:gridCol w:w="1700"/>
      </w:tblGrid>
      <w:tr w:rsidR="000B0AE6" w14:paraId="62871C80" w14:textId="77777777">
        <w:tblPrEx>
          <w:tblCellMar>
            <w:top w:w="0" w:type="dxa"/>
            <w:bottom w:w="0" w:type="dxa"/>
          </w:tblCellMar>
        </w:tblPrEx>
        <w:trPr>
          <w:tblHeader/>
        </w:trPr>
        <w:tc>
          <w:tcPr>
            <w:tcW w:w="1700" w:type="dxa"/>
            <w:tcBorders>
              <w:top w:val="single" w:sz="2" w:space="0" w:color="D9D4DC"/>
              <w:left w:val="single" w:sz="2" w:space="0" w:color="D9D4DC"/>
              <w:bottom w:val="single" w:sz="2" w:space="0" w:color="D9D4DC"/>
              <w:right w:val="single" w:sz="2" w:space="0" w:color="D9D4DC"/>
            </w:tcBorders>
            <w:shd w:val="clear" w:color="auto" w:fill="230871"/>
            <w:tcMar>
              <w:top w:w="70" w:type="dxa"/>
              <w:left w:w="110" w:type="dxa"/>
              <w:bottom w:w="70" w:type="dxa"/>
              <w:right w:w="110" w:type="dxa"/>
            </w:tcMar>
            <w:vAlign w:val="center"/>
          </w:tcPr>
          <w:p w14:paraId="72AD421F" w14:textId="77777777" w:rsidR="000B0AE6" w:rsidRDefault="00000000">
            <w:pPr>
              <w:spacing w:line="252" w:lineRule="auto"/>
            </w:pPr>
            <w:r>
              <w:rPr>
                <w:rFonts w:ascii="Poppins" w:eastAsia="Poppins" w:hAnsi="Poppins" w:cs="Poppins"/>
                <w:b/>
                <w:bCs/>
                <w:color w:val="FFFFFF"/>
                <w:sz w:val="20"/>
                <w:szCs w:val="20"/>
              </w:rPr>
              <w:lastRenderedPageBreak/>
              <w:t>Phase</w:t>
            </w:r>
          </w:p>
        </w:tc>
        <w:tc>
          <w:tcPr>
            <w:tcW w:w="1600" w:type="dxa"/>
            <w:tcBorders>
              <w:top w:val="single" w:sz="2" w:space="0" w:color="D9D4DC"/>
              <w:left w:val="single" w:sz="2" w:space="0" w:color="D9D4DC"/>
              <w:bottom w:val="single" w:sz="2" w:space="0" w:color="D9D4DC"/>
              <w:right w:val="single" w:sz="2" w:space="0" w:color="D9D4DC"/>
            </w:tcBorders>
            <w:shd w:val="clear" w:color="auto" w:fill="230871"/>
            <w:tcMar>
              <w:top w:w="70" w:type="dxa"/>
              <w:left w:w="110" w:type="dxa"/>
              <w:bottom w:w="70" w:type="dxa"/>
              <w:right w:w="110" w:type="dxa"/>
            </w:tcMar>
            <w:vAlign w:val="center"/>
          </w:tcPr>
          <w:p w14:paraId="7BCE920C" w14:textId="77777777" w:rsidR="000B0AE6" w:rsidRDefault="00000000">
            <w:pPr>
              <w:spacing w:line="252" w:lineRule="auto"/>
            </w:pPr>
            <w:r>
              <w:rPr>
                <w:rFonts w:ascii="Poppins" w:eastAsia="Poppins" w:hAnsi="Poppins" w:cs="Poppins"/>
                <w:b/>
                <w:bCs/>
                <w:color w:val="FFFFFF"/>
                <w:sz w:val="20"/>
                <w:szCs w:val="20"/>
              </w:rPr>
              <w:t>Focus</w:t>
            </w:r>
          </w:p>
        </w:tc>
        <w:tc>
          <w:tcPr>
            <w:tcW w:w="3640" w:type="dxa"/>
            <w:tcBorders>
              <w:top w:val="single" w:sz="2" w:space="0" w:color="D9D4DC"/>
              <w:left w:val="single" w:sz="2" w:space="0" w:color="D9D4DC"/>
              <w:bottom w:val="single" w:sz="2" w:space="0" w:color="D9D4DC"/>
              <w:right w:val="single" w:sz="2" w:space="0" w:color="D9D4DC"/>
            </w:tcBorders>
            <w:shd w:val="clear" w:color="auto" w:fill="230871"/>
            <w:tcMar>
              <w:top w:w="70" w:type="dxa"/>
              <w:left w:w="110" w:type="dxa"/>
              <w:bottom w:w="70" w:type="dxa"/>
              <w:right w:w="110" w:type="dxa"/>
            </w:tcMar>
            <w:vAlign w:val="center"/>
          </w:tcPr>
          <w:p w14:paraId="3EC5E10D" w14:textId="77777777" w:rsidR="000B0AE6" w:rsidRDefault="00000000">
            <w:pPr>
              <w:spacing w:line="252" w:lineRule="auto"/>
            </w:pPr>
            <w:r>
              <w:rPr>
                <w:rFonts w:ascii="Poppins" w:eastAsia="Poppins" w:hAnsi="Poppins" w:cs="Poppins"/>
                <w:b/>
                <w:bCs/>
                <w:color w:val="FFFFFF"/>
                <w:sz w:val="20"/>
                <w:szCs w:val="20"/>
              </w:rPr>
              <w:t>What ships</w:t>
            </w:r>
          </w:p>
        </w:tc>
        <w:tc>
          <w:tcPr>
            <w:tcW w:w="1700" w:type="dxa"/>
            <w:tcBorders>
              <w:top w:val="single" w:sz="2" w:space="0" w:color="D9D4DC"/>
              <w:left w:val="single" w:sz="2" w:space="0" w:color="D9D4DC"/>
              <w:bottom w:val="single" w:sz="2" w:space="0" w:color="D9D4DC"/>
              <w:right w:val="single" w:sz="2" w:space="0" w:color="D9D4DC"/>
            </w:tcBorders>
            <w:shd w:val="clear" w:color="auto" w:fill="230871"/>
            <w:tcMar>
              <w:top w:w="70" w:type="dxa"/>
              <w:left w:w="110" w:type="dxa"/>
              <w:bottom w:w="70" w:type="dxa"/>
              <w:right w:w="110" w:type="dxa"/>
            </w:tcMar>
            <w:vAlign w:val="center"/>
          </w:tcPr>
          <w:p w14:paraId="485791F4" w14:textId="77777777" w:rsidR="000B0AE6" w:rsidRDefault="00000000">
            <w:pPr>
              <w:spacing w:line="252" w:lineRule="auto"/>
            </w:pPr>
            <w:r>
              <w:rPr>
                <w:rFonts w:ascii="Poppins" w:eastAsia="Poppins" w:hAnsi="Poppins" w:cs="Poppins"/>
                <w:b/>
                <w:bCs/>
                <w:color w:val="FFFFFF"/>
                <w:sz w:val="20"/>
                <w:szCs w:val="20"/>
              </w:rPr>
              <w:t>Vendor footprint</w:t>
            </w:r>
          </w:p>
        </w:tc>
      </w:tr>
      <w:tr w:rsidR="000B0AE6" w14:paraId="6D08889B" w14:textId="77777777">
        <w:tblPrEx>
          <w:tblCellMar>
            <w:top w:w="0" w:type="dxa"/>
            <w:bottom w:w="0" w:type="dxa"/>
          </w:tblCellMar>
        </w:tblPrEx>
        <w:tc>
          <w:tcPr>
            <w:tcW w:w="17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745D32B0" w14:textId="77777777" w:rsidR="000B0AE6" w:rsidRDefault="00000000">
            <w:pPr>
              <w:spacing w:line="252" w:lineRule="auto"/>
            </w:pPr>
            <w:r>
              <w:rPr>
                <w:b/>
                <w:bCs/>
                <w:color w:val="230871"/>
                <w:sz w:val="20"/>
                <w:szCs w:val="20"/>
              </w:rPr>
              <w:t>0 — Substrate</w:t>
            </w:r>
          </w:p>
        </w:tc>
        <w:tc>
          <w:tcPr>
            <w:tcW w:w="16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366E8220" w14:textId="77777777" w:rsidR="000B0AE6" w:rsidRDefault="00000000">
            <w:pPr>
              <w:spacing w:line="252" w:lineRule="auto"/>
            </w:pPr>
            <w:r>
              <w:rPr>
                <w:sz w:val="20"/>
                <w:szCs w:val="20"/>
              </w:rPr>
              <w:t>Care Circle container</w:t>
            </w:r>
          </w:p>
        </w:tc>
        <w:tc>
          <w:tcPr>
            <w:tcW w:w="36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4882C696" w14:textId="77777777" w:rsidR="000B0AE6" w:rsidRDefault="00000000">
            <w:pPr>
              <w:spacing w:line="252" w:lineRule="auto"/>
            </w:pPr>
            <w:r>
              <w:rPr>
                <w:sz w:val="20"/>
                <w:szCs w:val="20"/>
              </w:rPr>
              <w:t>Roles (Member all states / AR 5 states), permission toggles, activity log. No NEMT yet.</w:t>
            </w:r>
          </w:p>
        </w:tc>
        <w:tc>
          <w:tcPr>
            <w:tcW w:w="17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5C0954D6" w14:textId="77777777" w:rsidR="000B0AE6" w:rsidRDefault="00000000">
            <w:pPr>
              <w:spacing w:line="252" w:lineRule="auto"/>
            </w:pPr>
            <w:r>
              <w:rPr>
                <w:sz w:val="20"/>
                <w:szCs w:val="20"/>
              </w:rPr>
              <w:t>None</w:t>
            </w:r>
          </w:p>
        </w:tc>
      </w:tr>
      <w:tr w:rsidR="000B0AE6" w14:paraId="10146297" w14:textId="77777777">
        <w:tblPrEx>
          <w:tblCellMar>
            <w:top w:w="0" w:type="dxa"/>
            <w:bottom w:w="0" w:type="dxa"/>
          </w:tblCellMar>
        </w:tblPrEx>
        <w:tc>
          <w:tcPr>
            <w:tcW w:w="17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7B6D8D9A" w14:textId="77777777" w:rsidR="000B0AE6" w:rsidRDefault="00000000">
            <w:pPr>
              <w:spacing w:line="252" w:lineRule="auto"/>
            </w:pPr>
            <w:r>
              <w:rPr>
                <w:b/>
                <w:bCs/>
                <w:color w:val="230871"/>
                <w:sz w:val="20"/>
                <w:szCs w:val="20"/>
              </w:rPr>
              <w:t>1 — Ambulatory</w:t>
            </w:r>
          </w:p>
        </w:tc>
        <w:tc>
          <w:tcPr>
            <w:tcW w:w="16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34DE5158" w14:textId="77777777" w:rsidR="000B0AE6" w:rsidRDefault="00000000">
            <w:pPr>
              <w:spacing w:line="252" w:lineRule="auto"/>
            </w:pPr>
            <w:r>
              <w:rPr>
                <w:sz w:val="20"/>
                <w:szCs w:val="20"/>
              </w:rPr>
              <w:t>The easy rail</w:t>
            </w:r>
          </w:p>
        </w:tc>
        <w:tc>
          <w:tcPr>
            <w:tcW w:w="364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4FE3754F" w14:textId="77777777" w:rsidR="000B0AE6" w:rsidRDefault="00000000">
            <w:pPr>
              <w:spacing w:line="252" w:lineRule="auto"/>
            </w:pPr>
            <w:r>
              <w:rPr>
                <w:sz w:val="20"/>
                <w:szCs w:val="20"/>
              </w:rPr>
              <w:t>One-time booking, cost preview, pre-brief, day-of comms, rating, rebooking loop.</w:t>
            </w:r>
          </w:p>
        </w:tc>
        <w:tc>
          <w:tcPr>
            <w:tcW w:w="17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64183775" w14:textId="77777777" w:rsidR="000B0AE6" w:rsidRDefault="00000000">
            <w:pPr>
              <w:spacing w:line="252" w:lineRule="auto"/>
            </w:pPr>
            <w:r>
              <w:rPr>
                <w:sz w:val="20"/>
                <w:szCs w:val="20"/>
              </w:rPr>
              <w:t>Uber Health only</w:t>
            </w:r>
          </w:p>
        </w:tc>
      </w:tr>
      <w:tr w:rsidR="000B0AE6" w14:paraId="38CFCBCF" w14:textId="77777777">
        <w:tblPrEx>
          <w:tblCellMar>
            <w:top w:w="0" w:type="dxa"/>
            <w:bottom w:w="0" w:type="dxa"/>
          </w:tblCellMar>
        </w:tblPrEx>
        <w:tc>
          <w:tcPr>
            <w:tcW w:w="17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79170196" w14:textId="77777777" w:rsidR="000B0AE6" w:rsidRDefault="00000000">
            <w:pPr>
              <w:spacing w:line="252" w:lineRule="auto"/>
            </w:pPr>
            <w:r>
              <w:rPr>
                <w:b/>
                <w:bCs/>
                <w:color w:val="230871"/>
                <w:sz w:val="20"/>
                <w:szCs w:val="20"/>
              </w:rPr>
              <w:t>2 — Non-</w:t>
            </w:r>
            <w:proofErr w:type="spellStart"/>
            <w:r>
              <w:rPr>
                <w:b/>
                <w:bCs/>
                <w:color w:val="230871"/>
                <w:sz w:val="20"/>
                <w:szCs w:val="20"/>
              </w:rPr>
              <w:t>amb</w:t>
            </w:r>
            <w:proofErr w:type="spellEnd"/>
            <w:r>
              <w:rPr>
                <w:b/>
                <w:bCs/>
                <w:color w:val="230871"/>
                <w:sz w:val="20"/>
                <w:szCs w:val="20"/>
              </w:rPr>
              <w:t xml:space="preserve"> + recurring</w:t>
            </w:r>
          </w:p>
        </w:tc>
        <w:tc>
          <w:tcPr>
            <w:tcW w:w="16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02A4C351" w14:textId="77777777" w:rsidR="000B0AE6" w:rsidRDefault="00000000">
            <w:pPr>
              <w:spacing w:line="252" w:lineRule="auto"/>
            </w:pPr>
            <w:r>
              <w:rPr>
                <w:sz w:val="20"/>
                <w:szCs w:val="20"/>
              </w:rPr>
              <w:t>The hard rail</w:t>
            </w:r>
          </w:p>
        </w:tc>
        <w:tc>
          <w:tcPr>
            <w:tcW w:w="364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05E5BC97" w14:textId="77777777" w:rsidR="000B0AE6" w:rsidRDefault="00000000">
            <w:pPr>
              <w:spacing w:line="252" w:lineRule="auto"/>
            </w:pPr>
            <w:r>
              <w:rPr>
                <w:sz w:val="20"/>
                <w:szCs w:val="20"/>
              </w:rPr>
              <w:t>Contracted-vendor rail, recurring series (primary + backup), human exception fallback.</w:t>
            </w:r>
          </w:p>
        </w:tc>
        <w:tc>
          <w:tcPr>
            <w:tcW w:w="1700" w:type="dxa"/>
            <w:tcBorders>
              <w:top w:val="single" w:sz="2" w:space="0" w:color="D9D4DC"/>
              <w:left w:val="single" w:sz="2" w:space="0" w:color="D9D4DC"/>
              <w:bottom w:val="single" w:sz="2" w:space="0" w:color="D9D4DC"/>
              <w:right w:val="single" w:sz="2" w:space="0" w:color="D9D4DC"/>
            </w:tcBorders>
            <w:shd w:val="clear" w:color="auto" w:fill="FFFFFF"/>
            <w:tcMar>
              <w:top w:w="70" w:type="dxa"/>
              <w:left w:w="110" w:type="dxa"/>
              <w:bottom w:w="70" w:type="dxa"/>
              <w:right w:w="110" w:type="dxa"/>
            </w:tcMar>
            <w:vAlign w:val="center"/>
          </w:tcPr>
          <w:p w14:paraId="5980AF3E" w14:textId="77777777" w:rsidR="000B0AE6" w:rsidRDefault="00000000">
            <w:pPr>
              <w:spacing w:line="252" w:lineRule="auto"/>
            </w:pPr>
            <w:r>
              <w:rPr>
                <w:sz w:val="20"/>
                <w:szCs w:val="20"/>
              </w:rPr>
              <w:t>+1 vendor / state (TX, FL, GA, IL, MI)</w:t>
            </w:r>
          </w:p>
        </w:tc>
      </w:tr>
      <w:tr w:rsidR="000B0AE6" w14:paraId="280E224E" w14:textId="77777777">
        <w:tblPrEx>
          <w:tblCellMar>
            <w:top w:w="0" w:type="dxa"/>
            <w:bottom w:w="0" w:type="dxa"/>
          </w:tblCellMar>
        </w:tblPrEx>
        <w:tc>
          <w:tcPr>
            <w:tcW w:w="17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16CA9D24" w14:textId="77777777" w:rsidR="000B0AE6" w:rsidRDefault="00000000">
            <w:pPr>
              <w:spacing w:line="252" w:lineRule="auto"/>
            </w:pPr>
            <w:r>
              <w:rPr>
                <w:b/>
                <w:bCs/>
                <w:color w:val="230871"/>
                <w:sz w:val="20"/>
                <w:szCs w:val="20"/>
              </w:rPr>
              <w:t>3+ — Attach jobs</w:t>
            </w:r>
          </w:p>
        </w:tc>
        <w:tc>
          <w:tcPr>
            <w:tcW w:w="16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75FB38DB" w14:textId="77777777" w:rsidR="000B0AE6" w:rsidRDefault="00000000">
            <w:pPr>
              <w:spacing w:line="252" w:lineRule="auto"/>
            </w:pPr>
            <w:r>
              <w:rPr>
                <w:sz w:val="20"/>
                <w:szCs w:val="20"/>
              </w:rPr>
              <w:t>Compounding</w:t>
            </w:r>
          </w:p>
        </w:tc>
        <w:tc>
          <w:tcPr>
            <w:tcW w:w="364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41C10E0A" w14:textId="77777777" w:rsidR="000B0AE6" w:rsidRDefault="00000000">
            <w:pPr>
              <w:spacing w:line="252" w:lineRule="auto"/>
            </w:pPr>
            <w:r>
              <w:rPr>
                <w:sz w:val="20"/>
                <w:szCs w:val="20"/>
              </w:rPr>
              <w:t>Discharge orchestration, care plan, bill advocacy — on the same substrate.</w:t>
            </w:r>
          </w:p>
        </w:tc>
        <w:tc>
          <w:tcPr>
            <w:tcW w:w="1700" w:type="dxa"/>
            <w:tcBorders>
              <w:top w:val="single" w:sz="2" w:space="0" w:color="D9D4DC"/>
              <w:left w:val="single" w:sz="2" w:space="0" w:color="D9D4DC"/>
              <w:bottom w:val="single" w:sz="2" w:space="0" w:color="D9D4DC"/>
              <w:right w:val="single" w:sz="2" w:space="0" w:color="D9D4DC"/>
            </w:tcBorders>
            <w:shd w:val="clear" w:color="auto" w:fill="F4F2F6"/>
            <w:tcMar>
              <w:top w:w="70" w:type="dxa"/>
              <w:left w:w="110" w:type="dxa"/>
              <w:bottom w:w="70" w:type="dxa"/>
              <w:right w:w="110" w:type="dxa"/>
            </w:tcMar>
            <w:vAlign w:val="center"/>
          </w:tcPr>
          <w:p w14:paraId="26445F70" w14:textId="77777777" w:rsidR="000B0AE6" w:rsidRDefault="00000000">
            <w:pPr>
              <w:spacing w:line="252" w:lineRule="auto"/>
            </w:pPr>
            <w:r>
              <w:rPr>
                <w:sz w:val="20"/>
                <w:szCs w:val="20"/>
              </w:rPr>
              <w:t>Reuse</w:t>
            </w:r>
          </w:p>
        </w:tc>
      </w:tr>
    </w:tbl>
    <w:p w14:paraId="4146E347" w14:textId="77777777" w:rsidR="000B0AE6" w:rsidRDefault="000B0AE6">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0456160D" w14:textId="77777777">
        <w:tblPrEx>
          <w:tblCellMar>
            <w:top w:w="0" w:type="dxa"/>
            <w:bottom w:w="0" w:type="dxa"/>
          </w:tblCellMar>
        </w:tblPrEx>
        <w:tc>
          <w:tcPr>
            <w:tcW w:w="8640" w:type="dxa"/>
            <w:tcBorders>
              <w:top w:val="single" w:sz="2" w:space="0" w:color="E0F0FB"/>
              <w:left w:val="single" w:sz="32" w:space="0" w:color="0071CE"/>
              <w:bottom w:val="single" w:sz="2" w:space="0" w:color="E0F0FB"/>
              <w:right w:val="single" w:sz="2" w:space="0" w:color="E0F0FB"/>
            </w:tcBorders>
            <w:shd w:val="clear" w:color="auto" w:fill="E0F0FB"/>
            <w:tcMar>
              <w:top w:w="120" w:type="dxa"/>
              <w:left w:w="200" w:type="dxa"/>
              <w:bottom w:w="120" w:type="dxa"/>
              <w:right w:w="160" w:type="dxa"/>
            </w:tcMar>
          </w:tcPr>
          <w:p w14:paraId="5789E592" w14:textId="77777777" w:rsidR="000B0AE6" w:rsidRDefault="00000000">
            <w:pPr>
              <w:spacing w:after="60"/>
            </w:pPr>
            <w:r>
              <w:rPr>
                <w:rFonts w:ascii="Poppins" w:eastAsia="Poppins" w:hAnsi="Poppins" w:cs="Poppins"/>
                <w:b/>
                <w:bCs/>
                <w:color w:val="230871"/>
              </w:rPr>
              <w:t>Why Phase 1 is Uber-Health-only</w:t>
            </w:r>
          </w:p>
          <w:p w14:paraId="6038F684" w14:textId="77777777" w:rsidR="000B0AE6" w:rsidRDefault="00000000">
            <w:pPr>
              <w:spacing w:line="264" w:lineRule="auto"/>
            </w:pPr>
            <w:r>
              <w:rPr>
                <w:sz w:val="21"/>
                <w:szCs w:val="21"/>
              </w:rPr>
              <w:t>The ambulatory rail needs zero new vendor contracts — Uber Health is the single supplier — so it proves the substrate and the orchestration model at minimum operational complexity. Nail the accountability/rebooking loop here; that is the thing actually being validated, not the booking itself.</w:t>
            </w:r>
          </w:p>
        </w:tc>
      </w:tr>
    </w:tbl>
    <w:p w14:paraId="75989A01" w14:textId="77777777" w:rsidR="000B0AE6" w:rsidRDefault="000B0AE6">
      <w:pPr>
        <w:spacing w:after="120"/>
      </w:pPr>
    </w:p>
    <w:p w14:paraId="7A591BC9" w14:textId="77777777" w:rsidR="000B0AE6" w:rsidRDefault="00000000">
      <w:pPr>
        <w:pBdr>
          <w:bottom w:val="single" w:sz="8" w:space="6" w:color="968694"/>
        </w:pBdr>
        <w:spacing w:before="320" w:after="160"/>
      </w:pPr>
      <w:r>
        <w:rPr>
          <w:rFonts w:ascii="Poppins" w:eastAsia="Poppins" w:hAnsi="Poppins" w:cs="Poppins"/>
          <w:b/>
          <w:bCs/>
          <w:color w:val="230871"/>
          <w:sz w:val="44"/>
          <w:szCs w:val="44"/>
        </w:rPr>
        <w:t>6.  Scenarios — the model in motion</w:t>
      </w:r>
    </w:p>
    <w:p w14:paraId="478BDEF0" w14:textId="77777777" w:rsidR="000B0AE6" w:rsidRDefault="00000000">
      <w:pPr>
        <w:spacing w:after="120" w:line="276" w:lineRule="auto"/>
      </w:pPr>
      <w:r>
        <w:t xml:space="preserve">Five scenarios, each grounded in a </w:t>
      </w:r>
      <w:proofErr w:type="gramStart"/>
      <w:r>
        <w:t>Post-ER PRD</w:t>
      </w:r>
      <w:proofErr w:type="gramEnd"/>
      <w:r>
        <w:t xml:space="preserve"> persona, each illustrating one core assertion of the model. Read together, they show how MASA fills the gap end-to-end while owning no supply.</w:t>
      </w:r>
    </w:p>
    <w:p w14:paraId="5BF46CD6" w14:textId="77777777" w:rsidR="000B0AE6" w:rsidRDefault="00000000">
      <w:pPr>
        <w:spacing w:before="220" w:after="40"/>
      </w:pPr>
      <w:r>
        <w:rPr>
          <w:rFonts w:ascii="Poppins" w:eastAsia="Poppins" w:hAnsi="Poppins" w:cs="Poppins"/>
          <w:b/>
          <w:bCs/>
          <w:color w:val="0071CE"/>
          <w:sz w:val="19"/>
          <w:szCs w:val="19"/>
        </w:rPr>
        <w:t xml:space="preserve">SCENARIO </w:t>
      </w:r>
      <w:proofErr w:type="gramStart"/>
      <w:r>
        <w:rPr>
          <w:rFonts w:ascii="Poppins" w:eastAsia="Poppins" w:hAnsi="Poppins" w:cs="Poppins"/>
          <w:b/>
          <w:bCs/>
          <w:color w:val="0071CE"/>
          <w:sz w:val="19"/>
          <w:szCs w:val="19"/>
        </w:rPr>
        <w:t>1  ·</w:t>
      </w:r>
      <w:proofErr w:type="gramEnd"/>
      <w:r>
        <w:rPr>
          <w:rFonts w:ascii="Poppins" w:eastAsia="Poppins" w:hAnsi="Poppins" w:cs="Poppins"/>
          <w:b/>
          <w:bCs/>
          <w:color w:val="0071CE"/>
          <w:sz w:val="19"/>
          <w:szCs w:val="19"/>
        </w:rPr>
        <w:t xml:space="preserve">  </w:t>
      </w:r>
      <w:r>
        <w:rPr>
          <w:rFonts w:ascii="Poppins" w:eastAsia="Poppins" w:hAnsi="Poppins" w:cs="Poppins"/>
          <w:b/>
          <w:bCs/>
          <w:color w:val="968694"/>
          <w:sz w:val="19"/>
          <w:szCs w:val="19"/>
        </w:rPr>
        <w:t>Carol, 71 — A-fib, discharged home alone (ambulatory)</w:t>
      </w:r>
    </w:p>
    <w:p w14:paraId="4B002ACE" w14:textId="77777777" w:rsidR="000B0AE6" w:rsidRDefault="00000000">
      <w:pPr>
        <w:spacing w:after="100"/>
      </w:pPr>
      <w:r>
        <w:rPr>
          <w:rFonts w:ascii="Poppins" w:eastAsia="Poppins" w:hAnsi="Poppins" w:cs="Poppins"/>
          <w:b/>
          <w:bCs/>
          <w:color w:val="230871"/>
          <w:sz w:val="25"/>
          <w:szCs w:val="25"/>
        </w:rPr>
        <w:t>Rent the rail, own the orchestration</w:t>
      </w:r>
    </w:p>
    <w:p w14:paraId="6076EB3D" w14:textId="77777777" w:rsidR="000B0AE6" w:rsidRDefault="00000000">
      <w:pPr>
        <w:spacing w:after="100" w:line="276" w:lineRule="auto"/>
      </w:pPr>
      <w:r>
        <w:t xml:space="preserve">Carol has a cardiology follow-up 35 miles away and no way to get there. In </w:t>
      </w:r>
      <w:proofErr w:type="spellStart"/>
      <w:r>
        <w:t>AccessNow</w:t>
      </w:r>
      <w:proofErr w:type="spellEnd"/>
      <w:r>
        <w:t>, SAM surfaces a transport offer (triggered by age plus distance). It already knows she walks to the car, so it sets the ambulatory rail and routes to Uber Health.</w:t>
      </w:r>
    </w:p>
    <w:p w14:paraId="4D2B6B29" w14:textId="77777777" w:rsidR="000B0AE6" w:rsidRDefault="00000000">
      <w:pPr>
        <w:spacing w:after="100" w:line="276" w:lineRule="auto"/>
      </w:pPr>
      <w:r>
        <w:t xml:space="preserve">Before any commitment, SAM shows coverage status and an expected $0 out-of-pocket; Carol taps to acknowledge. SAM books the ride and sends a plain-language </w:t>
      </w:r>
      <w:r>
        <w:lastRenderedPageBreak/>
        <w:t xml:space="preserve">pre-brief — “Picking up Carol, 71. Destination: cardiologist. Mobility: walks to car. Reason: medical appointment” — which Carol can edit first. Day-of: a T-24h confirmation, a T-30min “driver </w:t>
      </w:r>
      <w:proofErr w:type="spellStart"/>
      <w:r>
        <w:t>en</w:t>
      </w:r>
      <w:proofErr w:type="spellEnd"/>
      <w:r>
        <w:t xml:space="preserve"> route” with live location, a post-ride rating, and a return-trip prompt.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4F0542EC" w14:textId="77777777">
        <w:tblPrEx>
          <w:tblCellMar>
            <w:top w:w="0" w:type="dxa"/>
            <w:bottom w:w="0" w:type="dxa"/>
          </w:tblCellMar>
        </w:tblPrEx>
        <w:tc>
          <w:tcPr>
            <w:tcW w:w="8640" w:type="dxa"/>
            <w:tcBorders>
              <w:top w:val="single" w:sz="2" w:space="0" w:color="FCEAE7"/>
              <w:left w:val="single" w:sz="32" w:space="0" w:color="E64B38"/>
              <w:bottom w:val="single" w:sz="2" w:space="0" w:color="FCEAE7"/>
              <w:right w:val="single" w:sz="2" w:space="0" w:color="FCEAE7"/>
            </w:tcBorders>
            <w:shd w:val="clear" w:color="auto" w:fill="FCEAE7"/>
            <w:tcMar>
              <w:top w:w="120" w:type="dxa"/>
              <w:left w:w="200" w:type="dxa"/>
              <w:bottom w:w="120" w:type="dxa"/>
              <w:right w:w="160" w:type="dxa"/>
            </w:tcMar>
          </w:tcPr>
          <w:p w14:paraId="15BAE23B" w14:textId="77777777" w:rsidR="000B0AE6" w:rsidRDefault="00000000">
            <w:pPr>
              <w:spacing w:after="60"/>
            </w:pPr>
            <w:r>
              <w:rPr>
                <w:rFonts w:ascii="Poppins" w:eastAsia="Poppins" w:hAnsi="Poppins" w:cs="Poppins"/>
                <w:b/>
                <w:bCs/>
                <w:color w:val="230871"/>
              </w:rPr>
              <w:t>What it proves</w:t>
            </w:r>
          </w:p>
          <w:p w14:paraId="3D85BF36" w14:textId="77777777" w:rsidR="000B0AE6" w:rsidRDefault="00000000">
            <w:pPr>
              <w:spacing w:line="264" w:lineRule="auto"/>
            </w:pPr>
            <w:r>
              <w:rPr>
                <w:sz w:val="21"/>
                <w:szCs w:val="21"/>
              </w:rPr>
              <w:t>MASA owned the relationship, the context (the appointment, the mobility profile, the coverage), the funding, and the orchestration. It owned zero vehicles. The Uber Health rail was rented. This is orchestration, not operation.</w:t>
            </w:r>
          </w:p>
        </w:tc>
      </w:tr>
    </w:tbl>
    <w:p w14:paraId="17E53C71" w14:textId="77777777" w:rsidR="000B0AE6" w:rsidRDefault="000B0AE6">
      <w:pPr>
        <w:spacing w:after="60"/>
      </w:pPr>
    </w:p>
    <w:p w14:paraId="504C7352" w14:textId="77777777" w:rsidR="000B0AE6" w:rsidRDefault="00000000">
      <w:pPr>
        <w:spacing w:before="220" w:after="40"/>
      </w:pPr>
      <w:r>
        <w:rPr>
          <w:rFonts w:ascii="Poppins" w:eastAsia="Poppins" w:hAnsi="Poppins" w:cs="Poppins"/>
          <w:b/>
          <w:bCs/>
          <w:color w:val="0071CE"/>
          <w:sz w:val="19"/>
          <w:szCs w:val="19"/>
        </w:rPr>
        <w:t xml:space="preserve">SCENARIO </w:t>
      </w:r>
      <w:proofErr w:type="gramStart"/>
      <w:r>
        <w:rPr>
          <w:rFonts w:ascii="Poppins" w:eastAsia="Poppins" w:hAnsi="Poppins" w:cs="Poppins"/>
          <w:b/>
          <w:bCs/>
          <w:color w:val="0071CE"/>
          <w:sz w:val="19"/>
          <w:szCs w:val="19"/>
        </w:rPr>
        <w:t>2  ·</w:t>
      </w:r>
      <w:proofErr w:type="gramEnd"/>
      <w:r>
        <w:rPr>
          <w:rFonts w:ascii="Poppins" w:eastAsia="Poppins" w:hAnsi="Poppins" w:cs="Poppins"/>
          <w:b/>
          <w:bCs/>
          <w:color w:val="0071CE"/>
          <w:sz w:val="19"/>
          <w:szCs w:val="19"/>
        </w:rPr>
        <w:t xml:space="preserve">  </w:t>
      </w:r>
      <w:r>
        <w:rPr>
          <w:rFonts w:ascii="Poppins" w:eastAsia="Poppins" w:hAnsi="Poppins" w:cs="Poppins"/>
          <w:b/>
          <w:bCs/>
          <w:color w:val="968694"/>
          <w:sz w:val="19"/>
          <w:szCs w:val="19"/>
        </w:rPr>
        <w:t>Dolores, 74 — CKD, monthly nephrology (recurring)</w:t>
      </w:r>
    </w:p>
    <w:p w14:paraId="1FF0FA71" w14:textId="77777777" w:rsidR="000B0AE6" w:rsidRDefault="00000000">
      <w:pPr>
        <w:spacing w:after="100"/>
      </w:pPr>
      <w:r>
        <w:rPr>
          <w:rFonts w:ascii="Poppins" w:eastAsia="Poppins" w:hAnsi="Poppins" w:cs="Poppins"/>
          <w:b/>
          <w:bCs/>
          <w:color w:val="230871"/>
          <w:sz w:val="25"/>
          <w:szCs w:val="25"/>
        </w:rPr>
        <w:t>The gap is accountability, not choice</w:t>
      </w:r>
    </w:p>
    <w:p w14:paraId="7AC478DE" w14:textId="77777777" w:rsidR="000B0AE6" w:rsidRDefault="00000000">
      <w:pPr>
        <w:spacing w:after="100" w:line="276" w:lineRule="auto"/>
      </w:pPr>
      <w:r>
        <w:t>Dolores has a standing monthly nephrology appointment 40 minutes away. SAM detects the recurring pattern and sets up a managed series with a primary and a backup vendor — “I’ll automatically try the backup if the primary can’t cover; you don’t have to manage this.”</w:t>
      </w:r>
    </w:p>
    <w:p w14:paraId="5E5DE936" w14:textId="77777777" w:rsidR="000B0AE6" w:rsidRDefault="00000000">
      <w:pPr>
        <w:spacing w:after="100" w:line="276" w:lineRule="auto"/>
      </w:pPr>
      <w:r>
        <w:t>Month three: the primary vendor cancels 40 minutes before pickup. Dolores never finds out. SAM has already dispatched the backup; all she sees is “Your ride is confirmed.” The exception is logged, so her family later sees that SAM caught and fixed a failure they never had to touch. Dolores compared nothing and chose no one. She got an outcome.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626A8D50" w14:textId="77777777">
        <w:tblPrEx>
          <w:tblCellMar>
            <w:top w:w="0" w:type="dxa"/>
            <w:bottom w:w="0" w:type="dxa"/>
          </w:tblCellMar>
        </w:tblPrEx>
        <w:tc>
          <w:tcPr>
            <w:tcW w:w="8640" w:type="dxa"/>
            <w:tcBorders>
              <w:top w:val="single" w:sz="2" w:space="0" w:color="FCEAE7"/>
              <w:left w:val="single" w:sz="32" w:space="0" w:color="E64B38"/>
              <w:bottom w:val="single" w:sz="2" w:space="0" w:color="FCEAE7"/>
              <w:right w:val="single" w:sz="2" w:space="0" w:color="FCEAE7"/>
            </w:tcBorders>
            <w:shd w:val="clear" w:color="auto" w:fill="FCEAE7"/>
            <w:tcMar>
              <w:top w:w="120" w:type="dxa"/>
              <w:left w:w="200" w:type="dxa"/>
              <w:bottom w:w="120" w:type="dxa"/>
              <w:right w:w="160" w:type="dxa"/>
            </w:tcMar>
          </w:tcPr>
          <w:p w14:paraId="53C8B387" w14:textId="77777777" w:rsidR="000B0AE6" w:rsidRDefault="00000000">
            <w:pPr>
              <w:spacing w:after="60"/>
            </w:pPr>
            <w:r>
              <w:rPr>
                <w:rFonts w:ascii="Poppins" w:eastAsia="Poppins" w:hAnsi="Poppins" w:cs="Poppins"/>
                <w:b/>
                <w:bCs/>
                <w:color w:val="230871"/>
              </w:rPr>
              <w:t>What it proves</w:t>
            </w:r>
          </w:p>
          <w:p w14:paraId="559C25FF" w14:textId="77777777" w:rsidR="000B0AE6" w:rsidRDefault="00000000">
            <w:pPr>
              <w:spacing w:line="264" w:lineRule="auto"/>
            </w:pPr>
            <w:r>
              <w:rPr>
                <w:sz w:val="21"/>
                <w:szCs w:val="21"/>
              </w:rPr>
              <w:t>The product is the accountability loop. In today’s system a no-show is the member’s problem; here MASA owns it. And note what MASA did not build: not a marketplace — just two vendor relationships and a rule. That is the member’s agent doing its job, not aggregation.</w:t>
            </w:r>
          </w:p>
        </w:tc>
      </w:tr>
    </w:tbl>
    <w:p w14:paraId="2CBC228F" w14:textId="77777777" w:rsidR="000B0AE6" w:rsidRDefault="000B0AE6">
      <w:pPr>
        <w:spacing w:after="60"/>
      </w:pPr>
    </w:p>
    <w:p w14:paraId="4886A263" w14:textId="77777777" w:rsidR="000B0AE6" w:rsidRDefault="00000000">
      <w:pPr>
        <w:spacing w:before="220" w:after="40"/>
      </w:pPr>
      <w:r>
        <w:rPr>
          <w:rFonts w:ascii="Poppins" w:eastAsia="Poppins" w:hAnsi="Poppins" w:cs="Poppins"/>
          <w:b/>
          <w:bCs/>
          <w:color w:val="0071CE"/>
          <w:sz w:val="19"/>
          <w:szCs w:val="19"/>
        </w:rPr>
        <w:t xml:space="preserve">SCENARIO </w:t>
      </w:r>
      <w:proofErr w:type="gramStart"/>
      <w:r>
        <w:rPr>
          <w:rFonts w:ascii="Poppins" w:eastAsia="Poppins" w:hAnsi="Poppins" w:cs="Poppins"/>
          <w:b/>
          <w:bCs/>
          <w:color w:val="0071CE"/>
          <w:sz w:val="19"/>
          <w:szCs w:val="19"/>
        </w:rPr>
        <w:t>3  ·</w:t>
      </w:r>
      <w:proofErr w:type="gramEnd"/>
      <w:r>
        <w:rPr>
          <w:rFonts w:ascii="Poppins" w:eastAsia="Poppins" w:hAnsi="Poppins" w:cs="Poppins"/>
          <w:b/>
          <w:bCs/>
          <w:color w:val="0071CE"/>
          <w:sz w:val="19"/>
          <w:szCs w:val="19"/>
        </w:rPr>
        <w:t xml:space="preserve">  </w:t>
      </w:r>
      <w:r>
        <w:rPr>
          <w:rFonts w:ascii="Poppins" w:eastAsia="Poppins" w:hAnsi="Poppins" w:cs="Poppins"/>
          <w:b/>
          <w:bCs/>
          <w:color w:val="968694"/>
          <w:sz w:val="19"/>
          <w:szCs w:val="19"/>
        </w:rPr>
        <w:t>Eugene, 76 — COPD, rural, portable O2 (non-ambulatory)</w:t>
      </w:r>
    </w:p>
    <w:p w14:paraId="70109304" w14:textId="77777777" w:rsidR="000B0AE6" w:rsidRDefault="00000000">
      <w:pPr>
        <w:spacing w:after="100"/>
      </w:pPr>
      <w:r>
        <w:rPr>
          <w:rFonts w:ascii="Poppins" w:eastAsia="Poppins" w:hAnsi="Poppins" w:cs="Poppins"/>
          <w:b/>
          <w:bCs/>
          <w:color w:val="230871"/>
          <w:sz w:val="25"/>
          <w:szCs w:val="25"/>
        </w:rPr>
        <w:t>Procurement, not fleet · service, not infrastructure</w:t>
      </w:r>
    </w:p>
    <w:p w14:paraId="46E5059A" w14:textId="77777777" w:rsidR="000B0AE6" w:rsidRDefault="00000000">
      <w:pPr>
        <w:spacing w:after="100" w:line="276" w:lineRule="auto"/>
      </w:pPr>
      <w:r>
        <w:t>Eugene needs door-to-door transport to pulmonology. He can’t take an Uber — he needs an O2-compatible non-ambulatory vehicle — so the Uber Health rail is excluded. SAM routes to the single contracted non-ambulatory vendor in his state and cross-references his DME refill cycle so a fresh oxygen tank is coordinated before the trip.</w:t>
      </w:r>
    </w:p>
    <w:p w14:paraId="5B14B63E" w14:textId="77777777" w:rsidR="000B0AE6" w:rsidRDefault="00000000">
      <w:pPr>
        <w:spacing w:after="100" w:line="276" w:lineRule="auto"/>
      </w:pPr>
      <w:r>
        <w:lastRenderedPageBreak/>
        <w:t>Because he’s rural, that vendor can’t always fill the slot. The fallback is a MASA coordinator who calls the vendor (or an alternate) on Eugene’s behalf, confirms the O2-compatible vehicle, and closes the loop — the human exception path SAM hands off to.</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0651466A" w14:textId="77777777">
        <w:tblPrEx>
          <w:tblCellMar>
            <w:top w:w="0" w:type="dxa"/>
            <w:bottom w:w="0" w:type="dxa"/>
          </w:tblCellMar>
        </w:tblPrEx>
        <w:tc>
          <w:tcPr>
            <w:tcW w:w="8640" w:type="dxa"/>
            <w:tcBorders>
              <w:top w:val="single" w:sz="2" w:space="0" w:color="FCEAE7"/>
              <w:left w:val="single" w:sz="32" w:space="0" w:color="E64B38"/>
              <w:bottom w:val="single" w:sz="2" w:space="0" w:color="FCEAE7"/>
              <w:right w:val="single" w:sz="2" w:space="0" w:color="FCEAE7"/>
            </w:tcBorders>
            <w:shd w:val="clear" w:color="auto" w:fill="FCEAE7"/>
            <w:tcMar>
              <w:top w:w="120" w:type="dxa"/>
              <w:left w:w="200" w:type="dxa"/>
              <w:bottom w:w="120" w:type="dxa"/>
              <w:right w:w="160" w:type="dxa"/>
            </w:tcMar>
          </w:tcPr>
          <w:p w14:paraId="44A0456F" w14:textId="77777777" w:rsidR="000B0AE6" w:rsidRDefault="00000000">
            <w:pPr>
              <w:spacing w:after="60"/>
            </w:pPr>
            <w:r>
              <w:rPr>
                <w:rFonts w:ascii="Poppins" w:eastAsia="Poppins" w:hAnsi="Poppins" w:cs="Poppins"/>
                <w:b/>
                <w:bCs/>
                <w:color w:val="230871"/>
              </w:rPr>
              <w:t>What it proves</w:t>
            </w:r>
          </w:p>
          <w:p w14:paraId="53949627" w14:textId="77777777" w:rsidR="000B0AE6" w:rsidRDefault="00000000">
            <w:pPr>
              <w:spacing w:line="264" w:lineRule="auto"/>
            </w:pPr>
            <w:r>
              <w:rPr>
                <w:sz w:val="21"/>
                <w:szCs w:val="21"/>
              </w:rPr>
              <w:t>MASA served the hardest, most acute post-ER segment without owning a single van or stretcher. Five state contracts are procurement. The coordinator making the call is the concierge service — the thing members pay for — not infrastructure MASA had to build.</w:t>
            </w:r>
          </w:p>
        </w:tc>
      </w:tr>
    </w:tbl>
    <w:p w14:paraId="770707BA" w14:textId="77777777" w:rsidR="000B0AE6" w:rsidRDefault="000B0AE6">
      <w:pPr>
        <w:spacing w:after="60"/>
      </w:pPr>
    </w:p>
    <w:p w14:paraId="63C065C0" w14:textId="77777777" w:rsidR="000B0AE6" w:rsidRDefault="00000000">
      <w:pPr>
        <w:spacing w:before="220" w:after="40"/>
      </w:pPr>
      <w:r>
        <w:rPr>
          <w:rFonts w:ascii="Poppins" w:eastAsia="Poppins" w:hAnsi="Poppins" w:cs="Poppins"/>
          <w:b/>
          <w:bCs/>
          <w:color w:val="0071CE"/>
          <w:sz w:val="19"/>
          <w:szCs w:val="19"/>
        </w:rPr>
        <w:t xml:space="preserve">SCENARIO </w:t>
      </w:r>
      <w:proofErr w:type="gramStart"/>
      <w:r>
        <w:rPr>
          <w:rFonts w:ascii="Poppins" w:eastAsia="Poppins" w:hAnsi="Poppins" w:cs="Poppins"/>
          <w:b/>
          <w:bCs/>
          <w:color w:val="0071CE"/>
          <w:sz w:val="19"/>
          <w:szCs w:val="19"/>
        </w:rPr>
        <w:t>4  ·</w:t>
      </w:r>
      <w:proofErr w:type="gramEnd"/>
      <w:r>
        <w:rPr>
          <w:rFonts w:ascii="Poppins" w:eastAsia="Poppins" w:hAnsi="Poppins" w:cs="Poppins"/>
          <w:b/>
          <w:bCs/>
          <w:color w:val="0071CE"/>
          <w:sz w:val="19"/>
          <w:szCs w:val="19"/>
        </w:rPr>
        <w:t xml:space="preserve">  </w:t>
      </w:r>
      <w:r>
        <w:rPr>
          <w:rFonts w:ascii="Poppins" w:eastAsia="Poppins" w:hAnsi="Poppins" w:cs="Poppins"/>
          <w:b/>
          <w:bCs/>
          <w:color w:val="968694"/>
          <w:sz w:val="19"/>
          <w:szCs w:val="19"/>
        </w:rPr>
        <w:t>Kevin, 52 — father Ray post-MI, 3 hours away (Care Circle wedge)</w:t>
      </w:r>
    </w:p>
    <w:p w14:paraId="670C6844" w14:textId="77777777" w:rsidR="000B0AE6" w:rsidRDefault="00000000">
      <w:pPr>
        <w:spacing w:after="100"/>
      </w:pPr>
      <w:r>
        <w:rPr>
          <w:rFonts w:ascii="Poppins" w:eastAsia="Poppins" w:hAnsi="Poppins" w:cs="Poppins"/>
          <w:b/>
          <w:bCs/>
          <w:color w:val="230871"/>
          <w:sz w:val="25"/>
          <w:szCs w:val="25"/>
        </w:rPr>
        <w:t>Substrate first · NEMT as the wedge into the 35–54 caregiver</w:t>
      </w:r>
    </w:p>
    <w:p w14:paraId="6208D9A9" w14:textId="77777777" w:rsidR="000B0AE6" w:rsidRDefault="00000000">
      <w:pPr>
        <w:spacing w:after="100" w:line="276" w:lineRule="auto"/>
      </w:pPr>
      <w:r>
        <w:t>Kevin is HIPAA-blocked, getting conflicting information, and can’t coordinate Ray’s follow-up transport from three hours away. He finds Care Circle through the caregiver/discharge channel — the new acquisition motion — and sets up an Authorized Representative relationship (Ray is in TX, a full-HIPAA state), or starts the caregiver-initiated path that auto-connects once Ray confirms.</w:t>
      </w:r>
    </w:p>
    <w:p w14:paraId="089303E3" w14:textId="77777777" w:rsidR="000B0AE6" w:rsidRDefault="00000000">
      <w:pPr>
        <w:spacing w:after="100" w:line="276" w:lineRule="auto"/>
      </w:pPr>
      <w:r>
        <w:t>Now Kevin can book and manage Ray’s NEMT, sees every ride in the shared activity surface, and his minimally-involved brother gets a read-only view. The first job Kevin runs on the substrate is a ride to cardiac rehab.</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4ACE0B3C" w14:textId="77777777">
        <w:tblPrEx>
          <w:tblCellMar>
            <w:top w:w="0" w:type="dxa"/>
            <w:bottom w:w="0" w:type="dxa"/>
          </w:tblCellMar>
        </w:tblPrEx>
        <w:tc>
          <w:tcPr>
            <w:tcW w:w="8640" w:type="dxa"/>
            <w:tcBorders>
              <w:top w:val="single" w:sz="2" w:space="0" w:color="FCEAE7"/>
              <w:left w:val="single" w:sz="32" w:space="0" w:color="E64B38"/>
              <w:bottom w:val="single" w:sz="2" w:space="0" w:color="FCEAE7"/>
              <w:right w:val="single" w:sz="2" w:space="0" w:color="FCEAE7"/>
            </w:tcBorders>
            <w:shd w:val="clear" w:color="auto" w:fill="FCEAE7"/>
            <w:tcMar>
              <w:top w:w="120" w:type="dxa"/>
              <w:left w:w="200" w:type="dxa"/>
              <w:bottom w:w="120" w:type="dxa"/>
              <w:right w:w="160" w:type="dxa"/>
            </w:tcMar>
          </w:tcPr>
          <w:p w14:paraId="0B08C6A1" w14:textId="77777777" w:rsidR="000B0AE6" w:rsidRDefault="00000000">
            <w:pPr>
              <w:spacing w:after="60"/>
            </w:pPr>
            <w:r>
              <w:rPr>
                <w:rFonts w:ascii="Poppins" w:eastAsia="Poppins" w:hAnsi="Poppins" w:cs="Poppins"/>
                <w:b/>
                <w:bCs/>
                <w:color w:val="230871"/>
              </w:rPr>
              <w:t>What it proves</w:t>
            </w:r>
          </w:p>
          <w:p w14:paraId="6AB8B393" w14:textId="77777777" w:rsidR="000B0AE6" w:rsidRDefault="00000000">
            <w:pPr>
              <w:spacing w:line="264" w:lineRule="auto"/>
            </w:pPr>
            <w:r>
              <w:rPr>
                <w:sz w:val="21"/>
                <w:szCs w:val="21"/>
              </w:rPr>
              <w:t>Care Circle is the substrate; NEMT is the first job that gives the caregiver a reason to set it up. The 35–54 caregiver enters through the transport pain but joins a coordination membership. Roles, permissions, and the activity log are the infrastructure every later capability reuses.</w:t>
            </w:r>
          </w:p>
        </w:tc>
      </w:tr>
    </w:tbl>
    <w:p w14:paraId="5D91C7CC" w14:textId="77777777" w:rsidR="000B0AE6" w:rsidRDefault="000B0AE6">
      <w:pPr>
        <w:spacing w:after="60"/>
      </w:pPr>
    </w:p>
    <w:p w14:paraId="3CAAD67E" w14:textId="77777777" w:rsidR="000B0AE6" w:rsidRDefault="00000000">
      <w:pPr>
        <w:spacing w:before="220" w:after="40"/>
      </w:pPr>
      <w:r>
        <w:rPr>
          <w:rFonts w:ascii="Poppins" w:eastAsia="Poppins" w:hAnsi="Poppins" w:cs="Poppins"/>
          <w:b/>
          <w:bCs/>
          <w:color w:val="0071CE"/>
          <w:sz w:val="19"/>
          <w:szCs w:val="19"/>
        </w:rPr>
        <w:t xml:space="preserve">SCENARIO </w:t>
      </w:r>
      <w:proofErr w:type="gramStart"/>
      <w:r>
        <w:rPr>
          <w:rFonts w:ascii="Poppins" w:eastAsia="Poppins" w:hAnsi="Poppins" w:cs="Poppins"/>
          <w:b/>
          <w:bCs/>
          <w:color w:val="0071CE"/>
          <w:sz w:val="19"/>
          <w:szCs w:val="19"/>
        </w:rPr>
        <w:t>5  ·</w:t>
      </w:r>
      <w:proofErr w:type="gramEnd"/>
      <w:r>
        <w:rPr>
          <w:rFonts w:ascii="Poppins" w:eastAsia="Poppins" w:hAnsi="Poppins" w:cs="Poppins"/>
          <w:b/>
          <w:bCs/>
          <w:color w:val="0071CE"/>
          <w:sz w:val="19"/>
          <w:szCs w:val="19"/>
        </w:rPr>
        <w:t xml:space="preserve">  </w:t>
      </w:r>
      <w:r>
        <w:rPr>
          <w:rFonts w:ascii="Poppins" w:eastAsia="Poppins" w:hAnsi="Poppins" w:cs="Poppins"/>
          <w:b/>
          <w:bCs/>
          <w:color w:val="968694"/>
          <w:sz w:val="19"/>
          <w:szCs w:val="19"/>
        </w:rPr>
        <w:t>Sandra, 48 — mother Edna in SNF (attaching jobs later)</w:t>
      </w:r>
    </w:p>
    <w:p w14:paraId="00F38382" w14:textId="77777777" w:rsidR="000B0AE6" w:rsidRDefault="00000000">
      <w:pPr>
        <w:spacing w:after="100"/>
      </w:pPr>
      <w:r>
        <w:rPr>
          <w:rFonts w:ascii="Poppins" w:eastAsia="Poppins" w:hAnsi="Poppins" w:cs="Poppins"/>
          <w:b/>
          <w:bCs/>
          <w:color w:val="230871"/>
          <w:sz w:val="25"/>
          <w:szCs w:val="25"/>
        </w:rPr>
        <w:t>Jobs attach to the substrate — no replumbing</w:t>
      </w:r>
    </w:p>
    <w:p w14:paraId="1908BCA4" w14:textId="77777777" w:rsidR="000B0AE6" w:rsidRDefault="00000000">
      <w:pPr>
        <w:spacing w:after="100" w:line="276" w:lineRule="auto"/>
      </w:pPr>
      <w:r>
        <w:t>Sandra is already in Care Circle as Edna’s Authorized Representative; she set it up to manage NEMT to Edna’s specialist appointments. With the substrate in place, MASA attaches the next jobs with zero new plumbing: discharge-document extraction turns Edna’s last hospitalization into a structured care plan; the Medicare SNF day-count tracker projects Day 1–100 cost; and bill advocacy routes the surprise out-of-network bill to Sandra instead of Edna.</w:t>
      </w:r>
    </w:p>
    <w:p w14:paraId="7F398BB5" w14:textId="77777777" w:rsidR="000B0AE6" w:rsidRDefault="00000000">
      <w:pPr>
        <w:spacing w:after="100" w:line="276" w:lineRule="auto"/>
      </w:pPr>
      <w:r>
        <w:lastRenderedPageBreak/>
        <w:t>Her brother’s read-only view and Sandra’s permission set carry over unchanged. Nothing about identity, permissions, or the activity surface had to be rebuilt.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0B0AE6" w14:paraId="05BD4529" w14:textId="77777777">
        <w:tblPrEx>
          <w:tblCellMar>
            <w:top w:w="0" w:type="dxa"/>
            <w:bottom w:w="0" w:type="dxa"/>
          </w:tblCellMar>
        </w:tblPrEx>
        <w:tc>
          <w:tcPr>
            <w:tcW w:w="8640" w:type="dxa"/>
            <w:tcBorders>
              <w:top w:val="single" w:sz="2" w:space="0" w:color="FCEAE7"/>
              <w:left w:val="single" w:sz="32" w:space="0" w:color="E64B38"/>
              <w:bottom w:val="single" w:sz="2" w:space="0" w:color="FCEAE7"/>
              <w:right w:val="single" w:sz="2" w:space="0" w:color="FCEAE7"/>
            </w:tcBorders>
            <w:shd w:val="clear" w:color="auto" w:fill="FCEAE7"/>
            <w:tcMar>
              <w:top w:w="120" w:type="dxa"/>
              <w:left w:w="200" w:type="dxa"/>
              <w:bottom w:w="120" w:type="dxa"/>
              <w:right w:w="160" w:type="dxa"/>
            </w:tcMar>
          </w:tcPr>
          <w:p w14:paraId="5DB1A9EF" w14:textId="77777777" w:rsidR="000B0AE6" w:rsidRDefault="00000000">
            <w:pPr>
              <w:spacing w:after="60"/>
            </w:pPr>
            <w:r>
              <w:rPr>
                <w:rFonts w:ascii="Poppins" w:eastAsia="Poppins" w:hAnsi="Poppins" w:cs="Poppins"/>
                <w:b/>
                <w:bCs/>
                <w:color w:val="230871"/>
              </w:rPr>
              <w:t>What it proves</w:t>
            </w:r>
          </w:p>
          <w:p w14:paraId="03D10BC5" w14:textId="77777777" w:rsidR="000B0AE6" w:rsidRDefault="00000000">
            <w:pPr>
              <w:spacing w:line="264" w:lineRule="auto"/>
            </w:pPr>
            <w:r>
              <w:rPr>
                <w:sz w:val="21"/>
                <w:szCs w:val="21"/>
              </w:rPr>
              <w:t>Because Care Circle is the substrate, discharge planning, care planning, and bill advocacy write into what already exists. This is why the build order is substrate → NEMT → attach: each new job compounds engagement on infrastructure already paid for.</w:t>
            </w:r>
          </w:p>
        </w:tc>
      </w:tr>
    </w:tbl>
    <w:p w14:paraId="4912D909" w14:textId="77777777" w:rsidR="000B0AE6" w:rsidRDefault="000B0AE6">
      <w:pPr>
        <w:spacing w:after="60"/>
      </w:pPr>
    </w:p>
    <w:p w14:paraId="7A22E23B" w14:textId="2342B778" w:rsidR="000B0AE6" w:rsidRDefault="00000000" w:rsidP="00D43409">
      <w:r>
        <w:br w:type="page"/>
      </w:r>
    </w:p>
    <w:sectPr w:rsidR="000B0AE6">
      <w:headerReference w:type="default" r:id="rId7"/>
      <w:footerReference w:type="default" r:id="rId8"/>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F8DF" w14:textId="77777777" w:rsidR="009B2530" w:rsidRDefault="009B2530">
      <w:r>
        <w:separator/>
      </w:r>
    </w:p>
  </w:endnote>
  <w:endnote w:type="continuationSeparator" w:id="0">
    <w:p w14:paraId="65A34415" w14:textId="77777777" w:rsidR="009B2530" w:rsidRDefault="009B2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8D43" w14:textId="77777777" w:rsidR="000B0AE6" w:rsidRDefault="00000000">
    <w:pPr>
      <w:tabs>
        <w:tab w:val="right" w:pos="8640"/>
      </w:tabs>
    </w:pPr>
    <w:r>
      <w:rPr>
        <w:color w:val="968694"/>
        <w:sz w:val="16"/>
        <w:szCs w:val="16"/>
      </w:rPr>
      <w:t>MASA Internal — Working Draft</w:t>
    </w:r>
    <w:r>
      <w:tab/>
    </w:r>
    <w:r>
      <w:rPr>
        <w:color w:val="968694"/>
        <w:sz w:val="16"/>
        <w:szCs w:val="16"/>
      </w:rPr>
      <w:t xml:space="preserve">Page </w:t>
    </w:r>
    <w:r>
      <w:rPr>
        <w:color w:val="968694"/>
        <w:sz w:val="16"/>
        <w:szCs w:val="16"/>
      </w:rPr>
      <w:fldChar w:fldCharType="begin"/>
    </w:r>
    <w:r>
      <w:rPr>
        <w:color w:val="968694"/>
        <w:sz w:val="16"/>
        <w:szCs w:val="16"/>
      </w:rPr>
      <w:instrText>PAGE</w:instrText>
    </w:r>
    <w:r>
      <w:rPr>
        <w:color w:val="968694"/>
        <w:sz w:val="16"/>
        <w:szCs w:val="16"/>
      </w:rPr>
      <w:fldChar w:fldCharType="separate"/>
    </w:r>
    <w:r w:rsidR="00D43409">
      <w:rPr>
        <w:noProof/>
        <w:color w:val="968694"/>
        <w:sz w:val="16"/>
        <w:szCs w:val="16"/>
      </w:rPr>
      <w:t>1</w:t>
    </w:r>
    <w:r>
      <w:rPr>
        <w:color w:val="9686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EEA0" w14:textId="77777777" w:rsidR="009B2530" w:rsidRDefault="009B2530">
      <w:r>
        <w:separator/>
      </w:r>
    </w:p>
  </w:footnote>
  <w:footnote w:type="continuationSeparator" w:id="0">
    <w:p w14:paraId="62483834" w14:textId="77777777" w:rsidR="009B2530" w:rsidRDefault="009B2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E87A" w14:textId="77777777" w:rsidR="000B0AE6" w:rsidRDefault="00000000">
    <w:pPr>
      <w:pBdr>
        <w:bottom w:val="single" w:sz="6" w:space="4" w:color="230871"/>
      </w:pBdr>
      <w:spacing w:after="60"/>
    </w:pPr>
    <w:proofErr w:type="gramStart"/>
    <w:r>
      <w:rPr>
        <w:rFonts w:ascii="Poppins" w:eastAsia="Poppins" w:hAnsi="Poppins" w:cs="Poppins"/>
        <w:b/>
        <w:bCs/>
        <w:color w:val="230871"/>
        <w:sz w:val="18"/>
        <w:szCs w:val="18"/>
      </w:rPr>
      <w:t>MASA  +</w:t>
    </w:r>
    <w:proofErr w:type="gramEnd"/>
    <w:r>
      <w:rPr>
        <w:color w:val="968694"/>
        <w:sz w:val="15"/>
        <w:szCs w:val="15"/>
      </w:rPr>
      <w:t xml:space="preserve">   |   The Member’s Agent — NEMT &amp; Care Circle Execution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F35"/>
    <w:multiLevelType w:val="hybridMultilevel"/>
    <w:tmpl w:val="C9A2DE52"/>
    <w:lvl w:ilvl="0" w:tplc="8CB686CC">
      <w:start w:val="1"/>
      <w:numFmt w:val="decimal"/>
      <w:lvlText w:val="%1."/>
      <w:lvlJc w:val="left"/>
      <w:pPr>
        <w:ind w:left="460" w:hanging="300"/>
      </w:pPr>
      <w:rPr>
        <w:b/>
        <w:bCs/>
        <w:color w:val="230871"/>
      </w:rPr>
    </w:lvl>
    <w:lvl w:ilvl="1" w:tplc="CBCCC4D8">
      <w:numFmt w:val="decimal"/>
      <w:lvlText w:val=""/>
      <w:lvlJc w:val="left"/>
    </w:lvl>
    <w:lvl w:ilvl="2" w:tplc="1ADCD0B4">
      <w:numFmt w:val="decimal"/>
      <w:lvlText w:val=""/>
      <w:lvlJc w:val="left"/>
    </w:lvl>
    <w:lvl w:ilvl="3" w:tplc="31584FD4">
      <w:numFmt w:val="decimal"/>
      <w:lvlText w:val=""/>
      <w:lvlJc w:val="left"/>
    </w:lvl>
    <w:lvl w:ilvl="4" w:tplc="E0D4E7C0">
      <w:numFmt w:val="decimal"/>
      <w:lvlText w:val=""/>
      <w:lvlJc w:val="left"/>
    </w:lvl>
    <w:lvl w:ilvl="5" w:tplc="51605874">
      <w:numFmt w:val="decimal"/>
      <w:lvlText w:val=""/>
      <w:lvlJc w:val="left"/>
    </w:lvl>
    <w:lvl w:ilvl="6" w:tplc="CE80A472">
      <w:numFmt w:val="decimal"/>
      <w:lvlText w:val=""/>
      <w:lvlJc w:val="left"/>
    </w:lvl>
    <w:lvl w:ilvl="7" w:tplc="24925368">
      <w:numFmt w:val="decimal"/>
      <w:lvlText w:val=""/>
      <w:lvlJc w:val="left"/>
    </w:lvl>
    <w:lvl w:ilvl="8" w:tplc="19F671A4">
      <w:numFmt w:val="decimal"/>
      <w:lvlText w:val=""/>
      <w:lvlJc w:val="left"/>
    </w:lvl>
  </w:abstractNum>
  <w:abstractNum w:abstractNumId="1" w15:restartNumberingAfterBreak="0">
    <w:nsid w:val="298D4170"/>
    <w:multiLevelType w:val="hybridMultilevel"/>
    <w:tmpl w:val="3EF230B4"/>
    <w:lvl w:ilvl="0" w:tplc="B38C722C">
      <w:start w:val="1"/>
      <w:numFmt w:val="decimal"/>
      <w:lvlText w:val="%1."/>
      <w:lvlJc w:val="left"/>
      <w:pPr>
        <w:ind w:left="460" w:hanging="300"/>
      </w:pPr>
      <w:rPr>
        <w:b/>
        <w:bCs/>
        <w:color w:val="0071CE"/>
      </w:rPr>
    </w:lvl>
    <w:lvl w:ilvl="1" w:tplc="9BB01D20">
      <w:numFmt w:val="decimal"/>
      <w:lvlText w:val=""/>
      <w:lvlJc w:val="left"/>
    </w:lvl>
    <w:lvl w:ilvl="2" w:tplc="D8584D08">
      <w:numFmt w:val="decimal"/>
      <w:lvlText w:val=""/>
      <w:lvlJc w:val="left"/>
    </w:lvl>
    <w:lvl w:ilvl="3" w:tplc="86B2C87C">
      <w:numFmt w:val="decimal"/>
      <w:lvlText w:val=""/>
      <w:lvlJc w:val="left"/>
    </w:lvl>
    <w:lvl w:ilvl="4" w:tplc="B33C7440">
      <w:numFmt w:val="decimal"/>
      <w:lvlText w:val=""/>
      <w:lvlJc w:val="left"/>
    </w:lvl>
    <w:lvl w:ilvl="5" w:tplc="166A332E">
      <w:numFmt w:val="decimal"/>
      <w:lvlText w:val=""/>
      <w:lvlJc w:val="left"/>
    </w:lvl>
    <w:lvl w:ilvl="6" w:tplc="F61076C8">
      <w:numFmt w:val="decimal"/>
      <w:lvlText w:val=""/>
      <w:lvlJc w:val="left"/>
    </w:lvl>
    <w:lvl w:ilvl="7" w:tplc="4030CDC4">
      <w:numFmt w:val="decimal"/>
      <w:lvlText w:val=""/>
      <w:lvlJc w:val="left"/>
    </w:lvl>
    <w:lvl w:ilvl="8" w:tplc="5CFEE5F8">
      <w:numFmt w:val="decimal"/>
      <w:lvlText w:val=""/>
      <w:lvlJc w:val="left"/>
    </w:lvl>
  </w:abstractNum>
  <w:abstractNum w:abstractNumId="2" w15:restartNumberingAfterBreak="0">
    <w:nsid w:val="30E5760F"/>
    <w:multiLevelType w:val="hybridMultilevel"/>
    <w:tmpl w:val="335CDE16"/>
    <w:lvl w:ilvl="0" w:tplc="AF5E218E">
      <w:start w:val="1"/>
      <w:numFmt w:val="bullet"/>
      <w:lvlText w:val="●"/>
      <w:lvlJc w:val="left"/>
      <w:pPr>
        <w:ind w:left="720" w:hanging="360"/>
      </w:pPr>
    </w:lvl>
    <w:lvl w:ilvl="1" w:tplc="98662442">
      <w:start w:val="1"/>
      <w:numFmt w:val="bullet"/>
      <w:lvlText w:val="○"/>
      <w:lvlJc w:val="left"/>
      <w:pPr>
        <w:ind w:left="1440" w:hanging="360"/>
      </w:pPr>
    </w:lvl>
    <w:lvl w:ilvl="2" w:tplc="6D3C39A4">
      <w:start w:val="1"/>
      <w:numFmt w:val="bullet"/>
      <w:lvlText w:val="■"/>
      <w:lvlJc w:val="left"/>
      <w:pPr>
        <w:ind w:left="2160" w:hanging="360"/>
      </w:pPr>
    </w:lvl>
    <w:lvl w:ilvl="3" w:tplc="AC5CC4E4">
      <w:start w:val="1"/>
      <w:numFmt w:val="bullet"/>
      <w:lvlText w:val="●"/>
      <w:lvlJc w:val="left"/>
      <w:pPr>
        <w:ind w:left="2880" w:hanging="360"/>
      </w:pPr>
    </w:lvl>
    <w:lvl w:ilvl="4" w:tplc="F06E2D6E">
      <w:start w:val="1"/>
      <w:numFmt w:val="bullet"/>
      <w:lvlText w:val="○"/>
      <w:lvlJc w:val="left"/>
      <w:pPr>
        <w:ind w:left="3600" w:hanging="360"/>
      </w:pPr>
    </w:lvl>
    <w:lvl w:ilvl="5" w:tplc="52CE4462">
      <w:start w:val="1"/>
      <w:numFmt w:val="bullet"/>
      <w:lvlText w:val="■"/>
      <w:lvlJc w:val="left"/>
      <w:pPr>
        <w:ind w:left="4320" w:hanging="360"/>
      </w:pPr>
    </w:lvl>
    <w:lvl w:ilvl="6" w:tplc="E7A06302">
      <w:start w:val="1"/>
      <w:numFmt w:val="bullet"/>
      <w:lvlText w:val="●"/>
      <w:lvlJc w:val="left"/>
      <w:pPr>
        <w:ind w:left="5040" w:hanging="360"/>
      </w:pPr>
    </w:lvl>
    <w:lvl w:ilvl="7" w:tplc="D3A4BF1E">
      <w:start w:val="1"/>
      <w:numFmt w:val="bullet"/>
      <w:lvlText w:val="●"/>
      <w:lvlJc w:val="left"/>
      <w:pPr>
        <w:ind w:left="5760" w:hanging="360"/>
      </w:pPr>
    </w:lvl>
    <w:lvl w:ilvl="8" w:tplc="55D8B70E">
      <w:start w:val="1"/>
      <w:numFmt w:val="bullet"/>
      <w:lvlText w:val="●"/>
      <w:lvlJc w:val="left"/>
      <w:pPr>
        <w:ind w:left="6480" w:hanging="360"/>
      </w:pPr>
    </w:lvl>
  </w:abstractNum>
  <w:abstractNum w:abstractNumId="3" w15:restartNumberingAfterBreak="0">
    <w:nsid w:val="392C1D70"/>
    <w:multiLevelType w:val="hybridMultilevel"/>
    <w:tmpl w:val="039017D0"/>
    <w:lvl w:ilvl="0" w:tplc="F28A2808">
      <w:start w:val="1"/>
      <w:numFmt w:val="decimal"/>
      <w:lvlText w:val="%1."/>
      <w:lvlJc w:val="left"/>
      <w:pPr>
        <w:ind w:left="460" w:hanging="300"/>
      </w:pPr>
      <w:rPr>
        <w:b/>
        <w:bCs/>
        <w:color w:val="230871"/>
      </w:rPr>
    </w:lvl>
    <w:lvl w:ilvl="1" w:tplc="01CE9B06">
      <w:numFmt w:val="decimal"/>
      <w:lvlText w:val=""/>
      <w:lvlJc w:val="left"/>
    </w:lvl>
    <w:lvl w:ilvl="2" w:tplc="BBB837FA">
      <w:numFmt w:val="decimal"/>
      <w:lvlText w:val=""/>
      <w:lvlJc w:val="left"/>
    </w:lvl>
    <w:lvl w:ilvl="3" w:tplc="EF3C9872">
      <w:numFmt w:val="decimal"/>
      <w:lvlText w:val=""/>
      <w:lvlJc w:val="left"/>
    </w:lvl>
    <w:lvl w:ilvl="4" w:tplc="FC9816FC">
      <w:numFmt w:val="decimal"/>
      <w:lvlText w:val=""/>
      <w:lvlJc w:val="left"/>
    </w:lvl>
    <w:lvl w:ilvl="5" w:tplc="2D66EF98">
      <w:numFmt w:val="decimal"/>
      <w:lvlText w:val=""/>
      <w:lvlJc w:val="left"/>
    </w:lvl>
    <w:lvl w:ilvl="6" w:tplc="55A297B6">
      <w:numFmt w:val="decimal"/>
      <w:lvlText w:val=""/>
      <w:lvlJc w:val="left"/>
    </w:lvl>
    <w:lvl w:ilvl="7" w:tplc="B1B86600">
      <w:numFmt w:val="decimal"/>
      <w:lvlText w:val=""/>
      <w:lvlJc w:val="left"/>
    </w:lvl>
    <w:lvl w:ilvl="8" w:tplc="A48CF84C">
      <w:numFmt w:val="decimal"/>
      <w:lvlText w:val=""/>
      <w:lvlJc w:val="left"/>
    </w:lvl>
  </w:abstractNum>
  <w:abstractNum w:abstractNumId="4" w15:restartNumberingAfterBreak="0">
    <w:nsid w:val="7D90485E"/>
    <w:multiLevelType w:val="hybridMultilevel"/>
    <w:tmpl w:val="E4EA9576"/>
    <w:lvl w:ilvl="0" w:tplc="7EC6DE5A">
      <w:start w:val="1"/>
      <w:numFmt w:val="bullet"/>
      <w:lvlText w:val="•"/>
      <w:lvlJc w:val="left"/>
      <w:pPr>
        <w:ind w:left="460" w:hanging="260"/>
      </w:pPr>
      <w:rPr>
        <w:color w:val="0071CE"/>
      </w:rPr>
    </w:lvl>
    <w:lvl w:ilvl="1" w:tplc="E4D0BB58">
      <w:numFmt w:val="decimal"/>
      <w:lvlText w:val=""/>
      <w:lvlJc w:val="left"/>
    </w:lvl>
    <w:lvl w:ilvl="2" w:tplc="CD58376A">
      <w:numFmt w:val="decimal"/>
      <w:lvlText w:val=""/>
      <w:lvlJc w:val="left"/>
    </w:lvl>
    <w:lvl w:ilvl="3" w:tplc="6DF2581C">
      <w:numFmt w:val="decimal"/>
      <w:lvlText w:val=""/>
      <w:lvlJc w:val="left"/>
    </w:lvl>
    <w:lvl w:ilvl="4" w:tplc="7D047CBA">
      <w:numFmt w:val="decimal"/>
      <w:lvlText w:val=""/>
      <w:lvlJc w:val="left"/>
    </w:lvl>
    <w:lvl w:ilvl="5" w:tplc="6624C8D0">
      <w:numFmt w:val="decimal"/>
      <w:lvlText w:val=""/>
      <w:lvlJc w:val="left"/>
    </w:lvl>
    <w:lvl w:ilvl="6" w:tplc="921494D4">
      <w:numFmt w:val="decimal"/>
      <w:lvlText w:val=""/>
      <w:lvlJc w:val="left"/>
    </w:lvl>
    <w:lvl w:ilvl="7" w:tplc="259E7C56">
      <w:numFmt w:val="decimal"/>
      <w:lvlText w:val=""/>
      <w:lvlJc w:val="left"/>
    </w:lvl>
    <w:lvl w:ilvl="8" w:tplc="57D4F628">
      <w:numFmt w:val="decimal"/>
      <w:lvlText w:val=""/>
      <w:lvlJc w:val="left"/>
    </w:lvl>
  </w:abstractNum>
  <w:num w:numId="1" w16cid:durableId="1954093198">
    <w:abstractNumId w:val="2"/>
    <w:lvlOverride w:ilvl="0">
      <w:startOverride w:val="1"/>
    </w:lvlOverride>
  </w:num>
  <w:num w:numId="2" w16cid:durableId="1975595053">
    <w:abstractNumId w:val="0"/>
    <w:lvlOverride w:ilvl="0">
      <w:startOverride w:val="1"/>
    </w:lvlOverride>
  </w:num>
  <w:num w:numId="3" w16cid:durableId="1286619644">
    <w:abstractNumId w:val="1"/>
    <w:lvlOverride w:ilvl="0">
      <w:startOverride w:val="1"/>
    </w:lvlOverride>
  </w:num>
  <w:num w:numId="4" w16cid:durableId="1926936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AE6"/>
    <w:rsid w:val="000B0AE6"/>
    <w:rsid w:val="00932296"/>
    <w:rsid w:val="009B2530"/>
    <w:rsid w:val="00D43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2856"/>
  <w15:docId w15:val="{8CD9423F-FD99-4AF0-A660-B32C809D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1947</Words>
  <Characters>11100</Characters>
  <Application>Microsoft Office Word</Application>
  <DocSecurity>0</DocSecurity>
  <Lines>92</Lines>
  <Paragraphs>26</Paragraphs>
  <ScaleCrop>false</ScaleCrop>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Akeroyd</cp:lastModifiedBy>
  <cp:revision>3</cp:revision>
  <dcterms:created xsi:type="dcterms:W3CDTF">2026-06-22T00:08:00Z</dcterms:created>
  <dcterms:modified xsi:type="dcterms:W3CDTF">2026-07-08T01:01:00Z</dcterms:modified>
</cp:coreProperties>
</file>