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0245A" w14:textId="77777777" w:rsidR="005D785E" w:rsidRDefault="00000000">
      <w:pPr>
        <w:spacing w:after="80"/>
      </w:pPr>
      <w:r>
        <w:rPr>
          <w:rFonts w:ascii="Poppins" w:eastAsia="Poppins" w:hAnsi="Poppins" w:cs="Poppins"/>
          <w:b/>
          <w:bCs/>
          <w:color w:val="230871"/>
          <w:sz w:val="40"/>
          <w:szCs w:val="40"/>
        </w:rPr>
        <w:t>SAM Evergreen Advocacy Layer</w:t>
      </w:r>
    </w:p>
    <w:p w14:paraId="5F0F6E34" w14:textId="77777777" w:rsidR="005D785E" w:rsidRDefault="00000000">
      <w:pPr>
        <w:spacing w:after="60"/>
      </w:pPr>
      <w:r>
        <w:rPr>
          <w:rFonts w:ascii="Poppins" w:eastAsia="Poppins" w:hAnsi="Poppins" w:cs="Poppins"/>
          <w:b/>
          <w:bCs/>
          <w:color w:val="0071CE"/>
          <w:sz w:val="24"/>
          <w:szCs w:val="24"/>
        </w:rPr>
        <w:t>Household Readiness Check — Concept, Architecture &amp; Requirements</w:t>
      </w:r>
    </w:p>
    <w:p w14:paraId="6E03B51A" w14:textId="77777777" w:rsidR="005D785E" w:rsidRDefault="00000000">
      <w:pPr>
        <w:spacing w:after="240"/>
      </w:pPr>
      <w:r>
        <w:rPr>
          <w:rFonts w:ascii="Open Sans" w:eastAsia="Open Sans" w:hAnsi="Open Sans" w:cs="Open Sans"/>
          <w:color w:val="968694"/>
        </w:rPr>
        <w:t>Working draft for review · MASA / SAM (AccessNow) · synthesized from exploratory discussion. Figures and decisions are directional; requirements are split into Initial (v1) and Follow-up (v2+).</w:t>
      </w:r>
    </w:p>
    <w:p w14:paraId="1F479C16" w14:textId="77777777" w:rsidR="005D785E" w:rsidRDefault="00000000">
      <w:pPr>
        <w:keepNext/>
        <w:spacing w:before="300" w:after="120"/>
      </w:pPr>
      <w:r>
        <w:rPr>
          <w:rFonts w:ascii="Poppins" w:eastAsia="Poppins" w:hAnsi="Poppins" w:cs="Poppins"/>
          <w:b/>
          <w:bCs/>
          <w:color w:val="230871"/>
          <w:sz w:val="28"/>
          <w:szCs w:val="28"/>
        </w:rPr>
        <w:t>1. Purpose of this document</w:t>
      </w:r>
    </w:p>
    <w:p w14:paraId="193BB25D" w14:textId="77777777" w:rsidR="005D785E" w:rsidRDefault="00000000">
      <w:pPr>
        <w:spacing w:after="120" w:line="276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This document captures the concept, logic, architecture, and requirements for an evergreen advocacy layer for SAM, using the Household Readiness Check as the first build. It is a synthesis of a design discussion, intended to give reviewers the reasoning behind what we are considering — not only a feature list. Requirements are organized as Initial (v1) and Follow-up (v2+), followed by non-functional requirements and the open decisions that reviewers should weigh in on.</w:t>
      </w:r>
    </w:p>
    <w:p w14:paraId="2236605F" w14:textId="77777777" w:rsidR="005D785E" w:rsidRDefault="00000000">
      <w:pPr>
        <w:keepNext/>
        <w:spacing w:before="300" w:after="120"/>
      </w:pPr>
      <w:r>
        <w:rPr>
          <w:rFonts w:ascii="Poppins" w:eastAsia="Poppins" w:hAnsi="Poppins" w:cs="Poppins"/>
          <w:b/>
          <w:bCs/>
          <w:color w:val="230871"/>
          <w:sz w:val="28"/>
          <w:szCs w:val="28"/>
        </w:rPr>
        <w:t>2. Why we are building this (reasoning)</w:t>
      </w:r>
    </w:p>
    <w:p w14:paraId="1B1BD409" w14:textId="77777777" w:rsidR="005D785E" w:rsidRDefault="00000000">
      <w:pPr>
        <w:keepNext/>
        <w:spacing w:before="220" w:after="100"/>
      </w:pPr>
      <w:r>
        <w:rPr>
          <w:rFonts w:ascii="Poppins" w:eastAsia="Poppins" w:hAnsi="Poppins" w:cs="Poppins"/>
          <w:b/>
          <w:bCs/>
          <w:color w:val="230871"/>
          <w:sz w:val="23"/>
          <w:szCs w:val="23"/>
        </w:rPr>
        <w:t>2.1 The gap in today's SAM</w:t>
      </w:r>
    </w:p>
    <w:p w14:paraId="15A2279A" w14:textId="77777777" w:rsidR="005D785E" w:rsidRDefault="00000000">
      <w:pPr>
        <w:spacing w:after="120" w:line="276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SAM's two live experiences — Post-ER guidance and Medical Bill Advocacy — are both trigger-based: they activate off a transport claim or an existing bill. That means a member first meets the benefit during a crisis, which is the worst moment to discover value. The SAM/AccessNow strategy already names this "timing problem" and raises an open question about whether there should be a "test drive" experience that demonstrates value before a member needs it. The evergreen advocacy layer is that pre-trigger front door. It is not a new product so much as the missing top of the funnel the strategy has already flagged.</w:t>
      </w:r>
    </w:p>
    <w:p w14:paraId="08D5F99E" w14:textId="77777777" w:rsidR="005D785E" w:rsidRDefault="00000000">
      <w:pPr>
        <w:keepNext/>
        <w:spacing w:before="220" w:after="100"/>
      </w:pPr>
      <w:r>
        <w:rPr>
          <w:rFonts w:ascii="Poppins" w:eastAsia="Poppins" w:hAnsi="Poppins" w:cs="Poppins"/>
          <w:b/>
          <w:bCs/>
          <w:color w:val="230871"/>
          <w:sz w:val="23"/>
          <w:szCs w:val="23"/>
        </w:rPr>
        <w:t>2.2 Advocacy as the product, membership as the monetization</w:t>
      </w:r>
    </w:p>
    <w:p w14:paraId="13D5DE7E" w14:textId="77777777" w:rsidR="005D785E" w:rsidRDefault="00000000">
      <w:pPr>
        <w:spacing w:after="120" w:line="276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In the direct-to-consumer model this inverts the seminar logic: the advocacy experience is the product that earns trust and engagement, and MASA membership coverage is the monetization layer revealed at the natural moment. This is the strategic differentiator versus a coverage-first pitch.</w:t>
      </w:r>
    </w:p>
    <w:p w14:paraId="0EC5552D" w14:textId="77777777" w:rsidR="005D785E" w:rsidRDefault="00000000">
      <w:pPr>
        <w:keepNext/>
        <w:spacing w:before="220" w:after="100"/>
      </w:pPr>
      <w:r>
        <w:rPr>
          <w:rFonts w:ascii="Poppins" w:eastAsia="Poppins" w:hAnsi="Poppins" w:cs="Poppins"/>
          <w:b/>
          <w:bCs/>
          <w:color w:val="230871"/>
          <w:sz w:val="23"/>
          <w:szCs w:val="23"/>
        </w:rPr>
        <w:t>2.3 Why Household Readiness first</w:t>
      </w:r>
    </w:p>
    <w:p w14:paraId="43616B2D" w14:textId="77777777" w:rsidR="005D785E" w:rsidRDefault="00000000">
      <w:pPr>
        <w:spacing w:after="120" w:line="276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Household Readiness is a universal entry point with almost no emotional barrier — "would your family know what to do in an emergency?" applies to everyone, unlike a narrower, more emotionally loaded aging-parent tool. It is also the most natural place to surface MASA's actual coverage gap, because emergency readiness and emergency transport are the same conversation.</w:t>
      </w:r>
    </w:p>
    <w:p w14:paraId="0B59704C" w14:textId="77777777" w:rsidR="005D785E" w:rsidRDefault="00000000">
      <w:pPr>
        <w:keepNext/>
        <w:spacing w:before="220" w:after="100"/>
      </w:pPr>
      <w:r>
        <w:rPr>
          <w:rFonts w:ascii="Poppins" w:eastAsia="Poppins" w:hAnsi="Poppins" w:cs="Poppins"/>
          <w:b/>
          <w:bCs/>
          <w:color w:val="230871"/>
          <w:sz w:val="23"/>
          <w:szCs w:val="23"/>
        </w:rPr>
        <w:lastRenderedPageBreak/>
        <w:t>2.4 The three-sided value</w:t>
      </w:r>
    </w:p>
    <w:p w14:paraId="0135CA03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Direct-to-consumer: an engaging, repeatable experience that builds a household profile and warms a lead before any sale.</w:t>
      </w:r>
    </w:p>
    <w:p w14:paraId="079383A0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Seminar channel: readiness content that anchors the value of coverage and pre-qualifies interest.</w:t>
      </w:r>
    </w:p>
    <w:p w14:paraId="412D3CE2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Group / broker: an enrollment and engagement asset that differentiates the offering.</w:t>
      </w:r>
    </w:p>
    <w:p w14:paraId="7F859270" w14:textId="77777777" w:rsidR="005D785E" w:rsidRDefault="00000000">
      <w:pPr>
        <w:keepNext/>
        <w:spacing w:before="300" w:after="120"/>
      </w:pPr>
      <w:r>
        <w:rPr>
          <w:rFonts w:ascii="Poppins" w:eastAsia="Poppins" w:hAnsi="Poppins" w:cs="Poppins"/>
          <w:b/>
          <w:bCs/>
          <w:color w:val="230871"/>
          <w:sz w:val="28"/>
          <w:szCs w:val="28"/>
        </w:rPr>
        <w:t>3. Product concept</w:t>
      </w:r>
    </w:p>
    <w:p w14:paraId="424FBD3C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b/>
          <w:bCs/>
          <w:color w:val="230871"/>
          <w:sz w:val="21"/>
          <w:szCs w:val="21"/>
        </w:rPr>
        <w:t xml:space="preserve">Household Readiness Check. </w:t>
      </w:r>
      <w:r>
        <w:rPr>
          <w:rFonts w:ascii="Open Sans" w:eastAsia="Open Sans" w:hAnsi="Open Sans" w:cs="Open Sans"/>
          <w:color w:val="262626"/>
          <w:sz w:val="21"/>
          <w:szCs w:val="21"/>
        </w:rPr>
        <w:t>A guided, personalized experience (~5 minutes) that scores a household's emergency readiness, returns the three most important next steps, and generates a usable artifact.</w:t>
      </w:r>
    </w:p>
    <w:p w14:paraId="081B8C07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b/>
          <w:bCs/>
          <w:color w:val="230871"/>
          <w:sz w:val="21"/>
          <w:szCs w:val="21"/>
        </w:rPr>
        <w:t xml:space="preserve">The Family Readiness File (the spine). </w:t>
      </w:r>
      <w:r>
        <w:rPr>
          <w:rFonts w:ascii="Open Sans" w:eastAsia="Open Sans" w:hAnsi="Open Sans" w:cs="Open Sans"/>
          <w:color w:val="262626"/>
          <w:sz w:val="21"/>
          <w:szCs w:val="21"/>
        </w:rPr>
        <w:t>Every interaction quietly writes to a shared household profile. This profile — not any single checklist — is the durable product and data asset: it makes the next session smarter, warms the funnel, and can later feed MASA's event-trigger work.</w:t>
      </w:r>
    </w:p>
    <w:p w14:paraId="23D7AB3B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b/>
          <w:bCs/>
          <w:color w:val="230871"/>
          <w:sz w:val="21"/>
          <w:szCs w:val="21"/>
        </w:rPr>
        <w:t xml:space="preserve">Readiness meter that never reaches 100%. </w:t>
      </w:r>
      <w:r>
        <w:rPr>
          <w:rFonts w:ascii="Open Sans" w:eastAsia="Open Sans" w:hAnsi="Open Sans" w:cs="Open Sans"/>
          <w:color w:val="262626"/>
          <w:sz w:val="21"/>
          <w:szCs w:val="21"/>
        </w:rPr>
        <w:t>Open loops over closure. There is always a visible next step, which is the return-visit mechanic.</w:t>
      </w:r>
    </w:p>
    <w:p w14:paraId="23D0C33D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b/>
          <w:bCs/>
          <w:color w:val="230871"/>
          <w:sz w:val="21"/>
          <w:szCs w:val="21"/>
        </w:rPr>
        <w:t xml:space="preserve">Coverage-gap reveal as the monetization seam. </w:t>
      </w:r>
      <w:r>
        <w:rPr>
          <w:rFonts w:ascii="Open Sans" w:eastAsia="Open Sans" w:hAnsi="Open Sans" w:cs="Open Sans"/>
          <w:color w:val="262626"/>
          <w:sz w:val="21"/>
          <w:szCs w:val="21"/>
        </w:rPr>
        <w:t>The moment a household sees what its existing coverage does not cover is the natural, honest place to introduce MASA transport benefits.</w:t>
      </w:r>
    </w:p>
    <w:p w14:paraId="1ADEB59B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b/>
          <w:bCs/>
          <w:color w:val="230871"/>
          <w:sz w:val="21"/>
          <w:szCs w:val="21"/>
        </w:rPr>
        <w:t xml:space="preserve">Mayo Clinic as the evidence layer. </w:t>
      </w:r>
      <w:r>
        <w:rPr>
          <w:rFonts w:ascii="Open Sans" w:eastAsia="Open Sans" w:hAnsi="Open Sans" w:cs="Open Sans"/>
          <w:color w:val="262626"/>
          <w:sz w:val="21"/>
          <w:szCs w:val="21"/>
        </w:rPr>
        <w:t>Trusted clinical content appears at the point of need and is cited — not offered as a browsable library. This provides credibility, supports the GEO/citability strategy, and protects the health-adjacent (YMYL) surface.</w:t>
      </w:r>
    </w:p>
    <w:p w14:paraId="6CE9C8DB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b/>
          <w:bCs/>
          <w:color w:val="230871"/>
          <w:sz w:val="21"/>
          <w:szCs w:val="21"/>
        </w:rPr>
        <w:t xml:space="preserve">YMYL guardrails from day one. </w:t>
      </w:r>
      <w:r>
        <w:rPr>
          <w:rFonts w:ascii="Open Sans" w:eastAsia="Open Sans" w:hAnsi="Open Sans" w:cs="Open Sans"/>
          <w:color w:val="262626"/>
          <w:sz w:val="21"/>
          <w:szCs w:val="21"/>
        </w:rPr>
        <w:t>Health-adjacent guidance requires safety guardrails designed in from the start, not retrofitted.</w:t>
      </w:r>
    </w:p>
    <w:p w14:paraId="5FCB79AF" w14:textId="77777777" w:rsidR="005D785E" w:rsidRDefault="00000000">
      <w:pPr>
        <w:spacing w:after="120" w:line="276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A working interactive prototype of this flow has been produced as a companion deliverable (</w:t>
      </w:r>
      <w:r>
        <w:rPr>
          <w:rFonts w:ascii="Open Sans" w:eastAsia="Open Sans" w:hAnsi="Open Sans" w:cs="Open Sans"/>
          <w:i/>
          <w:iCs/>
          <w:color w:val="262626"/>
          <w:sz w:val="21"/>
          <w:szCs w:val="21"/>
        </w:rPr>
        <w:t>SAM_Household_Readiness_Check.html</w:t>
      </w:r>
      <w:r>
        <w:rPr>
          <w:rFonts w:ascii="Open Sans" w:eastAsia="Open Sans" w:hAnsi="Open Sans" w:cs="Open Sans"/>
          <w:color w:val="262626"/>
          <w:sz w:val="21"/>
          <w:szCs w:val="21"/>
        </w:rPr>
        <w:t>) and demonstrates the branching intake, the readiness meter, the generated artifact, the follow-up loops, and the coverage seam.</w:t>
      </w:r>
    </w:p>
    <w:p w14:paraId="1C081FCB" w14:textId="77777777" w:rsidR="005D785E" w:rsidRDefault="00000000">
      <w:pPr>
        <w:keepNext/>
        <w:spacing w:before="300" w:after="120"/>
      </w:pPr>
      <w:r>
        <w:rPr>
          <w:rFonts w:ascii="Poppins" w:eastAsia="Poppins" w:hAnsi="Poppins" w:cs="Poppins"/>
          <w:b/>
          <w:bCs/>
          <w:color w:val="230871"/>
          <w:sz w:val="28"/>
          <w:szCs w:val="28"/>
        </w:rPr>
        <w:t>4. Design principles (the logic distilled)</w:t>
      </w:r>
    </w:p>
    <w:p w14:paraId="7EB873D4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Intelligence comes from relevance, not length: a short flow that adapts feels smarter than a long static checklist.</w:t>
      </w:r>
    </w:p>
    <w:p w14:paraId="054077FE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Organize around the user's job ("help me prepare"), not the medical condition.</w:t>
      </w:r>
    </w:p>
    <w:p w14:paraId="1547F503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Every interaction should produce a tangible artifact and open exactly one new loop.</w:t>
      </w:r>
    </w:p>
    <w:p w14:paraId="048F2E3D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The profile is the product; tools are how it gets filled in.</w:t>
      </w:r>
    </w:p>
    <w:p w14:paraId="03ED8BD7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lastRenderedPageBreak/>
        <w:t>Every flow needs a live seam to a MASA service and to a human tier — that closed loop is the moat versus a generic AI assistant.</w:t>
      </w:r>
    </w:p>
    <w:p w14:paraId="4B1A7AFD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Authored content is bounded and maintainable; the experienced product is combinatorially large. Keep the gap wide with personalization and (later) the LLM layer.</w:t>
      </w:r>
    </w:p>
    <w:p w14:paraId="51ED2B7A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Safe by construction on the rails; spend the safety budget where free text enters.</w:t>
      </w:r>
    </w:p>
    <w:p w14:paraId="12A9D2EC" w14:textId="77777777" w:rsidR="005D785E" w:rsidRDefault="00000000">
      <w:pPr>
        <w:keepNext/>
        <w:spacing w:before="300" w:after="120"/>
      </w:pPr>
      <w:r>
        <w:rPr>
          <w:rFonts w:ascii="Poppins" w:eastAsia="Poppins" w:hAnsi="Poppins" w:cs="Poppins"/>
          <w:b/>
          <w:bCs/>
          <w:color w:val="230871"/>
          <w:sz w:val="28"/>
          <w:szCs w:val="28"/>
        </w:rPr>
        <w:t>5. Architecture overview</w:t>
      </w:r>
    </w:p>
    <w:p w14:paraId="180D54EB" w14:textId="77777777" w:rsidR="005D785E" w:rsidRDefault="00000000">
      <w:pPr>
        <w:spacing w:after="120" w:line="276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The stance is hybrid, not either/or: an LLM orchestrator as the connective tissue and router, deterministic guided flows as the rails, a shared profile as the spine, and a governed knowledge layer (Mayo + MASA) as the evidence — with defined seams where free text hands into a guided flow and back out. Tapped options run straight down the deterministic rails; free text is the only thing that touches the LLM.</w:t>
      </w:r>
    </w:p>
    <w:p w14:paraId="527F8327" w14:textId="77777777" w:rsidR="005D785E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62762E93" wp14:editId="6AE5B56F">
            <wp:extent cx="5600700" cy="4048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74976" w14:textId="77777777" w:rsidR="005D785E" w:rsidRDefault="00000000">
      <w:pPr>
        <w:spacing w:after="200"/>
        <w:jc w:val="center"/>
      </w:pPr>
      <w:r>
        <w:rPr>
          <w:rFonts w:ascii="Open Sans" w:eastAsia="Open Sans" w:hAnsi="Open Sans" w:cs="Open Sans"/>
          <w:i/>
          <w:iCs/>
          <w:color w:val="968694"/>
          <w:sz w:val="16"/>
          <w:szCs w:val="16"/>
        </w:rPr>
        <w:t>Figure 1. Hybrid architecture — free text is routed by the LLM orchestrator to a grounded answer or a guided flow; tapped options bypass the LLM; everything sits on the shared profile + knowledge foundation.</w:t>
      </w:r>
    </w:p>
    <w:p w14:paraId="5E29E29F" w14:textId="77777777" w:rsidR="005D785E" w:rsidRDefault="00000000">
      <w:pPr>
        <w:keepNext/>
        <w:spacing w:before="220" w:after="100"/>
      </w:pPr>
      <w:r>
        <w:rPr>
          <w:rFonts w:ascii="Poppins" w:eastAsia="Poppins" w:hAnsi="Poppins" w:cs="Poppins"/>
          <w:b/>
          <w:bCs/>
          <w:color w:val="230871"/>
          <w:sz w:val="23"/>
          <w:szCs w:val="23"/>
        </w:rPr>
        <w:t>5.1 The reusable node-type library</w:t>
      </w:r>
    </w:p>
    <w:p w14:paraId="07E7D4CB" w14:textId="77777777" w:rsidR="005D785E" w:rsidRDefault="00000000">
      <w:pPr>
        <w:spacing w:after="120" w:line="276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Every flow is composed from the same eight node types, which is what keeps the library maintainable as it grows:</w:t>
      </w:r>
    </w:p>
    <w:tbl>
      <w:tblPr>
        <w:tblW w:w="9360" w:type="dxa"/>
        <w:tblBorders>
          <w:top w:val="single" w:sz="2" w:space="0" w:color="C9C2D6"/>
          <w:left w:val="single" w:sz="2" w:space="0" w:color="C9C2D6"/>
          <w:bottom w:val="single" w:sz="2" w:space="0" w:color="C9C2D6"/>
          <w:right w:val="single" w:sz="2" w:space="0" w:color="C9C2D6"/>
          <w:insideH w:val="single" w:sz="2" w:space="0" w:color="C9C2D6"/>
          <w:insideV w:val="single" w:sz="2" w:space="0" w:color="C9C2D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5D785E" w14:paraId="7A1EDE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3087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DB2551" w14:textId="77777777" w:rsidR="005D785E" w:rsidRDefault="00000000">
            <w:pPr>
              <w:spacing w:line="250" w:lineRule="auto"/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8"/>
              </w:rPr>
              <w:lastRenderedPageBreak/>
              <w:t>Node type</w:t>
            </w:r>
          </w:p>
        </w:tc>
        <w:tc>
          <w:tcPr>
            <w:tcW w:w="6760" w:type="dxa"/>
            <w:shd w:val="clear" w:color="auto" w:fill="23087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338FC1" w14:textId="77777777" w:rsidR="005D785E" w:rsidRDefault="00000000">
            <w:pPr>
              <w:spacing w:line="250" w:lineRule="auto"/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</w:tr>
      <w:tr w:rsidR="005D785E" w14:paraId="1206BE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4D3965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Content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9F8D90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SAM says something; may pull a knowledge block.</w:t>
            </w:r>
          </w:p>
        </w:tc>
      </w:tr>
      <w:tr w:rsidR="005D785E" w14:paraId="708E25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B9CD23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Question</w:t>
            </w:r>
          </w:p>
        </w:tc>
        <w:tc>
          <w:tcPr>
            <w:tcW w:w="676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FF91EE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Deterministic options, with an optional free-text escape hatch.</w:t>
            </w:r>
          </w:p>
        </w:tc>
      </w:tr>
      <w:tr w:rsidR="005D785E" w14:paraId="5B743A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45BCD2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Free-text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69948A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Open box; routed through the LLM orchestrator.</w:t>
            </w:r>
          </w:p>
        </w:tc>
      </w:tr>
      <w:tr w:rsidR="005D785E" w14:paraId="3761FF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EA1FC8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Decision</w:t>
            </w:r>
          </w:p>
        </w:tc>
        <w:tc>
          <w:tcPr>
            <w:tcW w:w="676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D2004A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Pure logic over the profile; no user input.</w:t>
            </w:r>
          </w:p>
        </w:tc>
      </w:tr>
      <w:tr w:rsidR="005D785E" w14:paraId="785648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90219B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Compute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661592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Scoring and derived values.</w:t>
            </w:r>
          </w:p>
        </w:tc>
      </w:tr>
      <w:tr w:rsidR="005D785E" w14:paraId="28603B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357943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Artifact</w:t>
            </w:r>
          </w:p>
        </w:tc>
        <w:tc>
          <w:tcPr>
            <w:tcW w:w="676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79BD4F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Renders a template from the profile.</w:t>
            </w:r>
          </w:p>
        </w:tc>
      </w:tr>
      <w:tr w:rsidR="005D785E" w14:paraId="003729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D728AB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Seam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3FDE11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Coverage reveal, human handoff, share, or cross-flow jump.</w:t>
            </w:r>
          </w:p>
        </w:tc>
      </w:tr>
      <w:tr w:rsidR="005D785E" w14:paraId="057361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529378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Return</w:t>
            </w:r>
          </w:p>
        </w:tc>
        <w:tc>
          <w:tcPr>
            <w:tcW w:w="676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F04426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Change-detection for repeat visits.</w:t>
            </w:r>
          </w:p>
        </w:tc>
      </w:tr>
    </w:tbl>
    <w:p w14:paraId="365F7502" w14:textId="77777777" w:rsidR="005D785E" w:rsidRDefault="005D785E">
      <w:pPr>
        <w:spacing w:after="80"/>
      </w:pPr>
    </w:p>
    <w:p w14:paraId="0718B189" w14:textId="77777777" w:rsidR="005D785E" w:rsidRDefault="00000000">
      <w:pPr>
        <w:keepNext/>
        <w:spacing w:before="220" w:after="100"/>
      </w:pPr>
      <w:r>
        <w:rPr>
          <w:rFonts w:ascii="Poppins" w:eastAsia="Poppins" w:hAnsi="Poppins" w:cs="Poppins"/>
          <w:b/>
          <w:bCs/>
          <w:color w:val="230871"/>
          <w:sz w:val="23"/>
          <w:szCs w:val="23"/>
        </w:rPr>
        <w:t>5.2 The profile schema (the spine)</w:t>
      </w:r>
    </w:p>
    <w:p w14:paraId="595F8625" w14:textId="77777777" w:rsidR="005D785E" w:rsidRDefault="00000000">
      <w:pPr>
        <w:spacing w:after="120" w:line="276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A single shared object that every node in every flow reads and writes: household / identity; health &amp; vulnerability; geo &amp; environmental risk; readiness inventory; top worry; artifacts built; coverage status (member vs. prospect); an event log (for change detection); and consent flags.</w:t>
      </w:r>
    </w:p>
    <w:p w14:paraId="40AA2E2E" w14:textId="77777777" w:rsidR="005D785E" w:rsidRDefault="00000000">
      <w:pPr>
        <w:keepNext/>
        <w:spacing w:before="220" w:after="100"/>
      </w:pPr>
      <w:r>
        <w:rPr>
          <w:rFonts w:ascii="Poppins" w:eastAsia="Poppins" w:hAnsi="Poppins" w:cs="Poppins"/>
          <w:b/>
          <w:bCs/>
          <w:color w:val="230871"/>
          <w:sz w:val="23"/>
          <w:szCs w:val="23"/>
        </w:rPr>
        <w:t>5.3 Scale — authored vs. experienced</w:t>
      </w:r>
    </w:p>
    <w:p w14:paraId="5BBA7466" w14:textId="77777777" w:rsidR="005D785E" w:rsidRDefault="00000000">
      <w:pPr>
        <w:spacing w:after="120" w:line="276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The number that matters is authored vs. experienced content. A launch library might be ~10 flows, a shared bank of ~50 questions, ~200 knowledge blocks, and ~20 artifact templates — a few hundred authored objects a small team can own. But the experienced surface is combinatorial: flows × branching × six personalization axes × longitudinal state, plus free text, makes the number of distinct sessions effectively unbounded. The goal is to keep authored content bounded while the experienced product feels bespoke.</w:t>
      </w:r>
    </w:p>
    <w:p w14:paraId="1B105728" w14:textId="77777777" w:rsidR="005D785E" w:rsidRDefault="00000000">
      <w:pPr>
        <w:keepNext/>
        <w:spacing w:before="300" w:after="120"/>
      </w:pPr>
      <w:r>
        <w:rPr>
          <w:rFonts w:ascii="Poppins" w:eastAsia="Poppins" w:hAnsi="Poppins" w:cs="Poppins"/>
          <w:b/>
          <w:bCs/>
          <w:color w:val="230871"/>
          <w:sz w:val="28"/>
          <w:szCs w:val="28"/>
        </w:rPr>
        <w:t>6. The content flow — Household Readiness (expanded)</w:t>
      </w:r>
    </w:p>
    <w:p w14:paraId="5CEC54CC" w14:textId="77777777" w:rsidR="005D785E" w:rsidRDefault="00000000">
      <w:pPr>
        <w:spacing w:after="120" w:line="276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 xml:space="preserve">The prototype showed an abbreviated five-question slice. Fully authored, the flow is ~9 stages and ~30 nodes with branching most users never fully see. Markers: </w:t>
      </w:r>
      <w:r>
        <w:rPr>
          <w:rFonts w:ascii="Open Sans" w:eastAsia="Open Sans" w:hAnsi="Open Sans" w:cs="Open Sans"/>
          <w:b/>
          <w:bCs/>
          <w:color w:val="0071CE"/>
          <w:sz w:val="21"/>
          <w:szCs w:val="21"/>
        </w:rPr>
        <w:t>[FT]</w:t>
      </w:r>
      <w:r>
        <w:rPr>
          <w:rFonts w:ascii="Open Sans" w:eastAsia="Open Sans" w:hAnsi="Open Sans" w:cs="Open Sans"/>
          <w:color w:val="262626"/>
          <w:sz w:val="21"/>
          <w:szCs w:val="21"/>
        </w:rPr>
        <w:t xml:space="preserve"> free-text slot · </w:t>
      </w:r>
      <w:r>
        <w:rPr>
          <w:rFonts w:ascii="Open Sans" w:eastAsia="Open Sans" w:hAnsi="Open Sans" w:cs="Open Sans"/>
          <w:b/>
          <w:bCs/>
          <w:color w:val="0071CE"/>
          <w:sz w:val="21"/>
          <w:szCs w:val="21"/>
        </w:rPr>
        <w:t>[PERS]</w:t>
      </w:r>
      <w:r>
        <w:rPr>
          <w:rFonts w:ascii="Open Sans" w:eastAsia="Open Sans" w:hAnsi="Open Sans" w:cs="Open Sans"/>
          <w:color w:val="262626"/>
          <w:sz w:val="21"/>
          <w:szCs w:val="21"/>
        </w:rPr>
        <w:t xml:space="preserve"> personalization fork · </w:t>
      </w:r>
      <w:r>
        <w:rPr>
          <w:rFonts w:ascii="Open Sans" w:eastAsia="Open Sans" w:hAnsi="Open Sans" w:cs="Open Sans"/>
          <w:b/>
          <w:bCs/>
          <w:color w:val="0071CE"/>
          <w:sz w:val="21"/>
          <w:szCs w:val="21"/>
        </w:rPr>
        <w:t>[MAYO]/[MASA]</w:t>
      </w:r>
      <w:r>
        <w:rPr>
          <w:rFonts w:ascii="Open Sans" w:eastAsia="Open Sans" w:hAnsi="Open Sans" w:cs="Open Sans"/>
          <w:color w:val="262626"/>
          <w:sz w:val="21"/>
          <w:szCs w:val="21"/>
        </w:rPr>
        <w:t xml:space="preserve"> knowledge or coverage hook · </w:t>
      </w:r>
      <w:r>
        <w:rPr>
          <w:rFonts w:ascii="Open Sans" w:eastAsia="Open Sans" w:hAnsi="Open Sans" w:cs="Open Sans"/>
          <w:b/>
          <w:bCs/>
          <w:color w:val="0071CE"/>
          <w:sz w:val="21"/>
          <w:szCs w:val="21"/>
        </w:rPr>
        <w:t>[ART]</w:t>
      </w:r>
      <w:r>
        <w:rPr>
          <w:rFonts w:ascii="Open Sans" w:eastAsia="Open Sans" w:hAnsi="Open Sans" w:cs="Open Sans"/>
          <w:color w:val="262626"/>
          <w:sz w:val="21"/>
          <w:szCs w:val="21"/>
        </w:rPr>
        <w:t xml:space="preserve"> artifact · </w:t>
      </w:r>
      <w:r>
        <w:rPr>
          <w:rFonts w:ascii="Open Sans" w:eastAsia="Open Sans" w:hAnsi="Open Sans" w:cs="Open Sans"/>
          <w:b/>
          <w:bCs/>
          <w:color w:val="0071CE"/>
          <w:sz w:val="21"/>
          <w:szCs w:val="21"/>
        </w:rPr>
        <w:t>[SEAM]</w:t>
      </w:r>
      <w:r>
        <w:rPr>
          <w:rFonts w:ascii="Open Sans" w:eastAsia="Open Sans" w:hAnsi="Open Sans" w:cs="Open Sans"/>
          <w:color w:val="262626"/>
          <w:sz w:val="21"/>
          <w:szCs w:val="21"/>
        </w:rPr>
        <w:t xml:space="preserve"> jump out.</w:t>
      </w:r>
    </w:p>
    <w:p w14:paraId="717E09F2" w14:textId="77777777" w:rsidR="005D785E" w:rsidRDefault="00000000">
      <w:pPr>
        <w:spacing w:before="140" w:after="60"/>
      </w:pPr>
      <w:r>
        <w:rPr>
          <w:rFonts w:ascii="Poppins" w:eastAsia="Poppins" w:hAnsi="Poppins" w:cs="Poppins"/>
          <w:b/>
          <w:bCs/>
          <w:color w:val="230871"/>
        </w:rPr>
        <w:t>Stage 0 · Open</w:t>
      </w:r>
    </w:p>
    <w:p w14:paraId="0B508214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Welcome (content) [PERS: new vs. returning]. Returning sessions open on change-detection instead of intake.</w:t>
      </w:r>
    </w:p>
    <w:p w14:paraId="2A9AE1CE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Cold-open box — "What's on your mind about being prepared?" [FT → router]. Can pre-fill the profile and skip stages.</w:t>
      </w:r>
    </w:p>
    <w:p w14:paraId="12D55994" w14:textId="77777777" w:rsidR="005D785E" w:rsidRDefault="00000000">
      <w:pPr>
        <w:spacing w:before="140" w:after="60"/>
      </w:pPr>
      <w:r>
        <w:rPr>
          <w:rFonts w:ascii="Poppins" w:eastAsia="Poppins" w:hAnsi="Poppins" w:cs="Poppins"/>
          <w:b/>
          <w:bCs/>
          <w:color w:val="230871"/>
        </w:rPr>
        <w:t>Stage 1 · Household framing</w:t>
      </w:r>
    </w:p>
    <w:p w14:paraId="1DDA5005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lastRenderedPageBreak/>
        <w:t>Household type — solo / couple / kids / multi-gen / caregiver [PERS: the biggest fork] + [FT: "it's complicated"].</w:t>
      </w:r>
    </w:p>
    <w:p w14:paraId="5B3C8DB5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Branches: caregiver → nearby vs. long-distance (unlocks a remote-coordination track); multi-gen → who lives under the roof.</w:t>
      </w:r>
    </w:p>
    <w:p w14:paraId="3D1533F1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Health / vulnerability status [PERS] + [FT: "tell me about their health"] [MAYO: normal-aging vs. warning-signs].</w:t>
      </w:r>
    </w:p>
    <w:p w14:paraId="7176808F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Branch (condition/mobility): medication count, mobility aids, cognitive changes → risk weighting.</w:t>
      </w:r>
    </w:p>
    <w:p w14:paraId="6A2EF03F" w14:textId="77777777" w:rsidR="005D785E" w:rsidRDefault="00000000">
      <w:pPr>
        <w:spacing w:before="140" w:after="60"/>
      </w:pPr>
      <w:r>
        <w:rPr>
          <w:rFonts w:ascii="Poppins" w:eastAsia="Poppins" w:hAnsi="Poppins" w:cs="Poppins"/>
          <w:b/>
          <w:bCs/>
          <w:color w:val="230871"/>
        </w:rPr>
        <w:t>Stage 2 · Context &amp; environmental risk</w:t>
      </w:r>
    </w:p>
    <w:p w14:paraId="25C39C4C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Geo / situational risk — disaster-prone / rural / frequent travel / none [PERS], with auto-detect option.</w:t>
      </w:r>
    </w:p>
    <w:p w14:paraId="5C4FC94E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Branches: disaster → hazard type (seasonal content set); travel → domestic vs. international [SEAM → Travel Readiness].</w:t>
      </w:r>
    </w:p>
    <w:p w14:paraId="7BEA89ED" w14:textId="77777777" w:rsidR="005D785E" w:rsidRDefault="00000000">
      <w:pPr>
        <w:spacing w:before="140" w:after="60"/>
      </w:pPr>
      <w:r>
        <w:rPr>
          <w:rFonts w:ascii="Poppins" w:eastAsia="Poppins" w:hAnsi="Poppins" w:cs="Poppins"/>
          <w:b/>
          <w:bCs/>
          <w:color w:val="230871"/>
        </w:rPr>
        <w:t>Stage 3 · Current-state inventory (drives the score)</w:t>
      </w:r>
    </w:p>
    <w:p w14:paraId="6FBA4C12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What's already in place — meds list / contacts / decision-maker / cost plan / go-bag (multi-select).</w:t>
      </w:r>
    </w:p>
    <w:p w14:paraId="59053BDC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Per-gap deepeners (conditional), e.g. proxy vs. POA [MAYO]. + [FT: partial-state resolution].</w:t>
      </w:r>
    </w:p>
    <w:p w14:paraId="38D6415C" w14:textId="77777777" w:rsidR="005D785E" w:rsidRDefault="00000000">
      <w:pPr>
        <w:spacing w:before="140" w:after="60"/>
      </w:pPr>
      <w:r>
        <w:rPr>
          <w:rFonts w:ascii="Poppins" w:eastAsia="Poppins" w:hAnsi="Poppins" w:cs="Poppins"/>
          <w:b/>
          <w:bCs/>
          <w:color w:val="230871"/>
        </w:rPr>
        <w:t>Stage 4 · Worry / prioritization</w:t>
      </w:r>
    </w:p>
    <w:p w14:paraId="0E96497B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Top worry [PERS: reorders everything downstream] + [FT: free-form worry → classifier].</w:t>
      </w:r>
    </w:p>
    <w:p w14:paraId="368DAC1B" w14:textId="77777777" w:rsidR="005D785E" w:rsidRDefault="00000000">
      <w:pPr>
        <w:spacing w:before="140" w:after="60"/>
      </w:pPr>
      <w:r>
        <w:rPr>
          <w:rFonts w:ascii="Poppins" w:eastAsia="Poppins" w:hAnsi="Poppins" w:cs="Poppins"/>
          <w:b/>
          <w:bCs/>
          <w:color w:val="230871"/>
        </w:rPr>
        <w:t>Stage 5 · Compute &amp; reveal</w:t>
      </w:r>
    </w:p>
    <w:p w14:paraId="74105907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Scoring (deterministic) → five dimensions + overall band; reveal opener changes by band [PERS].</w:t>
      </w:r>
    </w:p>
    <w:p w14:paraId="32345DDA" w14:textId="77777777" w:rsidR="005D785E" w:rsidRDefault="00000000">
      <w:pPr>
        <w:spacing w:before="140" w:after="60"/>
      </w:pPr>
      <w:r>
        <w:rPr>
          <w:rFonts w:ascii="Poppins" w:eastAsia="Poppins" w:hAnsi="Poppins" w:cs="Poppins"/>
          <w:b/>
          <w:bCs/>
          <w:color w:val="230871"/>
        </w:rPr>
        <w:t>Stage 6 · Next steps</w:t>
      </w:r>
    </w:p>
    <w:p w14:paraId="1E0134DC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A selector: top three chosen from a ~15-step candidate library, ranked by gaps × worry × vulnerability × geo; each step = content + [MAYO] + optional [SEAM].</w:t>
      </w:r>
    </w:p>
    <w:p w14:paraId="2F55AC65" w14:textId="77777777" w:rsidR="005D785E" w:rsidRDefault="00000000">
      <w:pPr>
        <w:spacing w:before="140" w:after="60"/>
      </w:pPr>
      <w:r>
        <w:rPr>
          <w:rFonts w:ascii="Poppins" w:eastAsia="Poppins" w:hAnsi="Poppins" w:cs="Poppins"/>
          <w:b/>
          <w:bCs/>
          <w:color w:val="230871"/>
        </w:rPr>
        <w:t>Stage 7 · Artifact generation</w:t>
      </w:r>
    </w:p>
    <w:p w14:paraId="04C37BAE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A selector: default Emergency Medical Card; conditionally adds Contact Tree, Go-Bag/Medication-Supply, Remote-Access checklist, or Evacuation plan. [FT fields normalized by LLM] [ART].</w:t>
      </w:r>
    </w:p>
    <w:p w14:paraId="5A6C85A5" w14:textId="77777777" w:rsidR="005D785E" w:rsidRDefault="00000000">
      <w:pPr>
        <w:spacing w:before="140" w:after="60"/>
      </w:pPr>
      <w:r>
        <w:rPr>
          <w:rFonts w:ascii="Poppins" w:eastAsia="Poppins" w:hAnsi="Poppins" w:cs="Poppins"/>
          <w:b/>
          <w:bCs/>
          <w:color w:val="230871"/>
        </w:rPr>
        <w:t>Stage 8 · Open loops</w:t>
      </w:r>
    </w:p>
    <w:p w14:paraId="104FF711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Follow-up chips [PERS: which appear]; "Ask SAM anything" box [FT → router]; save / six-month check-in / share [SEAM].</w:t>
      </w:r>
    </w:p>
    <w:p w14:paraId="66C5FEC5" w14:textId="77777777" w:rsidR="005D785E" w:rsidRDefault="00000000">
      <w:pPr>
        <w:spacing w:before="140" w:after="60"/>
      </w:pPr>
      <w:r>
        <w:rPr>
          <w:rFonts w:ascii="Poppins" w:eastAsia="Poppins" w:hAnsi="Poppins" w:cs="Poppins"/>
          <w:b/>
          <w:bCs/>
          <w:color w:val="230871"/>
        </w:rPr>
        <w:t>Stage 9 · Longitudinal return</w:t>
      </w:r>
    </w:p>
    <w:p w14:paraId="54CBC33A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Replays the stored profile, asks only what changed, re-scores, regenerates artifacts. The evergreen engine — only possible because Stages 1–4 wrote to a profile.</w:t>
      </w:r>
    </w:p>
    <w:p w14:paraId="24E7D404" w14:textId="30A27414" w:rsidR="005D785E" w:rsidRDefault="00000000" w:rsidP="001D760E">
      <w:r>
        <w:rPr>
          <w:rFonts w:ascii="Poppins" w:eastAsia="Poppins" w:hAnsi="Poppins" w:cs="Poppins"/>
          <w:b/>
          <w:bCs/>
          <w:color w:val="230871"/>
          <w:sz w:val="28"/>
          <w:szCs w:val="28"/>
        </w:rPr>
        <w:lastRenderedPageBreak/>
        <w:t>7. Free-text &amp; LLM design</w:t>
      </w:r>
    </w:p>
    <w:p w14:paraId="6CBD6754" w14:textId="77777777" w:rsidR="005D785E" w:rsidRDefault="00000000">
      <w:pPr>
        <w:keepNext/>
        <w:spacing w:before="220" w:after="100"/>
      </w:pPr>
      <w:r>
        <w:rPr>
          <w:rFonts w:ascii="Poppins" w:eastAsia="Poppins" w:hAnsi="Poppins" w:cs="Poppins"/>
          <w:b/>
          <w:bCs/>
          <w:color w:val="230871"/>
          <w:sz w:val="23"/>
          <w:szCs w:val="23"/>
        </w:rPr>
        <w:t>7.1 The six free-text ingress slots</w:t>
      </w:r>
    </w:p>
    <w:tbl>
      <w:tblPr>
        <w:tblW w:w="9360" w:type="dxa"/>
        <w:tblBorders>
          <w:top w:val="single" w:sz="2" w:space="0" w:color="C9C2D6"/>
          <w:left w:val="single" w:sz="2" w:space="0" w:color="C9C2D6"/>
          <w:bottom w:val="single" w:sz="2" w:space="0" w:color="C9C2D6"/>
          <w:right w:val="single" w:sz="2" w:space="0" w:color="C9C2D6"/>
          <w:insideH w:val="single" w:sz="2" w:space="0" w:color="C9C2D6"/>
          <w:insideV w:val="single" w:sz="2" w:space="0" w:color="C9C2D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160"/>
        <w:gridCol w:w="3000"/>
      </w:tblGrid>
      <w:tr w:rsidR="005D785E" w14:paraId="235518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3087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320577" w14:textId="77777777" w:rsidR="005D785E" w:rsidRDefault="00000000">
            <w:pPr>
              <w:spacing w:line="250" w:lineRule="auto"/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8"/>
              </w:rPr>
              <w:t>Slot</w:t>
            </w:r>
          </w:p>
        </w:tc>
        <w:tc>
          <w:tcPr>
            <w:tcW w:w="4160" w:type="dxa"/>
            <w:shd w:val="clear" w:color="auto" w:fill="23087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087B20" w14:textId="77777777" w:rsidR="005D785E" w:rsidRDefault="00000000">
            <w:pPr>
              <w:spacing w:line="250" w:lineRule="auto"/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3000" w:type="dxa"/>
            <w:shd w:val="clear" w:color="auto" w:fill="23087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84CC0" w14:textId="77777777" w:rsidR="005D785E" w:rsidRDefault="00000000">
            <w:pPr>
              <w:spacing w:line="250" w:lineRule="auto"/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8"/>
              </w:rPr>
              <w:t>Risk</w:t>
            </w:r>
          </w:p>
        </w:tc>
      </w:tr>
      <w:tr w:rsidR="005D785E" w14:paraId="71B69F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8F1E92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Cold open</w:t>
            </w:r>
          </w:p>
        </w:tc>
        <w:tc>
          <w:tcPr>
            <w:tcW w:w="41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94950B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Blank box at the start; often contains half the intake.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267DD8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Medium</w:t>
            </w:r>
          </w:p>
        </w:tc>
      </w:tr>
      <w:tr w:rsidR="005D785E" w14:paraId="02B0C9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1DA7F6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Mid-flow escape</w:t>
            </w:r>
          </w:p>
        </w:tc>
        <w:tc>
          <w:tcPr>
            <w:tcW w:w="416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C1413D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"…or just tell me" on any question; maps back to a branch.</w:t>
            </w:r>
          </w:p>
        </w:tc>
        <w:tc>
          <w:tcPr>
            <w:tcW w:w="300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F095D5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Medium</w:t>
            </w:r>
          </w:p>
        </w:tc>
      </w:tr>
      <w:tr w:rsidR="005D785E" w14:paraId="41D1E3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32B56B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Post-artifact Q&amp;A</w:t>
            </w:r>
          </w:p>
        </w:tc>
        <w:tc>
          <w:tcPr>
            <w:tcW w:w="41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66A49C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"Ask SAM anything"; where a question becomes a flow.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C5E43E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Medium–High</w:t>
            </w:r>
          </w:p>
        </w:tc>
      </w:tr>
      <w:tr w:rsidR="005D785E" w14:paraId="2B0623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1B5D06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Elaboration</w:t>
            </w:r>
          </w:p>
        </w:tc>
        <w:tc>
          <w:tcPr>
            <w:tcW w:w="416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CC76F6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"Why does this matter?" — answered from knowledge.</w:t>
            </w:r>
          </w:p>
        </w:tc>
        <w:tc>
          <w:tcPr>
            <w:tcW w:w="300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FC95A8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Low</w:t>
            </w:r>
          </w:p>
        </w:tc>
      </w:tr>
      <w:tr w:rsidR="005D785E" w14:paraId="6C3094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7F4FD5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Artifact fields</w:t>
            </w:r>
          </w:p>
        </w:tc>
        <w:tc>
          <w:tcPr>
            <w:tcW w:w="41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266EDB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Free text inside the card; LLM only normalizes.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777E2E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Low</w:t>
            </w:r>
          </w:p>
        </w:tc>
      </w:tr>
      <w:tr w:rsidR="005D785E" w14:paraId="7B7EDC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BE2B5A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Emotional / venting</w:t>
            </w:r>
          </w:p>
        </w:tc>
        <w:tc>
          <w:tcPr>
            <w:tcW w:w="416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91D35F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"I'm overwhelmed" — acknowledge, then route gently.</w:t>
            </w:r>
          </w:p>
        </w:tc>
        <w:tc>
          <w:tcPr>
            <w:tcW w:w="300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669569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High</w:t>
            </w:r>
          </w:p>
        </w:tc>
      </w:tr>
    </w:tbl>
    <w:p w14:paraId="4CD63E6E" w14:textId="77777777" w:rsidR="005D785E" w:rsidRDefault="005D785E">
      <w:pPr>
        <w:spacing w:after="80"/>
      </w:pPr>
    </w:p>
    <w:p w14:paraId="5225CE50" w14:textId="77777777" w:rsidR="005D785E" w:rsidRDefault="00000000">
      <w:pPr>
        <w:keepNext/>
        <w:spacing w:before="220" w:after="100"/>
      </w:pPr>
      <w:r>
        <w:rPr>
          <w:rFonts w:ascii="Poppins" w:eastAsia="Poppins" w:hAnsi="Poppins" w:cs="Poppins"/>
          <w:b/>
          <w:bCs/>
          <w:color w:val="230871"/>
          <w:sz w:val="23"/>
          <w:szCs w:val="23"/>
        </w:rPr>
        <w:t>7.2 The router</w:t>
      </w:r>
    </w:p>
    <w:p w14:paraId="0F68B06D" w14:textId="77777777" w:rsidR="005D785E" w:rsidRDefault="00000000">
      <w:pPr>
        <w:spacing w:after="120" w:line="276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An LLM classifier over a fixed intent taxonomy; every intent maps to a flow, a knowledge answer, or an escalation. Confidence-band behavior: a confident match offers or launches the flow; a medium match asks one clarifying question; a low match answers directly and surfaces two or three flow cards rather than guessing.</w:t>
      </w:r>
    </w:p>
    <w:p w14:paraId="3E450583" w14:textId="77777777" w:rsidR="005D785E" w:rsidRDefault="00000000">
      <w:pPr>
        <w:keepNext/>
        <w:spacing w:before="220" w:after="100"/>
      </w:pPr>
      <w:r>
        <w:rPr>
          <w:rFonts w:ascii="Poppins" w:eastAsia="Poppins" w:hAnsi="Poppins" w:cs="Poppins"/>
          <w:b/>
          <w:bCs/>
          <w:color w:val="230871"/>
          <w:sz w:val="23"/>
          <w:szCs w:val="23"/>
        </w:rPr>
        <w:t>7.3 Slot pre-fill (the highest-leverage feature)</w:t>
      </w:r>
    </w:p>
    <w:p w14:paraId="78F14A1A" w14:textId="77777777" w:rsidR="005D785E" w:rsidRDefault="00000000">
      <w:pPr>
        <w:spacing w:after="120" w:line="276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When someone types "my mom lives alone and just fell," the LLM does not only route — it extracts household type, vulnerability, and a recent fall event and writes them to the profile before the flow starts. The guided flow then skips the questions it already knows. So free text does not just open a flow; it makes the flow shorter. This is the thing a purely deterministic bot cannot do and a purely free-form LLM will not do reliably — and it is why the hybrid beats either alone.</w:t>
      </w:r>
    </w:p>
    <w:p w14:paraId="5BB4CDA4" w14:textId="77777777" w:rsidR="005D785E" w:rsidRDefault="00000000">
      <w:pPr>
        <w:keepNext/>
        <w:spacing w:before="220" w:after="100"/>
      </w:pPr>
      <w:r>
        <w:rPr>
          <w:rFonts w:ascii="Poppins" w:eastAsia="Poppins" w:hAnsi="Poppins" w:cs="Poppins"/>
          <w:b/>
          <w:bCs/>
          <w:color w:val="230871"/>
          <w:sz w:val="23"/>
          <w:szCs w:val="23"/>
        </w:rPr>
        <w:t>7.4 The reverse seam</w:t>
      </w:r>
    </w:p>
    <w:p w14:paraId="4241F2B5" w14:textId="77777777" w:rsidR="005D785E" w:rsidRDefault="00000000">
      <w:pPr>
        <w:spacing w:after="120" w:line="276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A guided flow hands back to free text at its natural exits: the "other" option, the end-of-flow open box, and the post-artifact "ask me anything."</w:t>
      </w:r>
    </w:p>
    <w:p w14:paraId="7708D355" w14:textId="77777777" w:rsidR="005D785E" w:rsidRDefault="00000000">
      <w:pPr>
        <w:keepNext/>
        <w:spacing w:before="220" w:after="100"/>
      </w:pPr>
      <w:r>
        <w:rPr>
          <w:rFonts w:ascii="Poppins" w:eastAsia="Poppins" w:hAnsi="Poppins" w:cs="Poppins"/>
          <w:b/>
          <w:bCs/>
          <w:color w:val="230871"/>
          <w:sz w:val="23"/>
          <w:szCs w:val="23"/>
        </w:rPr>
        <w:t>7.5 Guardrails (before any routing)</w:t>
      </w:r>
    </w:p>
    <w:p w14:paraId="28A04BF5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Safety classifier: emergency / self-harm / crisis routes to 911 or a human — never to a flow.</w:t>
      </w:r>
    </w:p>
    <w:p w14:paraId="288EB505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Scope classifier: in-domain vs. "SAM can't help with that."</w:t>
      </w:r>
    </w:p>
    <w:p w14:paraId="05C35171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No-diagnosis constraint and a persistent "guidance, not medical advice" disclaimer.</w:t>
      </w:r>
    </w:p>
    <w:p w14:paraId="3118209D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lastRenderedPageBreak/>
        <w:t>Grounding requirement: substantive claims trace to a Mayo or MASA block, not the model's open weights.</w:t>
      </w:r>
    </w:p>
    <w:p w14:paraId="05A7E23B" w14:textId="77777777" w:rsidR="005D785E" w:rsidRDefault="00000000">
      <w:pPr>
        <w:keepNext/>
        <w:spacing w:before="300" w:after="120"/>
      </w:pPr>
      <w:r>
        <w:rPr>
          <w:rFonts w:ascii="Poppins" w:eastAsia="Poppins" w:hAnsi="Poppins" w:cs="Poppins"/>
          <w:b/>
          <w:bCs/>
          <w:color w:val="230871"/>
          <w:sz w:val="28"/>
          <w:szCs w:val="28"/>
        </w:rPr>
        <w:t>8. Personalization dimensions</w:t>
      </w:r>
    </w:p>
    <w:tbl>
      <w:tblPr>
        <w:tblW w:w="9360" w:type="dxa"/>
        <w:tblBorders>
          <w:top w:val="single" w:sz="2" w:space="0" w:color="C9C2D6"/>
          <w:left w:val="single" w:sz="2" w:space="0" w:color="C9C2D6"/>
          <w:bottom w:val="single" w:sz="2" w:space="0" w:color="C9C2D6"/>
          <w:right w:val="single" w:sz="2" w:space="0" w:color="C9C2D6"/>
          <w:insideH w:val="single" w:sz="2" w:space="0" w:color="C9C2D6"/>
          <w:insideV w:val="single" w:sz="2" w:space="0" w:color="C9C2D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D785E" w14:paraId="26D81D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3087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9EB7F2" w14:textId="77777777" w:rsidR="005D785E" w:rsidRDefault="00000000">
            <w:pPr>
              <w:spacing w:line="250" w:lineRule="auto"/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8"/>
              </w:rPr>
              <w:t>Axis</w:t>
            </w:r>
          </w:p>
        </w:tc>
        <w:tc>
          <w:tcPr>
            <w:tcW w:w="6960" w:type="dxa"/>
            <w:shd w:val="clear" w:color="auto" w:fill="23087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036F78" w14:textId="77777777" w:rsidR="005D785E" w:rsidRDefault="00000000">
            <w:pPr>
              <w:spacing w:line="250" w:lineRule="auto"/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8"/>
              </w:rPr>
              <w:t>What it mutates</w:t>
            </w:r>
          </w:p>
        </w:tc>
      </w:tr>
      <w:tr w:rsidR="005D785E" w14:paraId="0A2A1E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DF0FA7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Profile facets</w:t>
            </w:r>
          </w:p>
        </w:tc>
        <w:tc>
          <w:tcPr>
            <w:tcW w:w="69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685FA5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Which questions, the score, the steps, the artifact (household, vulnerability, geo, worry, coverage).</w:t>
            </w:r>
          </w:p>
        </w:tc>
      </w:tr>
      <w:tr w:rsidR="005D785E" w14:paraId="792213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F21A3C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Role</w:t>
            </w:r>
          </w:p>
        </w:tc>
        <w:tc>
          <w:tcPr>
            <w:tcW w:w="696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E52DFD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Framing and pronouns for patient vs. caregiver vs. remote sibling; the artifact shifts.</w:t>
            </w:r>
          </w:p>
        </w:tc>
      </w:tr>
      <w:tr w:rsidR="005D785E" w14:paraId="7A2F92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571334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Longitudinal state</w:t>
            </w:r>
          </w:p>
        </w:tc>
        <w:tc>
          <w:tcPr>
            <w:tcW w:w="69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8868F6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First visit (intake) vs. return (change-detection open).</w:t>
            </w:r>
          </w:p>
        </w:tc>
      </w:tr>
      <w:tr w:rsidR="005D785E" w14:paraId="7F6324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18646F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Entry context</w:t>
            </w:r>
          </w:p>
        </w:tc>
        <w:tc>
          <w:tcPr>
            <w:tcW w:w="696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D1B03E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Organic page vs. in-app vs. post-seminar vs. shared link ("merge second member" mode).</w:t>
            </w:r>
          </w:p>
        </w:tc>
      </w:tr>
      <w:tr w:rsidR="005D785E" w14:paraId="10FCA3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69CA6E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Member vs. prospect</w:t>
            </w:r>
          </w:p>
        </w:tc>
        <w:tc>
          <w:tcPr>
            <w:tcW w:w="69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87A61F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Coverage referenced vs. revealed as a gap — flips the tone of the coverage seam.</w:t>
            </w:r>
          </w:p>
        </w:tc>
      </w:tr>
      <w:tr w:rsidR="005D785E" w14:paraId="4FEE4C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1F97A2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Free-text signal</w:t>
            </w:r>
          </w:p>
        </w:tc>
        <w:tc>
          <w:tcPr>
            <w:tcW w:w="696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090AC1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Anything the LLM harvested that no deterministic question asked.</w:t>
            </w:r>
          </w:p>
        </w:tc>
      </w:tr>
    </w:tbl>
    <w:p w14:paraId="040BFBE0" w14:textId="77777777" w:rsidR="005D785E" w:rsidRDefault="00000000">
      <w:r>
        <w:br w:type="page"/>
      </w:r>
    </w:p>
    <w:p w14:paraId="5ACA66D0" w14:textId="77777777" w:rsidR="005D785E" w:rsidRDefault="00000000">
      <w:pPr>
        <w:keepNext/>
        <w:spacing w:before="300" w:after="120"/>
      </w:pPr>
      <w:r>
        <w:rPr>
          <w:rFonts w:ascii="Poppins" w:eastAsia="Poppins" w:hAnsi="Poppins" w:cs="Poppins"/>
          <w:b/>
          <w:bCs/>
          <w:color w:val="230871"/>
          <w:sz w:val="28"/>
          <w:szCs w:val="28"/>
        </w:rPr>
        <w:lastRenderedPageBreak/>
        <w:t>9. Requirements</w:t>
      </w:r>
    </w:p>
    <w:p w14:paraId="21D71A5F" w14:textId="77777777" w:rsidR="005D785E" w:rsidRDefault="00000000">
      <w:pPr>
        <w:keepNext/>
        <w:spacing w:before="220" w:after="100"/>
      </w:pPr>
      <w:r>
        <w:rPr>
          <w:rFonts w:ascii="Poppins" w:eastAsia="Poppins" w:hAnsi="Poppins" w:cs="Poppins"/>
          <w:b/>
          <w:bCs/>
          <w:color w:val="230871"/>
          <w:sz w:val="23"/>
          <w:szCs w:val="23"/>
        </w:rPr>
        <w:t>9.1 Initial (v1)</w:t>
      </w:r>
    </w:p>
    <w:tbl>
      <w:tblPr>
        <w:tblW w:w="9360" w:type="dxa"/>
        <w:tblBorders>
          <w:top w:val="single" w:sz="2" w:space="0" w:color="C9C2D6"/>
          <w:left w:val="single" w:sz="2" w:space="0" w:color="C9C2D6"/>
          <w:bottom w:val="single" w:sz="2" w:space="0" w:color="C9C2D6"/>
          <w:right w:val="single" w:sz="2" w:space="0" w:color="C9C2D6"/>
          <w:insideH w:val="single" w:sz="2" w:space="0" w:color="C9C2D6"/>
          <w:insideV w:val="single" w:sz="2" w:space="0" w:color="C9C2D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5210"/>
        <w:gridCol w:w="3000"/>
      </w:tblGrid>
      <w:tr w:rsidR="005D785E" w14:paraId="7A87D4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shd w:val="clear" w:color="auto" w:fill="23087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1B7C10" w14:textId="77777777" w:rsidR="005D785E" w:rsidRDefault="00000000">
            <w:pPr>
              <w:spacing w:line="250" w:lineRule="auto"/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210" w:type="dxa"/>
            <w:shd w:val="clear" w:color="auto" w:fill="23087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734B94" w14:textId="77777777" w:rsidR="005D785E" w:rsidRDefault="00000000">
            <w:pPr>
              <w:spacing w:line="250" w:lineRule="auto"/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3000" w:type="dxa"/>
            <w:shd w:val="clear" w:color="auto" w:fill="23087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273779" w14:textId="77777777" w:rsidR="005D785E" w:rsidRDefault="00000000">
            <w:pPr>
              <w:spacing w:line="250" w:lineRule="auto"/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5D785E" w14:paraId="2E81C54B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E0DDA9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HR-I-01</w:t>
            </w:r>
          </w:p>
        </w:tc>
        <w:tc>
          <w:tcPr>
            <w:tcW w:w="52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A46BBF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Deliver the Household Readiness Check as a guided, branching flow (~9 stages) that adapts questions, score, steps, and artifact to answers.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C63F92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Dynamic, not static, is the core engagement premise.</w:t>
            </w:r>
          </w:p>
        </w:tc>
      </w:tr>
      <w:tr w:rsidR="005D785E" w14:paraId="25128EB0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7A8E76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HR-I-02</w:t>
            </w:r>
          </w:p>
        </w:tc>
        <w:tc>
          <w:tcPr>
            <w:tcW w:w="521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B811E5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Build the flow from the reusable 8-type node library so later flows reuse the same primitives.</w:t>
            </w:r>
          </w:p>
        </w:tc>
        <w:tc>
          <w:tcPr>
            <w:tcW w:w="300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934D8A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Bounded authoring; maintainability.</w:t>
            </w:r>
          </w:p>
        </w:tc>
      </w:tr>
      <w:tr w:rsidR="005D785E" w14:paraId="06EDBD83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F8AA76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HR-I-03</w:t>
            </w:r>
          </w:p>
        </w:tc>
        <w:tc>
          <w:tcPr>
            <w:tcW w:w="52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B0575F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Persist a Family Readiness File (household profile) that every node reads and writes.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149D92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The profile is the durable asset; enables personalization and re-engagement.</w:t>
            </w:r>
          </w:p>
        </w:tc>
      </w:tr>
      <w:tr w:rsidR="005D785E" w14:paraId="43793E06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8C0B67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HR-I-04</w:t>
            </w:r>
          </w:p>
        </w:tc>
        <w:tc>
          <w:tcPr>
            <w:tcW w:w="521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9E4CD4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Compute a category-based readiness score across ≥5 dimensions; never present 100%.</w:t>
            </w:r>
          </w:p>
        </w:tc>
        <w:tc>
          <w:tcPr>
            <w:tcW w:w="300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F635C3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Open-loops engagement mechanic.</w:t>
            </w:r>
          </w:p>
        </w:tc>
      </w:tr>
      <w:tr w:rsidR="005D785E" w14:paraId="2839801D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4D5143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HR-I-05</w:t>
            </w:r>
          </w:p>
        </w:tc>
        <w:tc>
          <w:tcPr>
            <w:tcW w:w="52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332C17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Generate at least one artifact (Emergency Medical Card) rendered from the profile; saveable / downloadable.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2F4366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Tangible utility; seeds the Emergency Health Wallet.</w:t>
            </w:r>
          </w:p>
        </w:tc>
      </w:tr>
      <w:tr w:rsidR="005D785E" w14:paraId="6491C948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F4AD21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HR-I-06</w:t>
            </w:r>
          </w:p>
        </w:tc>
        <w:tc>
          <w:tcPr>
            <w:tcW w:w="521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A2A79B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Select top-3 next steps dynamically from a candidate library, ordered by gaps × worry × vulnerability × geo.</w:t>
            </w:r>
          </w:p>
        </w:tc>
        <w:tc>
          <w:tcPr>
            <w:tcW w:w="300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0485E7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Relevance is what makes it feel intelligent.</w:t>
            </w:r>
          </w:p>
        </w:tc>
      </w:tr>
      <w:tr w:rsidR="005D785E" w14:paraId="3AC526AA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E3AB3E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HR-I-07</w:t>
            </w:r>
          </w:p>
        </w:tc>
        <w:tc>
          <w:tcPr>
            <w:tcW w:w="52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2D4C6F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Surface Mayo-sourced evidence at point-of-need, cited; not a browsable library.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D9E8CF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Credibility, GEO/citability, YMYL protection.</w:t>
            </w:r>
          </w:p>
        </w:tc>
      </w:tr>
      <w:tr w:rsidR="005D785E" w14:paraId="2319FF05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691CF4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HR-I-08</w:t>
            </w:r>
          </w:p>
        </w:tc>
        <w:tc>
          <w:tcPr>
            <w:tcW w:w="521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888446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Present post-artifact follow-up chips, each doing one job: deepen profile, reveal gap, go multi-user, re-engage, or escalate.</w:t>
            </w:r>
          </w:p>
        </w:tc>
        <w:tc>
          <w:tcPr>
            <w:tcW w:w="300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473DC9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The engagement engine.</w:t>
            </w:r>
          </w:p>
        </w:tc>
      </w:tr>
      <w:tr w:rsidR="005D785E" w14:paraId="0BA244CD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5922BB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HR-I-09</w:t>
            </w:r>
          </w:p>
        </w:tc>
        <w:tc>
          <w:tcPr>
            <w:tcW w:w="52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63772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Implement the coverage-gap reveal seam using pre-approved MASA stats, routing to a coverage / plan / seminar CTA.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DA169D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Monetization seam; MASA differentiation.</w:t>
            </w:r>
          </w:p>
        </w:tc>
      </w:tr>
      <w:tr w:rsidR="005D785E" w14:paraId="3D6DFF09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36360D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HR-I-10</w:t>
            </w:r>
          </w:p>
        </w:tc>
        <w:tc>
          <w:tcPr>
            <w:tcW w:w="521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C478CD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Implement a human-handoff seam that passes the profile as context.</w:t>
            </w:r>
          </w:p>
        </w:tc>
        <w:tc>
          <w:tcPr>
            <w:tcW w:w="300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5B0F7D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Closed loop to real advocacy — the moat vs. generic AI.</w:t>
            </w:r>
          </w:p>
        </w:tc>
      </w:tr>
      <w:tr w:rsidR="005D785E" w14:paraId="05335091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DDC0D4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HR-I-11</w:t>
            </w:r>
          </w:p>
        </w:tc>
        <w:tc>
          <w:tcPr>
            <w:tcW w:w="52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3B6693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Apply MASA voice and "membership (not insurance)" terminology throughout.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DADBE9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Brand compliance.</w:t>
            </w:r>
          </w:p>
        </w:tc>
      </w:tr>
      <w:tr w:rsidR="005D785E" w14:paraId="50D18B8A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A672C4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HR-I-12</w:t>
            </w:r>
          </w:p>
        </w:tc>
        <w:tc>
          <w:tcPr>
            <w:tcW w:w="521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8D8380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Enforce day-one guardrails: 911 / crisis routing, no-diagnosis, in-scope-only, persistent disclaimer.</w:t>
            </w:r>
          </w:p>
        </w:tc>
        <w:tc>
          <w:tcPr>
            <w:tcW w:w="300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FA851E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YMYL requirement.</w:t>
            </w:r>
          </w:p>
        </w:tc>
      </w:tr>
      <w:tr w:rsidR="005D785E" w14:paraId="55B7E34B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E31D74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HR-I-13</w:t>
            </w:r>
          </w:p>
        </w:tc>
        <w:tc>
          <w:tcPr>
            <w:tcW w:w="52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EDA955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Support prospect (anonymous / lightweight) sessions entered from an organic content page.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85F294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Top-of-funnel acquisition surface.</w:t>
            </w:r>
          </w:p>
        </w:tc>
      </w:tr>
      <w:tr w:rsidR="005D785E" w14:paraId="34953BD7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9791AF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HR-I-14</w:t>
            </w:r>
          </w:p>
        </w:tc>
        <w:tc>
          <w:tcPr>
            <w:tcW w:w="521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BCAD74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Capture analytics: completion, drop-off by node, artifact creation, follow-up engagement, seam conversion.</w:t>
            </w:r>
          </w:p>
        </w:tc>
        <w:tc>
          <w:tcPr>
            <w:tcW w:w="300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5734E7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Learn what to widen before enabling more.</w:t>
            </w:r>
          </w:p>
        </w:tc>
      </w:tr>
      <w:tr w:rsidR="005D785E" w14:paraId="27C8E2E4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256A3D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HR-I-15</w:t>
            </w:r>
          </w:p>
        </w:tc>
        <w:tc>
          <w:tcPr>
            <w:tcW w:w="52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699CC6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Optional cold-open free-text box mapped to the flow behind guardrails (pending the launch decision in §10).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B02003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User expectation vs. risk trade-off.</w:t>
            </w:r>
          </w:p>
        </w:tc>
      </w:tr>
    </w:tbl>
    <w:p w14:paraId="60B50976" w14:textId="77777777" w:rsidR="005D785E" w:rsidRDefault="005D785E">
      <w:pPr>
        <w:spacing w:after="120"/>
      </w:pPr>
    </w:p>
    <w:p w14:paraId="1C38DC65" w14:textId="77777777" w:rsidR="005D785E" w:rsidRDefault="00000000">
      <w:pPr>
        <w:keepNext/>
        <w:spacing w:before="220" w:after="100"/>
      </w:pPr>
      <w:r>
        <w:rPr>
          <w:rFonts w:ascii="Poppins" w:eastAsia="Poppins" w:hAnsi="Poppins" w:cs="Poppins"/>
          <w:b/>
          <w:bCs/>
          <w:color w:val="230871"/>
          <w:sz w:val="23"/>
          <w:szCs w:val="23"/>
        </w:rPr>
        <w:lastRenderedPageBreak/>
        <w:t>9.2 Follow-up (v2+)</w:t>
      </w:r>
    </w:p>
    <w:tbl>
      <w:tblPr>
        <w:tblW w:w="9360" w:type="dxa"/>
        <w:tblBorders>
          <w:top w:val="single" w:sz="2" w:space="0" w:color="C9C2D6"/>
          <w:left w:val="single" w:sz="2" w:space="0" w:color="C9C2D6"/>
          <w:bottom w:val="single" w:sz="2" w:space="0" w:color="C9C2D6"/>
          <w:right w:val="single" w:sz="2" w:space="0" w:color="C9C2D6"/>
          <w:insideH w:val="single" w:sz="2" w:space="0" w:color="C9C2D6"/>
          <w:insideV w:val="single" w:sz="2" w:space="0" w:color="C9C2D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5210"/>
        <w:gridCol w:w="3000"/>
      </w:tblGrid>
      <w:tr w:rsidR="005D785E" w14:paraId="21BCF6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shd w:val="clear" w:color="auto" w:fill="23087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6BD114" w14:textId="77777777" w:rsidR="005D785E" w:rsidRDefault="00000000">
            <w:pPr>
              <w:spacing w:line="250" w:lineRule="auto"/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210" w:type="dxa"/>
            <w:shd w:val="clear" w:color="auto" w:fill="23087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40C38E" w14:textId="77777777" w:rsidR="005D785E" w:rsidRDefault="00000000">
            <w:pPr>
              <w:spacing w:line="250" w:lineRule="auto"/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3000" w:type="dxa"/>
            <w:shd w:val="clear" w:color="auto" w:fill="23087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9B0FE0" w14:textId="77777777" w:rsidR="005D785E" w:rsidRDefault="00000000">
            <w:pPr>
              <w:spacing w:line="250" w:lineRule="auto"/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5D785E" w14:paraId="3161CBA2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548B3B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HR-F-01</w:t>
            </w:r>
          </w:p>
        </w:tc>
        <w:tc>
          <w:tcPr>
            <w:tcW w:w="52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6E4D31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LLM orchestrator / router over a fixed intent taxonomy with confidence-band behavior.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944D30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Meets free-text expectation while staying controllable.</w:t>
            </w:r>
          </w:p>
        </w:tc>
      </w:tr>
      <w:tr w:rsidR="005D785E" w14:paraId="41AED8E2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CDCB3D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HR-F-02</w:t>
            </w:r>
          </w:p>
        </w:tc>
        <w:tc>
          <w:tcPr>
            <w:tcW w:w="521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FAA9C7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Slot pre-fill: extract entities from free text and pre-populate the profile so flows skip known questions.</w:t>
            </w:r>
          </w:p>
        </w:tc>
        <w:tc>
          <w:tcPr>
            <w:tcW w:w="300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502BD7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Makes guided flows shorter; hybrid's signature advantage.</w:t>
            </w:r>
          </w:p>
        </w:tc>
      </w:tr>
      <w:tr w:rsidR="005D785E" w14:paraId="1D4A49B0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C320A7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HR-F-03</w:t>
            </w:r>
          </w:p>
        </w:tc>
        <w:tc>
          <w:tcPr>
            <w:tcW w:w="52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C89C9B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Mid-flow free-text escape hatch on every question.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CBC8E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Flexibility without abandoning the rails.</w:t>
            </w:r>
          </w:p>
        </w:tc>
      </w:tr>
      <w:tr w:rsidR="005D785E" w14:paraId="3E8D34AD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F99DF5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HR-F-04</w:t>
            </w:r>
          </w:p>
        </w:tc>
        <w:tc>
          <w:tcPr>
            <w:tcW w:w="521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2DA29D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Post-artifact open Q&amp;A grounded in the knowledge layer, able to offer a guided flow.</w:t>
            </w:r>
          </w:p>
        </w:tc>
        <w:tc>
          <w:tcPr>
            <w:tcW w:w="300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C41603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Retention surface; free text → guided flow.</w:t>
            </w:r>
          </w:p>
        </w:tc>
      </w:tr>
      <w:tr w:rsidR="005D785E" w14:paraId="7EFA6068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2AA48B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HR-F-05</w:t>
            </w:r>
          </w:p>
        </w:tc>
        <w:tc>
          <w:tcPr>
            <w:tcW w:w="52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F73E36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Change-detection re-engagement: returning sessions open on "what changed," re-score, regenerate; scheduled check-ins.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1A9608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The evergreen relationship engine.</w:t>
            </w:r>
          </w:p>
        </w:tc>
      </w:tr>
      <w:tr w:rsidR="005D785E" w14:paraId="055D840B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517C20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HR-F-06</w:t>
            </w:r>
          </w:p>
        </w:tc>
        <w:tc>
          <w:tcPr>
            <w:tcW w:w="521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13CBB0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Share / merge: a second household member opens a shared link, contributes, and merges into the file.</w:t>
            </w:r>
          </w:p>
        </w:tc>
        <w:tc>
          <w:tcPr>
            <w:tcW w:w="300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7A06A4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Multi-user growth loop; richer profile.</w:t>
            </w:r>
          </w:p>
        </w:tc>
      </w:tr>
      <w:tr w:rsidR="005D785E" w14:paraId="4224A2CC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9F51E4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HR-F-07</w:t>
            </w:r>
          </w:p>
        </w:tc>
        <w:tc>
          <w:tcPr>
            <w:tcW w:w="52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158500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Member variant: coverage-aware flow that references actual benefits instead of a generic gap.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9C1D81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Serves existing members, not just prospects.</w:t>
            </w:r>
          </w:p>
        </w:tc>
      </w:tr>
      <w:tr w:rsidR="005D785E" w14:paraId="5D6CFCB3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864A26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HR-F-08</w:t>
            </w:r>
          </w:p>
        </w:tc>
        <w:tc>
          <w:tcPr>
            <w:tcW w:w="521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D745B5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Additional flows from the catalog (Aging Parent Check-In, Doctor Visit Builder, Emergency Health Wallet, Home Safety, Caregiver Load), reusing the node library and shared profile.</w:t>
            </w:r>
          </w:p>
        </w:tc>
        <w:tc>
          <w:tcPr>
            <w:tcW w:w="300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9A098C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Expands the product without new primitives.</w:t>
            </w:r>
          </w:p>
        </w:tc>
      </w:tr>
      <w:tr w:rsidR="005D785E" w14:paraId="1E77BB09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274BC0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HR-F-09</w:t>
            </w:r>
          </w:p>
        </w:tc>
        <w:tc>
          <w:tcPr>
            <w:tcW w:w="52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91CDBB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Cross-flow seams (e.g., travel branch → Travel Readiness).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8E559F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One continuous assistant, many tools.</w:t>
            </w:r>
          </w:p>
        </w:tc>
      </w:tr>
      <w:tr w:rsidR="005D785E" w14:paraId="052851FC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4F0EED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HR-F-10</w:t>
            </w:r>
          </w:p>
        </w:tc>
        <w:tc>
          <w:tcPr>
            <w:tcW w:w="521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FC7EF3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Expanded artifact set (Contact Tree, Go-Bag / medication-supply, Remote-Access checklist, Evacuation plan).</w:t>
            </w:r>
          </w:p>
        </w:tc>
        <w:tc>
          <w:tcPr>
            <w:tcW w:w="300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9F1D00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Broader tangible value.</w:t>
            </w:r>
          </w:p>
        </w:tc>
      </w:tr>
      <w:tr w:rsidR="005D785E" w14:paraId="31143734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DDE0DF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HR-F-11</w:t>
            </w:r>
          </w:p>
        </w:tc>
        <w:tc>
          <w:tcPr>
            <w:tcW w:w="52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08D149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Knowledge layer as governed RAG (Mayo + MASA MSAs → markdown) with retrieval for free-text answers.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51A42E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Grounding at scale for the LLM layer.</w:t>
            </w:r>
          </w:p>
        </w:tc>
      </w:tr>
      <w:tr w:rsidR="005D785E" w14:paraId="3BEF5D34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968C19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HR-F-12</w:t>
            </w:r>
          </w:p>
        </w:tc>
        <w:tc>
          <w:tcPr>
            <w:tcW w:w="521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897C7C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Full account / identity and a longitudinal profile across sessions and channels.</w:t>
            </w:r>
          </w:p>
        </w:tc>
        <w:tc>
          <w:tcPr>
            <w:tcW w:w="300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79A659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Durable re-engagement and funnel attribution.</w:t>
            </w:r>
          </w:p>
        </w:tc>
      </w:tr>
    </w:tbl>
    <w:p w14:paraId="68D7688F" w14:textId="77777777" w:rsidR="005D785E" w:rsidRDefault="005D785E">
      <w:pPr>
        <w:spacing w:after="120"/>
      </w:pPr>
    </w:p>
    <w:p w14:paraId="2AD31988" w14:textId="77777777" w:rsidR="005D785E" w:rsidRDefault="00000000">
      <w:pPr>
        <w:keepNext/>
        <w:spacing w:before="220" w:after="100"/>
      </w:pPr>
      <w:r>
        <w:rPr>
          <w:rFonts w:ascii="Poppins" w:eastAsia="Poppins" w:hAnsi="Poppins" w:cs="Poppins"/>
          <w:b/>
          <w:bCs/>
          <w:color w:val="230871"/>
          <w:sz w:val="23"/>
          <w:szCs w:val="23"/>
        </w:rPr>
        <w:t>9.3 Non-functional / cross-cutting</w:t>
      </w:r>
    </w:p>
    <w:tbl>
      <w:tblPr>
        <w:tblW w:w="9360" w:type="dxa"/>
        <w:tblBorders>
          <w:top w:val="single" w:sz="2" w:space="0" w:color="C9C2D6"/>
          <w:left w:val="single" w:sz="2" w:space="0" w:color="C9C2D6"/>
          <w:bottom w:val="single" w:sz="2" w:space="0" w:color="C9C2D6"/>
          <w:right w:val="single" w:sz="2" w:space="0" w:color="C9C2D6"/>
          <w:insideH w:val="single" w:sz="2" w:space="0" w:color="C9C2D6"/>
          <w:insideV w:val="single" w:sz="2" w:space="0" w:color="C9C2D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5210"/>
        <w:gridCol w:w="3000"/>
      </w:tblGrid>
      <w:tr w:rsidR="005D785E" w14:paraId="2DEEB6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shd w:val="clear" w:color="auto" w:fill="23087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87393D" w14:textId="77777777" w:rsidR="005D785E" w:rsidRDefault="00000000">
            <w:pPr>
              <w:spacing w:line="250" w:lineRule="auto"/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210" w:type="dxa"/>
            <w:shd w:val="clear" w:color="auto" w:fill="23087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ABDA44" w14:textId="77777777" w:rsidR="005D785E" w:rsidRDefault="00000000">
            <w:pPr>
              <w:spacing w:line="250" w:lineRule="auto"/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3000" w:type="dxa"/>
            <w:shd w:val="clear" w:color="auto" w:fill="23087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E114FB" w14:textId="77777777" w:rsidR="005D785E" w:rsidRDefault="00000000">
            <w:pPr>
              <w:spacing w:line="250" w:lineRule="auto"/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5D785E" w14:paraId="016B4557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DA65BE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NF-01</w:t>
            </w:r>
          </w:p>
        </w:tc>
        <w:tc>
          <w:tcPr>
            <w:tcW w:w="52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E0F8E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Pre-routing guardrail gate (crisis / self-harm / emergency; no-diagnosis; scope) runs before any free-text routing.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2772C9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Safety is non-negotiable on a health surface.</w:t>
            </w:r>
          </w:p>
        </w:tc>
      </w:tr>
      <w:tr w:rsidR="005D785E" w14:paraId="35744D13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4FD68D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NF-02</w:t>
            </w:r>
          </w:p>
        </w:tc>
        <w:tc>
          <w:tcPr>
            <w:tcW w:w="521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E69EB1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Grounding: substantive claims trace to a Mayo / MASA block; no open-weight medical claims.</w:t>
            </w:r>
          </w:p>
        </w:tc>
        <w:tc>
          <w:tcPr>
            <w:tcW w:w="300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62A581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Trust and liability.</w:t>
            </w:r>
          </w:p>
        </w:tc>
      </w:tr>
      <w:tr w:rsidR="005D785E" w14:paraId="1FC37AE2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D8FDE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NF-03</w:t>
            </w:r>
          </w:p>
        </w:tc>
        <w:tc>
          <w:tcPr>
            <w:tcW w:w="52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4519CF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Content governance: versioned authored library; Mayo usage within partnership terms; review workflow.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FBCBBA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Maintainability and legal.</w:t>
            </w:r>
          </w:p>
        </w:tc>
      </w:tr>
      <w:tr w:rsidR="005D785E" w14:paraId="28B79E99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4E018D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lastRenderedPageBreak/>
              <w:t>NF-04</w:t>
            </w:r>
          </w:p>
        </w:tc>
        <w:tc>
          <w:tcPr>
            <w:tcW w:w="521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9E42B5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Privacy / consent: health-data handling and consent capture (reusable by the ADT/HIE authorization track); clarify it is not a medical record.</w:t>
            </w:r>
          </w:p>
        </w:tc>
        <w:tc>
          <w:tcPr>
            <w:tcW w:w="300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71F458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Compliance; leverage across workstreams.</w:t>
            </w:r>
          </w:p>
        </w:tc>
      </w:tr>
      <w:tr w:rsidR="005D785E" w14:paraId="0D0CB5CB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4C2A20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NF-05</w:t>
            </w:r>
          </w:p>
        </w:tc>
        <w:tc>
          <w:tcPr>
            <w:tcW w:w="52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F8DF99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Single shared profile schema across flows, with an event log for change detection.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A6BF7A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Enables the spine and re-engagement.</w:t>
            </w:r>
          </w:p>
        </w:tc>
      </w:tr>
      <w:tr w:rsidR="005D785E" w14:paraId="308282A6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A6D3A2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NF-06</w:t>
            </w:r>
          </w:p>
        </w:tc>
        <w:tc>
          <w:tcPr>
            <w:tcW w:w="521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11D21C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Deterministic reproducibility: rails produce consistent output for identical inputs.</w:t>
            </w:r>
          </w:p>
        </w:tc>
        <w:tc>
          <w:tcPr>
            <w:tcW w:w="300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B630FF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Consistent experience; testability.</w:t>
            </w:r>
          </w:p>
        </w:tc>
      </w:tr>
      <w:tr w:rsidR="005D785E" w14:paraId="3908AE01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DAF63F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NF-07</w:t>
            </w:r>
          </w:p>
        </w:tc>
        <w:tc>
          <w:tcPr>
            <w:tcW w:w="52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257D7F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Funnel analytics plus safety monitoring of free-text inputs when enabled.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4C23DD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Measurement and safe expansion.</w:t>
            </w:r>
          </w:p>
        </w:tc>
      </w:tr>
      <w:tr w:rsidR="005D785E" w14:paraId="38B0B038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0820A0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NF-08</w:t>
            </w:r>
          </w:p>
        </w:tc>
        <w:tc>
          <w:tcPr>
            <w:tcW w:w="521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85FCF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Mobile-first, accessible, performant.</w:t>
            </w:r>
          </w:p>
        </w:tc>
        <w:tc>
          <w:tcPr>
            <w:tcW w:w="300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E05F32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Reach and inclusion.</w:t>
            </w:r>
          </w:p>
        </w:tc>
      </w:tr>
    </w:tbl>
    <w:p w14:paraId="6D6530E1" w14:textId="77777777" w:rsidR="005D785E" w:rsidRDefault="00000000">
      <w:r>
        <w:br w:type="page"/>
      </w:r>
    </w:p>
    <w:p w14:paraId="5E110E17" w14:textId="77777777" w:rsidR="005D785E" w:rsidRDefault="00000000">
      <w:pPr>
        <w:keepNext/>
        <w:spacing w:before="300" w:after="120"/>
      </w:pPr>
      <w:r>
        <w:rPr>
          <w:rFonts w:ascii="Poppins" w:eastAsia="Poppins" w:hAnsi="Poppins" w:cs="Poppins"/>
          <w:b/>
          <w:bCs/>
          <w:color w:val="230871"/>
          <w:sz w:val="28"/>
          <w:szCs w:val="28"/>
        </w:rPr>
        <w:lastRenderedPageBreak/>
        <w:t>10. Open decisions for reviewers</w:t>
      </w:r>
    </w:p>
    <w:tbl>
      <w:tblPr>
        <w:tblW w:w="9360" w:type="dxa"/>
        <w:tblBorders>
          <w:top w:val="single" w:sz="2" w:space="0" w:color="C9C2D6"/>
          <w:left w:val="single" w:sz="2" w:space="0" w:color="C9C2D6"/>
          <w:bottom w:val="single" w:sz="2" w:space="0" w:color="C9C2D6"/>
          <w:right w:val="single" w:sz="2" w:space="0" w:color="C9C2D6"/>
          <w:insideH w:val="single" w:sz="2" w:space="0" w:color="C9C2D6"/>
          <w:insideV w:val="single" w:sz="2" w:space="0" w:color="C9C2D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D785E" w14:paraId="360F09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3087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5666FD" w14:textId="77777777" w:rsidR="005D785E" w:rsidRDefault="00000000">
            <w:pPr>
              <w:spacing w:line="250" w:lineRule="auto"/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8"/>
              </w:rPr>
              <w:t>Decision</w:t>
            </w:r>
          </w:p>
        </w:tc>
        <w:tc>
          <w:tcPr>
            <w:tcW w:w="6360" w:type="dxa"/>
            <w:shd w:val="clear" w:color="auto" w:fill="23087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B9E18F" w14:textId="77777777" w:rsidR="005D785E" w:rsidRDefault="00000000">
            <w:pPr>
              <w:spacing w:line="250" w:lineRule="auto"/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8"/>
              </w:rPr>
              <w:t>Recommendation &amp; why it matters</w:t>
            </w:r>
          </w:p>
        </w:tc>
      </w:tr>
      <w:tr w:rsidR="005D785E" w14:paraId="49FE4F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DE438D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b/>
                <w:bCs/>
                <w:color w:val="230871"/>
                <w:sz w:val="18"/>
                <w:szCs w:val="18"/>
              </w:rPr>
              <w:t>Rails-only vs. free-text at launch.</w:t>
            </w:r>
          </w:p>
        </w:tc>
        <w:tc>
          <w:tcPr>
            <w:tcW w:w="6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D26F22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Launch on rails with an optional cold-open box that logs inputs; widen the free-text aperture after observing what people type. Balances user expectation against YMYL risk and speed.</w:t>
            </w:r>
          </w:p>
        </w:tc>
      </w:tr>
      <w:tr w:rsidR="005D785E" w14:paraId="022079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3828E3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b/>
                <w:bCs/>
                <w:color w:val="230871"/>
                <w:sz w:val="18"/>
                <w:szCs w:val="18"/>
              </w:rPr>
              <w:t>Authored-content scope before the router is reliable.</w:t>
            </w:r>
          </w:p>
        </w:tc>
        <w:tc>
          <w:tcPr>
            <w:tcW w:w="636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854E7A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Quantify a minimum library (flows + knowledge blocks) that routing and grounding need before enabling the LLM router. This is a quality gate on the free-text experience.</w:t>
            </w:r>
          </w:p>
        </w:tc>
      </w:tr>
      <w:tr w:rsidR="005D785E" w14:paraId="5F5AC6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D3ECE3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b/>
                <w:bCs/>
                <w:color w:val="230871"/>
                <w:sz w:val="18"/>
                <w:szCs w:val="18"/>
              </w:rPr>
              <w:t>Anonymous session → account / conversion event.</w:t>
            </w:r>
          </w:p>
        </w:tc>
        <w:tc>
          <w:tcPr>
            <w:tcW w:w="6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338AA6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Create a lightweight profile from the first anonymous session; resolve alongside the still-open AccessNow conversion-event decision. Required for re-engagement and funnel attribution.</w:t>
            </w:r>
          </w:p>
        </w:tc>
      </w:tr>
      <w:tr w:rsidR="005D785E" w14:paraId="107F04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6C4F44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b/>
                <w:bCs/>
                <w:color w:val="230871"/>
                <w:sz w:val="18"/>
                <w:szCs w:val="18"/>
              </w:rPr>
              <w:t>Coverage-reveal directness on prospect surfaces.</w:t>
            </w:r>
          </w:p>
        </w:tc>
        <w:tc>
          <w:tcPr>
            <w:tcW w:w="6360" w:type="dxa"/>
            <w:shd w:val="clear" w:color="auto" w:fill="F3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29B12E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A/B a softer, content-embedded reveal against the direct version used in the prototype. Trades trust on organic surfaces against conversion.</w:t>
            </w:r>
          </w:p>
        </w:tc>
      </w:tr>
      <w:tr w:rsidR="005D785E" w14:paraId="54E02A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DCBE0C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b/>
                <w:bCs/>
                <w:color w:val="230871"/>
                <w:sz w:val="18"/>
                <w:szCs w:val="18"/>
              </w:rPr>
              <w:t>Mayo dependency and positioning.</w:t>
            </w:r>
          </w:p>
        </w:tc>
        <w:tc>
          <w:tcPr>
            <w:tcW w:w="6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73D5DB" w14:textId="77777777" w:rsidR="005D785E" w:rsidRDefault="00000000">
            <w:pPr>
              <w:spacing w:line="250" w:lineRule="auto"/>
            </w:pPr>
            <w:r>
              <w:rPr>
                <w:rFonts w:ascii="Open Sans" w:eastAsia="Open Sans" w:hAnsi="Open Sans" w:cs="Open Sans"/>
                <w:color w:val="262626"/>
                <w:sz w:val="18"/>
                <w:szCs w:val="18"/>
              </w:rPr>
              <w:t>Keep Mayo as the evidence layer only, avoid becoming a thin wrapper, and confirm content-usage terms. Protects differentiation and manages legal exposure.</w:t>
            </w:r>
          </w:p>
        </w:tc>
      </w:tr>
    </w:tbl>
    <w:p w14:paraId="36C64312" w14:textId="77777777" w:rsidR="005D785E" w:rsidRDefault="00000000">
      <w:pPr>
        <w:keepNext/>
        <w:spacing w:before="300" w:after="120"/>
      </w:pPr>
      <w:r>
        <w:rPr>
          <w:rFonts w:ascii="Poppins" w:eastAsia="Poppins" w:hAnsi="Poppins" w:cs="Poppins"/>
          <w:b/>
          <w:bCs/>
          <w:color w:val="230871"/>
          <w:sz w:val="28"/>
          <w:szCs w:val="28"/>
        </w:rPr>
        <w:t>11. Recommended first build &amp; sequencing</w:t>
      </w:r>
    </w:p>
    <w:p w14:paraId="6F07EB18" w14:textId="77777777" w:rsidR="005D785E" w:rsidRDefault="00000000">
      <w:pPr>
        <w:spacing w:after="120" w:line="276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Build the Household Readiness Check on deterministic rails, with the Family Readiness File, the readiness meter, the generated Emergency Medical Card, the follow-up loops, the coverage-gap seam, Mayo evidence, and the guardrails — plus a single, guardrailed cold-open free-text box used primarily to observe intent. Once the authored library is deep enough to route and ground against, layer in the LLM orchestrator, slot pre-fill, and open Q&amp;A, then expand to the next flows from the catalog on the same primitives.</w:t>
      </w:r>
    </w:p>
    <w:p w14:paraId="1DD2E498" w14:textId="77777777" w:rsidR="005D785E" w:rsidRDefault="00000000">
      <w:r>
        <w:br w:type="page"/>
      </w:r>
    </w:p>
    <w:p w14:paraId="3E984BD9" w14:textId="77777777" w:rsidR="005D785E" w:rsidRDefault="00000000">
      <w:pPr>
        <w:keepNext/>
        <w:spacing w:before="300" w:after="120"/>
      </w:pPr>
      <w:r>
        <w:rPr>
          <w:rFonts w:ascii="Poppins" w:eastAsia="Poppins" w:hAnsi="Poppins" w:cs="Poppins"/>
          <w:b/>
          <w:bCs/>
          <w:color w:val="230871"/>
          <w:sz w:val="28"/>
          <w:szCs w:val="28"/>
        </w:rPr>
        <w:lastRenderedPageBreak/>
        <w:t>Appendix A. Candidate flow catalog</w:t>
      </w:r>
    </w:p>
    <w:p w14:paraId="73A2993F" w14:textId="77777777" w:rsidR="005D785E" w:rsidRDefault="00000000">
      <w:pPr>
        <w:spacing w:after="120" w:line="276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Flows that reuse the same node library and shared profile. Household Readiness is v1; the rest are follow-up candidates.</w:t>
      </w:r>
    </w:p>
    <w:p w14:paraId="3FDE08C9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b/>
          <w:bCs/>
          <w:color w:val="230871"/>
          <w:sz w:val="21"/>
          <w:szCs w:val="21"/>
        </w:rPr>
        <w:t xml:space="preserve">Household Emergency Readiness — </w:t>
      </w:r>
      <w:r>
        <w:rPr>
          <w:rFonts w:ascii="Open Sans" w:eastAsia="Open Sans" w:hAnsi="Open Sans" w:cs="Open Sans"/>
          <w:color w:val="262626"/>
          <w:sz w:val="21"/>
          <w:szCs w:val="21"/>
        </w:rPr>
        <w:t>Universal entry point; the v1 build.</w:t>
      </w:r>
    </w:p>
    <w:p w14:paraId="4403ED72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b/>
          <w:bCs/>
          <w:color w:val="230871"/>
          <w:sz w:val="21"/>
          <w:szCs w:val="21"/>
        </w:rPr>
        <w:t xml:space="preserve">Aging Parent Check-In — </w:t>
      </w:r>
      <w:r>
        <w:rPr>
          <w:rFonts w:ascii="Open Sans" w:eastAsia="Open Sans" w:hAnsi="Open Sans" w:cs="Open Sans"/>
          <w:color w:val="262626"/>
          <w:sz w:val="21"/>
          <w:szCs w:val="21"/>
        </w:rPr>
        <w:t>Emotionally resonant; the caregiver anchor; recurring.</w:t>
      </w:r>
    </w:p>
    <w:p w14:paraId="65B913DD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b/>
          <w:bCs/>
          <w:color w:val="230871"/>
          <w:sz w:val="21"/>
          <w:szCs w:val="21"/>
        </w:rPr>
        <w:t xml:space="preserve">Doctor Visit Question Builder — </w:t>
      </w:r>
      <w:r>
        <w:rPr>
          <w:rFonts w:ascii="Open Sans" w:eastAsia="Open Sans" w:hAnsi="Open Sans" w:cs="Open Sans"/>
          <w:color w:val="262626"/>
          <w:sz w:val="21"/>
          <w:szCs w:val="21"/>
        </w:rPr>
        <w:t>Highest raw frequency; habit-forming.</w:t>
      </w:r>
    </w:p>
    <w:p w14:paraId="083C033E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b/>
          <w:bCs/>
          <w:color w:val="230871"/>
          <w:sz w:val="21"/>
          <w:szCs w:val="21"/>
        </w:rPr>
        <w:t xml:space="preserve">Emergency Health Wallet — </w:t>
      </w:r>
      <w:r>
        <w:rPr>
          <w:rFonts w:ascii="Open Sans" w:eastAsia="Open Sans" w:hAnsi="Open Sans" w:cs="Open Sans"/>
          <w:color w:val="262626"/>
          <w:sz w:val="21"/>
          <w:szCs w:val="21"/>
        </w:rPr>
        <w:t>Persistent asset that pulls users back; shareable.</w:t>
      </w:r>
    </w:p>
    <w:p w14:paraId="015521F7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b/>
          <w:bCs/>
          <w:color w:val="230871"/>
          <w:sz w:val="21"/>
          <w:szCs w:val="21"/>
        </w:rPr>
        <w:t xml:space="preserve">Home Safety Walkthrough — </w:t>
      </w:r>
      <w:r>
        <w:rPr>
          <w:rFonts w:ascii="Open Sans" w:eastAsia="Open Sans" w:hAnsi="Open Sans" w:cs="Open Sans"/>
          <w:color w:val="262626"/>
          <w:sz w:val="21"/>
          <w:szCs w:val="21"/>
        </w:rPr>
        <w:t>Concrete, completable with a parent.</w:t>
      </w:r>
    </w:p>
    <w:p w14:paraId="3A04BC4D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b/>
          <w:bCs/>
          <w:color w:val="230871"/>
          <w:sz w:val="21"/>
          <w:szCs w:val="21"/>
        </w:rPr>
        <w:t xml:space="preserve">Caregiver Load Check — </w:t>
      </w:r>
      <w:r>
        <w:rPr>
          <w:rFonts w:ascii="Open Sans" w:eastAsia="Open Sans" w:hAnsi="Open Sans" w:cs="Open Sans"/>
          <w:color w:val="262626"/>
          <w:sz w:val="21"/>
          <w:szCs w:val="21"/>
        </w:rPr>
        <w:t>Surfaces a hidden, emotionally significant need.</w:t>
      </w:r>
    </w:p>
    <w:p w14:paraId="62B898F5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b/>
          <w:bCs/>
          <w:color w:val="230871"/>
          <w:sz w:val="21"/>
          <w:szCs w:val="21"/>
        </w:rPr>
        <w:t xml:space="preserve">Procedure &amp; Recovery Readiness — </w:t>
      </w:r>
      <w:r>
        <w:rPr>
          <w:rFonts w:ascii="Open Sans" w:eastAsia="Open Sans" w:hAnsi="Open Sans" w:cs="Open Sans"/>
          <w:color w:val="262626"/>
          <w:sz w:val="21"/>
          <w:szCs w:val="21"/>
        </w:rPr>
        <w:t>Predictable planning moment with clear MASA adjacency.</w:t>
      </w:r>
    </w:p>
    <w:p w14:paraId="5ED0E324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b/>
          <w:bCs/>
          <w:color w:val="230871"/>
          <w:sz w:val="21"/>
          <w:szCs w:val="21"/>
        </w:rPr>
        <w:t xml:space="preserve">Travel Health Readiness — </w:t>
      </w:r>
      <w:r>
        <w:rPr>
          <w:rFonts w:ascii="Open Sans" w:eastAsia="Open Sans" w:hAnsi="Open Sans" w:cs="Open Sans"/>
          <w:color w:val="262626"/>
          <w:sz w:val="21"/>
          <w:szCs w:val="21"/>
        </w:rPr>
        <w:t>Connects to travel benefits; cross-flow seam target.</w:t>
      </w:r>
    </w:p>
    <w:p w14:paraId="0EA6CAC0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b/>
          <w:bCs/>
          <w:color w:val="230871"/>
          <w:sz w:val="21"/>
          <w:szCs w:val="21"/>
        </w:rPr>
        <w:t xml:space="preserve">New Diagnosis Starter Plan — </w:t>
      </w:r>
      <w:r>
        <w:rPr>
          <w:rFonts w:ascii="Open Sans" w:eastAsia="Open Sans" w:hAnsi="Open Sans" w:cs="Open Sans"/>
          <w:color w:val="262626"/>
          <w:sz w:val="21"/>
          <w:szCs w:val="21"/>
        </w:rPr>
        <w:t>Where Mayo content is especially powerful.</w:t>
      </w:r>
    </w:p>
    <w:p w14:paraId="2FBCE617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b/>
          <w:bCs/>
          <w:color w:val="230871"/>
          <w:sz w:val="21"/>
          <w:szCs w:val="21"/>
        </w:rPr>
        <w:t xml:space="preserve">Annual Health &amp; Coverage Reset — </w:t>
      </w:r>
      <w:r>
        <w:rPr>
          <w:rFonts w:ascii="Open Sans" w:eastAsia="Open Sans" w:hAnsi="Open Sans" w:cs="Open Sans"/>
          <w:color w:val="262626"/>
          <w:sz w:val="21"/>
          <w:szCs w:val="21"/>
        </w:rPr>
        <w:t>Natural annual re-engagement.</w:t>
      </w:r>
    </w:p>
    <w:p w14:paraId="7CD3DEFD" w14:textId="77777777" w:rsidR="005D785E" w:rsidRDefault="00000000">
      <w:pPr>
        <w:keepNext/>
        <w:spacing w:before="300" w:after="120"/>
      </w:pPr>
      <w:r>
        <w:rPr>
          <w:rFonts w:ascii="Poppins" w:eastAsia="Poppins" w:hAnsi="Poppins" w:cs="Poppins"/>
          <w:b/>
          <w:bCs/>
          <w:color w:val="230871"/>
          <w:sz w:val="28"/>
          <w:szCs w:val="28"/>
        </w:rPr>
        <w:t>Appendix B. Household Readiness — candidate next-step library</w:t>
      </w:r>
    </w:p>
    <w:p w14:paraId="671E798F" w14:textId="77777777" w:rsidR="005D785E" w:rsidRDefault="00000000">
      <w:pPr>
        <w:spacing w:after="120" w:line="276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The selector picks three of these per session, ranked by gaps × worry × vulnerability × geo.</w:t>
      </w:r>
    </w:p>
    <w:p w14:paraId="172A4149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Close the emergency-transport gap (coverage seam)</w:t>
      </w:r>
    </w:p>
    <w:p w14:paraId="4B175B4B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Create an emergency medical card</w:t>
      </w:r>
    </w:p>
    <w:p w14:paraId="5A163AEA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Name who can make medical decisions (proxy / advance directive)</w:t>
      </w:r>
    </w:p>
    <w:p w14:paraId="21DF07B7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Build a shared emergency contact tree</w:t>
      </w:r>
    </w:p>
    <w:p w14:paraId="0437AFC1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Build a medication + evacuation go-bag</w:t>
      </w:r>
    </w:p>
    <w:p w14:paraId="675E4266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Set up remote access to a parent's care</w:t>
      </w:r>
    </w:p>
    <w:p w14:paraId="2626213E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Turn this into a written household plan</w:t>
      </w:r>
    </w:p>
    <w:p w14:paraId="1FD6075D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Confirm several days of medication supply</w:t>
      </w:r>
    </w:p>
    <w:p w14:paraId="70E54B55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Identify the nearest appropriate hospital / transport plan</w:t>
      </w:r>
    </w:p>
    <w:p w14:paraId="2787DFD6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Assign roles across the household</w:t>
      </w:r>
    </w:p>
    <w:p w14:paraId="22A2D435" w14:textId="77777777" w:rsidR="005D785E" w:rsidRDefault="00000000">
      <w:pPr>
        <w:keepNext/>
        <w:spacing w:before="300" w:after="120"/>
      </w:pPr>
      <w:r>
        <w:rPr>
          <w:rFonts w:ascii="Poppins" w:eastAsia="Poppins" w:hAnsi="Poppins" w:cs="Poppins"/>
          <w:b/>
          <w:bCs/>
          <w:color w:val="230871"/>
          <w:sz w:val="28"/>
          <w:szCs w:val="28"/>
        </w:rPr>
        <w:t>Appendix C. Pre-approved MASA statistics (coverage seam)</w:t>
      </w:r>
    </w:p>
    <w:p w14:paraId="5BB3C952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Average ground ambulance cost: $2,000</w:t>
      </w:r>
    </w:p>
    <w:p w14:paraId="1B3F475A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Average air ambulance cost: $69,000</w:t>
      </w:r>
    </w:p>
    <w:p w14:paraId="65A10522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Out-of-pocket bill probability even with insurance: 79% (Consumer Reports, 2021)</w:t>
      </w:r>
    </w:p>
    <w:p w14:paraId="6D4EE774" w14:textId="77777777" w:rsidR="005D785E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rFonts w:ascii="Open Sans" w:eastAsia="Open Sans" w:hAnsi="Open Sans" w:cs="Open Sans"/>
          <w:color w:val="262626"/>
          <w:sz w:val="21"/>
          <w:szCs w:val="21"/>
        </w:rPr>
        <w:t>Members served: 2 million+ · In business: 50+ years (founded 1974)</w:t>
      </w:r>
    </w:p>
    <w:p w14:paraId="071241E2" w14:textId="77777777" w:rsidR="005D785E" w:rsidRDefault="00000000">
      <w:pPr>
        <w:spacing w:after="120" w:line="276" w:lineRule="auto"/>
      </w:pPr>
      <w:r>
        <w:rPr>
          <w:rFonts w:ascii="Open Sans" w:eastAsia="Open Sans" w:hAnsi="Open Sans" w:cs="Open Sans"/>
          <w:i/>
          <w:iCs/>
          <w:color w:val="968694"/>
          <w:sz w:val="21"/>
          <w:szCs w:val="21"/>
        </w:rPr>
        <w:lastRenderedPageBreak/>
        <w:t>Always cite the source when using these figures in external-facing content.</w:t>
      </w:r>
    </w:p>
    <w:sectPr w:rsidR="005D785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60178"/>
    <w:multiLevelType w:val="hybridMultilevel"/>
    <w:tmpl w:val="C83E6ED4"/>
    <w:lvl w:ilvl="0" w:tplc="3C063F44">
      <w:start w:val="1"/>
      <w:numFmt w:val="bullet"/>
      <w:lvlText w:val="●"/>
      <w:lvlJc w:val="left"/>
      <w:pPr>
        <w:ind w:left="720" w:hanging="360"/>
      </w:pPr>
    </w:lvl>
    <w:lvl w:ilvl="1" w:tplc="6B66C7A8">
      <w:start w:val="1"/>
      <w:numFmt w:val="bullet"/>
      <w:lvlText w:val="○"/>
      <w:lvlJc w:val="left"/>
      <w:pPr>
        <w:ind w:left="1440" w:hanging="360"/>
      </w:pPr>
    </w:lvl>
    <w:lvl w:ilvl="2" w:tplc="EE283728">
      <w:start w:val="1"/>
      <w:numFmt w:val="bullet"/>
      <w:lvlText w:val="■"/>
      <w:lvlJc w:val="left"/>
      <w:pPr>
        <w:ind w:left="2160" w:hanging="360"/>
      </w:pPr>
    </w:lvl>
    <w:lvl w:ilvl="3" w:tplc="7FCE6492">
      <w:start w:val="1"/>
      <w:numFmt w:val="bullet"/>
      <w:lvlText w:val="●"/>
      <w:lvlJc w:val="left"/>
      <w:pPr>
        <w:ind w:left="2880" w:hanging="360"/>
      </w:pPr>
    </w:lvl>
    <w:lvl w:ilvl="4" w:tplc="C6CC1B12">
      <w:start w:val="1"/>
      <w:numFmt w:val="bullet"/>
      <w:lvlText w:val="○"/>
      <w:lvlJc w:val="left"/>
      <w:pPr>
        <w:ind w:left="3600" w:hanging="360"/>
      </w:pPr>
    </w:lvl>
    <w:lvl w:ilvl="5" w:tplc="DB748D7A">
      <w:start w:val="1"/>
      <w:numFmt w:val="bullet"/>
      <w:lvlText w:val="■"/>
      <w:lvlJc w:val="left"/>
      <w:pPr>
        <w:ind w:left="4320" w:hanging="360"/>
      </w:pPr>
    </w:lvl>
    <w:lvl w:ilvl="6" w:tplc="E57C4EC2">
      <w:start w:val="1"/>
      <w:numFmt w:val="bullet"/>
      <w:lvlText w:val="●"/>
      <w:lvlJc w:val="left"/>
      <w:pPr>
        <w:ind w:left="5040" w:hanging="360"/>
      </w:pPr>
    </w:lvl>
    <w:lvl w:ilvl="7" w:tplc="013EF80A">
      <w:start w:val="1"/>
      <w:numFmt w:val="bullet"/>
      <w:lvlText w:val="●"/>
      <w:lvlJc w:val="left"/>
      <w:pPr>
        <w:ind w:left="5760" w:hanging="360"/>
      </w:pPr>
    </w:lvl>
    <w:lvl w:ilvl="8" w:tplc="6150AF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E222B8"/>
    <w:multiLevelType w:val="hybridMultilevel"/>
    <w:tmpl w:val="36862992"/>
    <w:lvl w:ilvl="0" w:tplc="12D245B2">
      <w:start w:val="1"/>
      <w:numFmt w:val="bullet"/>
      <w:lvlText w:val="•"/>
      <w:lvlJc w:val="left"/>
      <w:pPr>
        <w:ind w:left="360" w:hanging="220"/>
      </w:pPr>
    </w:lvl>
    <w:lvl w:ilvl="1" w:tplc="4A0055B2">
      <w:start w:val="1"/>
      <w:numFmt w:val="bullet"/>
      <w:lvlText w:val="–"/>
      <w:lvlJc w:val="left"/>
      <w:pPr>
        <w:ind w:left="720" w:hanging="220"/>
      </w:pPr>
    </w:lvl>
    <w:lvl w:ilvl="2" w:tplc="025CEFCE">
      <w:numFmt w:val="decimal"/>
      <w:lvlText w:val=""/>
      <w:lvlJc w:val="left"/>
    </w:lvl>
    <w:lvl w:ilvl="3" w:tplc="62164DEC">
      <w:numFmt w:val="decimal"/>
      <w:lvlText w:val=""/>
      <w:lvlJc w:val="left"/>
    </w:lvl>
    <w:lvl w:ilvl="4" w:tplc="EAD22B2C">
      <w:numFmt w:val="decimal"/>
      <w:lvlText w:val=""/>
      <w:lvlJc w:val="left"/>
    </w:lvl>
    <w:lvl w:ilvl="5" w:tplc="806E66A8">
      <w:numFmt w:val="decimal"/>
      <w:lvlText w:val=""/>
      <w:lvlJc w:val="left"/>
    </w:lvl>
    <w:lvl w:ilvl="6" w:tplc="A05461A8">
      <w:numFmt w:val="decimal"/>
      <w:lvlText w:val=""/>
      <w:lvlJc w:val="left"/>
    </w:lvl>
    <w:lvl w:ilvl="7" w:tplc="D91222FE">
      <w:numFmt w:val="decimal"/>
      <w:lvlText w:val=""/>
      <w:lvlJc w:val="left"/>
    </w:lvl>
    <w:lvl w:ilvl="8" w:tplc="C8F4CDB0">
      <w:numFmt w:val="decimal"/>
      <w:lvlText w:val=""/>
      <w:lvlJc w:val="left"/>
    </w:lvl>
  </w:abstractNum>
  <w:num w:numId="1" w16cid:durableId="395056963">
    <w:abstractNumId w:val="0"/>
    <w:lvlOverride w:ilvl="0">
      <w:startOverride w:val="1"/>
    </w:lvlOverride>
  </w:num>
  <w:num w:numId="2" w16cid:durableId="905162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85E"/>
    <w:rsid w:val="001D760E"/>
    <w:rsid w:val="005D785E"/>
    <w:rsid w:val="00F10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82DE8"/>
  <w15:docId w15:val="{229E0967-03E1-4F0A-BCAF-C380E27E3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3104</Words>
  <Characters>17698</Characters>
  <Application>Microsoft Office Word</Application>
  <DocSecurity>0</DocSecurity>
  <Lines>147</Lines>
  <Paragraphs>41</Paragraphs>
  <ScaleCrop>false</ScaleCrop>
  <Company/>
  <LinksUpToDate>false</LinksUpToDate>
  <CharactersWithSpaces>20761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 Household Readiness — Requirements</dc:title>
  <dc:creator>MASA / SAM</dc:creator>
  <cp:lastModifiedBy>Mike Akeroyd</cp:lastModifiedBy>
  <cp:revision>2</cp:revision>
  <dcterms:created xsi:type="dcterms:W3CDTF">2026-07-02T16:30:00Z</dcterms:created>
  <dcterms:modified xsi:type="dcterms:W3CDTF">2026-07-08T01:07:00Z</dcterms:modified>
</cp:coreProperties>
</file>