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line="300"/>
      </w:pPr>
      <w:r>
        <w:rPr>
          <w:rFonts w:ascii="Inter" w:cs="Inter" w:eastAsia="Inter" w:hAnsi="Inter"/>
          <w:b/>
          <w:bCs/>
          <w:color w:val="A8242E"/>
          <w:spacing w:val="70"/>
          <w:sz w:val="15"/>
          <w:szCs w:val="15"/>
        </w:rPr>
        <w:t xml:space="preserve">STRICTLY PRIVATE &amp; CONFIDENTIAL</w:t>
      </w:r>
    </w:p>
    <w:p>
      <w:pPr>
        <w:pBdr>
          <w:bottom w:val="single" w:color="A8242E" w:sz="8"/>
        </w:pBdr>
        <w:spacing w:after="300" w:before="60"/>
      </w:pPr>
    </w:p>
    <w:p>
      <w:pPr>
        <w:spacing w:after="40" w:before="0" w:line="300"/>
        <w:jc w:val="left"/>
      </w:pPr>
      <w:r>
        <w:rPr>
          <w:rFonts w:ascii="Inter" w:cs="Inter" w:eastAsia="Inter" w:hAnsi="Inter"/>
          <w:b/>
          <w:bCs/>
          <w:color w:val="6E655C"/>
          <w:spacing w:val="60"/>
          <w:sz w:val="15"/>
          <w:szCs w:val="15"/>
        </w:rPr>
        <w:t xml:space="preserve">PREMIUM ENTREPRENEUR CONSULTANT SDN. BHD.  ·  OPERATING PREMIUM LANGUAGE CENTRE</w:t>
      </w:r>
    </w:p>
    <w:p>
      <w:pPr>
        <w:spacing w:after="420" w:before="0" w:line="300"/>
      </w:pPr>
      <w:r>
        <w:rPr>
          <w:rFonts w:ascii="JetBrains Mono" w:cs="JetBrains Mono" w:eastAsia="JetBrains Mono" w:hAnsi="JetBrains Mono"/>
          <w:color w:val="6E655C"/>
          <w:sz w:val="17"/>
          <w:szCs w:val="17"/>
        </w:rPr>
        <w:t xml:space="preserve">Reg. No. 201501011794 (1137129-X)</w:t>
      </w:r>
    </w:p>
    <w:p>
      <w:pPr>
        <w:spacing w:after="0" w:before="0" w:line="300"/>
        <w:jc w:val="left"/>
      </w:pPr>
      <w:r>
        <w:rPr>
          <w:rFonts w:ascii="Playfair Display" w:cs="Playfair Display" w:eastAsia="Playfair Display" w:hAnsi="Playfair Display"/>
          <w:color w:val="1B1612"/>
          <w:sz w:val="52"/>
          <w:szCs w:val="52"/>
        </w:rPr>
        <w:t xml:space="preserve">Student Recruitment</w:t>
      </w:r>
    </w:p>
    <w:p>
      <w:pPr>
        <w:spacing w:after="200" w:before="0" w:line="300"/>
        <w:jc w:val="left"/>
      </w:pPr>
      <w:r>
        <w:rPr>
          <w:rFonts w:ascii="Playfair Display" w:cs="Playfair Display" w:eastAsia="Playfair Display" w:hAnsi="Playfair Display"/>
          <w:color w:val="1B1612"/>
          <w:sz w:val="52"/>
          <w:szCs w:val="52"/>
        </w:rPr>
        <w:t xml:space="preserve">Representative Agreement</w:t>
      </w:r>
    </w:p>
    <w:p>
      <w:pPr>
        <w:spacing w:after="300" w:before="0" w:line="300"/>
      </w:pPr>
      <w:r>
        <w:rPr>
          <w:rFonts w:ascii="Inter" w:cs="Inter" w:eastAsia="Inter" w:hAnsi="Inter"/>
          <w:color w:val="6E655C"/>
          <w:sz w:val="20"/>
          <w:szCs w:val="20"/>
        </w:rPr>
        <w:t xml:space="preserve">Master template — general recruitment use</w:t>
      </w:r>
    </w:p>
    <w:p>
      <w:pPr>
        <w:pBdr>
          <w:bottom w:val="single" w:color="E8DFD2" w:sz="4"/>
        </w:pBdr>
        <w:spacing w:after="260" w:before="120"/>
      </w:pPr>
    </w:p>
    <w:p>
      <w:pPr>
        <w:spacing w:after="60" w:before="0" w:line="300"/>
        <w:jc w:val="left"/>
      </w:pPr>
      <w:r>
        <w:rPr>
          <w:rFonts w:ascii="Inter" w:cs="Inter" w:eastAsia="Inter" w:hAnsi="Inter"/>
          <w:b/>
          <w:bCs/>
          <w:color w:val="6E655C"/>
          <w:spacing w:val="60"/>
          <w:sz w:val="15"/>
          <w:szCs w:val="15"/>
        </w:rPr>
        <w:t xml:space="preserve">BETWEEN</w:t>
      </w:r>
    </w:p>
    <w:p>
      <w:pPr>
        <w:spacing w:after="220" w:before="0" w:line="300"/>
      </w:pPr>
      <w:r>
        <w:rPr>
          <w:rFonts w:ascii="Inter" w:cs="Inter" w:eastAsia="Inter" w:hAnsi="Inter"/>
          <w:b/>
          <w:bCs/>
          <w:color w:val="1B1612"/>
          <w:sz w:val="22"/>
          <w:szCs w:val="22"/>
        </w:rPr>
        <w:t xml:space="preserve">PREMIUM ENTREPRENEUR CONSULTANT SDN. BHD.</w:t>
      </w:r>
    </w:p>
    <w:p>
      <w:pPr>
        <w:spacing w:after="60" w:before="0" w:line="300"/>
        <w:jc w:val="left"/>
      </w:pPr>
      <w:r>
        <w:rPr>
          <w:rFonts w:ascii="Inter" w:cs="Inter" w:eastAsia="Inter" w:hAnsi="Inter"/>
          <w:b/>
          <w:bCs/>
          <w:color w:val="6E655C"/>
          <w:spacing w:val="60"/>
          <w:sz w:val="15"/>
          <w:szCs w:val="15"/>
        </w:rPr>
        <w:t xml:space="preserve">AND</w:t>
      </w:r>
    </w:p>
    <w:p>
      <w:pPr>
        <w:spacing w:after="60" w:before="0" w:line="300"/>
      </w:pPr>
      <w:r>
        <w:rPr>
          <w:rFonts w:ascii="Inter" w:cs="Inter" w:eastAsia="Inter" w:hAnsi="Inter"/>
          <w:b/>
          <w:bCs/>
          <w:color w:val="1B1612"/>
          <w:sz w:val="22"/>
          <w:szCs w:val="22"/>
        </w:rPr>
        <w:t xml:space="preserve">[RECRUITER LEGAL NAME]</w:t>
      </w:r>
    </w:p>
    <w:p>
      <w:pPr>
        <w:spacing w:after="360" w:before="0" w:line="300"/>
      </w:pPr>
      <w:r>
        <w:rPr>
          <w:rFonts w:ascii="Inter" w:cs="Inter" w:eastAsia="Inter" w:hAnsi="Inter"/>
          <w:color w:val="6E655C"/>
          <w:sz w:val="19"/>
          <w:szCs w:val="19"/>
        </w:rPr>
        <w:t xml:space="preserve">Business / Company Reg. No. </w:t>
      </w:r>
      <w:r>
        <w:rPr>
          <w:rFonts w:ascii="Inter" w:cs="Inter" w:eastAsia="Inter" w:hAnsi="Inter"/>
          <w:b/>
          <w:bCs/>
          <w:color w:val="A8242E"/>
          <w:sz w:val="19"/>
          <w:szCs w:val="19"/>
          <w:shd w:fill="F5D8DB" w:val="clear"/>
        </w:rPr>
        <w:t xml:space="preserve">[                    ]</w:t>
      </w:r>
    </w:p>
    <w:p>
      <w:pPr>
        <w:pBdr>
          <w:bottom w:val="single" w:color="E8DFD2" w:sz="4"/>
        </w:pBdr>
        <w:spacing w:after="200" w:before="120"/>
      </w:pPr>
    </w:p>
    <w:p>
      <w:pPr>
        <w:spacing w:after="280" w:before="0" w:line="300"/>
      </w:pPr>
      <w:r>
        <w:rPr>
          <w:rFonts w:ascii="Inter" w:cs="Inter" w:eastAsia="Inter" w:hAnsi="Inter"/>
          <w:color w:val="4A4239"/>
          <w:sz w:val="20"/>
          <w:szCs w:val="20"/>
        </w:rPr>
        <w:t xml:space="preserve">Dated this </w:t>
      </w:r>
      <w:r>
        <w:rPr>
          <w:rFonts w:ascii="Inter" w:cs="Inter" w:eastAsia="Inter" w:hAnsi="Inter"/>
          <w:b/>
          <w:bCs/>
          <w:color w:val="A8242E"/>
          <w:sz w:val="20"/>
          <w:szCs w:val="20"/>
          <w:shd w:fill="F5D8DB" w:val="clear"/>
        </w:rPr>
        <w:t xml:space="preserve">[    ]</w:t>
      </w:r>
      <w:r>
        <w:rPr>
          <w:rFonts w:ascii="Inter" w:cs="Inter" w:eastAsia="Inter" w:hAnsi="Inter"/>
          <w:color w:val="4A4239"/>
          <w:sz w:val="20"/>
          <w:szCs w:val="20"/>
        </w:rPr>
        <w:t xml:space="preserve"> day of </w:t>
      </w:r>
      <w:r>
        <w:rPr>
          <w:rFonts w:ascii="Inter" w:cs="Inter" w:eastAsia="Inter" w:hAnsi="Inter"/>
          <w:b/>
          <w:bCs/>
          <w:color w:val="A8242E"/>
          <w:sz w:val="20"/>
          <w:szCs w:val="20"/>
          <w:shd w:fill="F5D8DB" w:val="clear"/>
        </w:rPr>
        <w:t xml:space="preserve">[                ]</w:t>
      </w:r>
      <w:r>
        <w:rPr>
          <w:rFonts w:ascii="Inter" w:cs="Inter" w:eastAsia="Inter" w:hAnsi="Inter"/>
          <w:color w:val="4A4239"/>
          <w:sz w:val="20"/>
          <w:szCs w:val="20"/>
        </w:rPr>
        <w:t xml:space="preserve"> </w:t>
      </w:r>
      <w:r>
        <w:rPr>
          <w:rFonts w:ascii="Inter" w:cs="Inter" w:eastAsia="Inter" w:hAnsi="Inter"/>
          <w:b/>
          <w:bCs/>
          <w:color w:val="A8242E"/>
          <w:sz w:val="20"/>
          <w:szCs w:val="20"/>
          <w:shd w:fill="F5D8DB" w:val="clear"/>
        </w:rPr>
        <w:t xml:space="preserve">[        ]</w:t>
      </w:r>
    </w:p>
    <w:p>
      <w:pPr>
        <w:spacing w:after="60" w:before="0" w:line="300"/>
        <w:jc w:val="left"/>
      </w:pPr>
      <w:r>
        <w:rPr>
          <w:rFonts w:ascii="Inter" w:cs="Inter" w:eastAsia="Inter" w:hAnsi="Inter"/>
          <w:b/>
          <w:bCs/>
          <w:color w:val="6E655C"/>
          <w:spacing w:val="60"/>
          <w:sz w:val="15"/>
          <w:szCs w:val="15"/>
        </w:rPr>
        <w:t xml:space="preserve">REGISTERED OFFICE</w:t>
      </w:r>
    </w:p>
    <w:p>
      <w:pPr>
        <w:spacing w:after="0" w:before="0" w:line="300"/>
        <w:jc w:val="left"/>
      </w:pPr>
      <w:r>
        <w:rPr>
          <w:rFonts w:ascii="Inter" w:cs="Inter" w:eastAsia="Inter" w:hAnsi="Inter"/>
          <w:color w:val="4A4239"/>
          <w:sz w:val="19"/>
          <w:szCs w:val="19"/>
        </w:rPr>
        <w:t xml:space="preserve">Unit 10-1-2, 3 &amp; 3A, Level 10, Fahrenheit 88 Office Tower,</w:t>
      </w:r>
    </w:p>
    <w:p>
      <w:pPr>
        <w:spacing w:after="0" w:before="0" w:line="300"/>
        <w:jc w:val="left"/>
      </w:pPr>
      <w:r>
        <w:rPr>
          <w:rFonts w:ascii="Inter" w:cs="Inter" w:eastAsia="Inter" w:hAnsi="Inter"/>
          <w:color w:val="4A4239"/>
          <w:sz w:val="19"/>
          <w:szCs w:val="19"/>
        </w:rPr>
        <w:t xml:space="preserve">No. 179 Jalan Bukit Bintang, 55100 WP Kuala Lumpur</w:t>
      </w:r>
    </w:p>
    <w:p>
      <w:r>
        <w:br w:type="page"/>
      </w:r>
    </w:p>
    <w:p>
      <w:pPr>
        <w:spacing w:after="60" w:before="0" w:line="300"/>
        <w:jc w:val="left"/>
      </w:pPr>
      <w:r>
        <w:rPr>
          <w:rFonts w:ascii="Inter" w:cs="Inter" w:eastAsia="Inter" w:hAnsi="Inter"/>
          <w:b/>
          <w:bCs/>
          <w:color w:val="A8242E"/>
          <w:spacing w:val="60"/>
          <w:sz w:val="15"/>
          <w:szCs w:val="15"/>
        </w:rPr>
        <w:t xml:space="preserve">INTERNAL USE ONLY — REMOVE THIS PAGE BEFORE ISSUE</w:t>
      </w:r>
    </w:p>
    <w:p>
      <w:pPr>
        <w:spacing w:after="60" w:before="0" w:line="300"/>
        <w:jc w:val="left"/>
      </w:pPr>
      <w:r>
        <w:rPr>
          <w:rFonts w:ascii="Playfair Display" w:cs="Playfair Display" w:eastAsia="Playfair Display" w:hAnsi="Playfair Display"/>
          <w:color w:val="1B1612"/>
          <w:sz w:val="36"/>
          <w:szCs w:val="36"/>
        </w:rPr>
        <w:t xml:space="preserve">How to use this template</w:t>
      </w:r>
    </w:p>
    <w:p>
      <w:pPr>
        <w:pBdr>
          <w:bottom w:val="single" w:color="A8242E" w:sz="8"/>
        </w:pBdr>
        <w:spacing w:after="200" w:before="40"/>
      </w:pPr>
    </w:p>
    <w:p>
      <w:pPr>
        <w:spacing w:after="140" w:before="0" w:line="300"/>
        <w:jc w:val="both"/>
      </w:pPr>
      <w:r>
        <w:rPr>
          <w:rFonts w:ascii="Inter" w:cs="Inter" w:eastAsia="Inter" w:hAnsi="Inter"/>
          <w:color w:val="4A4239"/>
          <w:sz w:val="21"/>
          <w:szCs w:val="21"/>
        </w:rPr>
        <w:t xml:space="preserve">Every variable in this Agreement is collected in </w:t>
      </w:r>
      <w:r>
        <w:rPr>
          <w:rFonts w:ascii="Inter" w:cs="Inter" w:eastAsia="Inter" w:hAnsi="Inter"/>
          <w:b/>
          <w:bCs/>
          <w:color w:val="1B1612"/>
          <w:sz w:val="21"/>
          <w:szCs w:val="21"/>
        </w:rPr>
        <w:t xml:space="preserve">Part 1 — Schedule of Particulars</w:t>
      </w:r>
      <w:r>
        <w:rPr>
          <w:rFonts w:ascii="Inter" w:cs="Inter" w:eastAsia="Inter" w:hAnsi="Inter"/>
          <w:color w:val="4A4239"/>
          <w:sz w:val="21"/>
          <w:szCs w:val="21"/>
        </w:rPr>
        <w:t xml:space="preserve"> and </w:t>
      </w:r>
      <w:r>
        <w:rPr>
          <w:rFonts w:ascii="Inter" w:cs="Inter" w:eastAsia="Inter" w:hAnsi="Inter"/>
          <w:b/>
          <w:bCs/>
          <w:color w:val="1B1612"/>
          <w:sz w:val="21"/>
          <w:szCs w:val="21"/>
        </w:rPr>
        <w:t xml:space="preserve">Schedule 1 — Commission Scheme</w:t>
      </w:r>
      <w:r>
        <w:rPr>
          <w:rFonts w:ascii="Inter" w:cs="Inter" w:eastAsia="Inter" w:hAnsi="Inter"/>
          <w:color w:val="4A4239"/>
          <w:sz w:val="21"/>
          <w:szCs w:val="21"/>
        </w:rPr>
        <w:t xml:space="preserve">. The operative clauses are drafted to refer back to those two places, so in normal use you only complete the tables and leave the clause text untouched.</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1.	</w:t>
      </w:r>
      <w:r>
        <w:rPr>
          <w:rFonts w:ascii="Inter" w:cs="Inter" w:eastAsia="Inter" w:hAnsi="Inter"/>
          <w:color w:val="4A4239"/>
          <w:sz w:val="21"/>
          <w:szCs w:val="21"/>
        </w:rPr>
        <w:t xml:space="preserve">Complete every </w:t>
      </w:r>
      <w:r>
        <w:rPr>
          <w:rFonts w:ascii="Inter" w:cs="Inter" w:eastAsia="Inter" w:hAnsi="Inter"/>
          <w:b/>
          <w:bCs/>
          <w:color w:val="A8242E"/>
          <w:sz w:val="21"/>
          <w:szCs w:val="21"/>
          <w:shd w:fill="F5D8DB" w:val="clear"/>
        </w:rPr>
        <w:t xml:space="preserve">[crimson field]</w:t>
      </w:r>
      <w:r>
        <w:rPr>
          <w:rFonts w:ascii="Inter" w:cs="Inter" w:eastAsia="Inter" w:hAnsi="Inter"/>
          <w:color w:val="4A4239"/>
          <w:sz w:val="21"/>
          <w:szCs w:val="21"/>
        </w:rPr>
        <w:t xml:space="preserve"> in Part 1. Any item left blank falls back to the default stated in the clause, or is treated as “not applicable” — do not delete rows.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2.	</w:t>
      </w:r>
      <w:r>
        <w:rPr>
          <w:rFonts w:ascii="Inter" w:cs="Inter" w:eastAsia="Inter" w:hAnsi="Inter"/>
          <w:color w:val="4A4239"/>
          <w:sz w:val="21"/>
          <w:szCs w:val="21"/>
        </w:rPr>
        <w:t xml:space="preserve">Complete Schedule 1 for this recruiter. Rates are negotiated per counterparty and are not standard terms. Delete unused rows; add rows in the same format.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3.	</w:t>
      </w:r>
      <w:r>
        <w:rPr>
          <w:rFonts w:ascii="Inter" w:cs="Inter" w:eastAsia="Inter" w:hAnsi="Inter"/>
          <w:color w:val="4A4239"/>
          <w:sz w:val="21"/>
          <w:szCs w:val="21"/>
        </w:rPr>
        <w:t xml:space="preserve">Have both Parties initial the foot of Schedule 1 — this is the page most often disputed.</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4.	</w:t>
      </w:r>
      <w:r>
        <w:rPr>
          <w:rFonts w:ascii="Inter" w:cs="Inter" w:eastAsia="Inter" w:hAnsi="Inter"/>
          <w:color w:val="4A4239"/>
          <w:sz w:val="21"/>
          <w:szCs w:val="21"/>
        </w:rPr>
        <w:t xml:space="preserve">Check Item 11 (sub-agents) and Item 12 (minors). If the recruiter will handle students under 18, Item 12 must say Yes and Annexure B applies.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5.	</w:t>
      </w:r>
      <w:r>
        <w:rPr>
          <w:rFonts w:ascii="Inter" w:cs="Inter" w:eastAsia="Inter" w:hAnsi="Inter"/>
          <w:color w:val="4A4239"/>
          <w:sz w:val="21"/>
          <w:szCs w:val="21"/>
        </w:rPr>
        <w:t xml:space="preserve">Fill the date on the cover, in the opening line of the Agreement, and in Part 1 Item 1 — all three must match.</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6.	</w:t>
      </w:r>
      <w:r>
        <w:rPr>
          <w:rFonts w:ascii="Inter" w:cs="Inter" w:eastAsia="Inter" w:hAnsi="Inter"/>
          <w:color w:val="4A4239"/>
          <w:sz w:val="21"/>
          <w:szCs w:val="21"/>
        </w:rPr>
        <w:t xml:space="preserve">Delete this page and the cover instruction line, then convert to PDF for issue. Stamp within 30 days of execution (Clause 23).</w:t>
      </w:r>
    </w:p>
    <w:p>
      <w:r>
        <w:br w:type="page"/>
      </w:r>
    </w:p>
    <w:p>
      <w:pPr>
        <w:spacing w:after="60" w:before="0" w:line="300"/>
        <w:jc w:val="left"/>
      </w:pPr>
      <w:r>
        <w:rPr>
          <w:rFonts w:ascii="Inter" w:cs="Inter" w:eastAsia="Inter" w:hAnsi="Inter"/>
          <w:b/>
          <w:bCs/>
          <w:color w:val="A8242E"/>
          <w:spacing w:val="60"/>
          <w:sz w:val="15"/>
          <w:szCs w:val="15"/>
        </w:rPr>
        <w:t xml:space="preserve">PART 1</w:t>
      </w:r>
    </w:p>
    <w:p>
      <w:pPr>
        <w:spacing w:after="60" w:before="0" w:line="300"/>
        <w:jc w:val="left"/>
      </w:pPr>
      <w:r>
        <w:rPr>
          <w:rFonts w:ascii="Playfair Display" w:cs="Playfair Display" w:eastAsia="Playfair Display" w:hAnsi="Playfair Display"/>
          <w:color w:val="1B1612"/>
          <w:sz w:val="40"/>
          <w:szCs w:val="40"/>
        </w:rPr>
        <w:t xml:space="preserve">Schedule of Particulars</w:t>
      </w:r>
    </w:p>
    <w:p>
      <w:pPr>
        <w:pBdr>
          <w:bottom w:val="single" w:color="A8242E" w:sz="8"/>
        </w:pBdr>
        <w:spacing w:after="180" w:before="40"/>
      </w:pPr>
    </w:p>
    <w:p>
      <w:pPr>
        <w:spacing w:after="140" w:before="0" w:line="300"/>
        <w:jc w:val="both"/>
      </w:pPr>
      <w:r>
        <w:rPr>
          <w:rFonts w:ascii="Inter" w:cs="Inter" w:eastAsia="Inter" w:hAnsi="Inter"/>
          <w:color w:val="4A4239"/>
          <w:sz w:val="21"/>
          <w:szCs w:val="21"/>
        </w:rPr>
        <w:t xml:space="preserve">This Part forms part of the Agreement. Where a clause refers to “the Particulars”, it refers to the corresponding Item below.</w:t>
      </w:r>
    </w:p>
    <w:tbl>
      <w:tblPr>
        <w:tblW w:type="dxa" w:w="9360"/>
        <w:tblBorders>
          <w:top w:val="single" w:color="E8DFD2" w:sz="4"/>
          <w:left w:val="none" w:color="auto" w:sz="0"/>
          <w:bottom w:val="single" w:color="E8DFD2" w:sz="4"/>
          <w:right w:val="none" w:color="auto" w:sz="0"/>
          <w:insideH w:val="single" w:color="E8DFD2" w:sz="4"/>
          <w:insideV w:val="none" w:color="auto" w:sz="0"/>
        </w:tblBorders>
      </w:tblPr>
      <w:tblGrid>
        <w:gridCol w:w="820"/>
        <w:gridCol w:w="3000"/>
        <w:gridCol w:w="5540"/>
      </w:tblGrid>
      <w:tr>
        <w:trPr>
          <w:tblHeader/>
        </w:trPr>
        <w:tc>
          <w:tcPr>
            <w:tcW w:type="dxa" w:w="82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ITEM</w:t>
            </w:r>
          </w:p>
        </w:tc>
        <w:tc>
          <w:tcPr>
            <w:tcW w:type="dxa" w:w="30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PARTICULAR</w:t>
            </w:r>
          </w:p>
        </w:tc>
        <w:tc>
          <w:tcPr>
            <w:tcW w:type="dxa" w:w="554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DETAIL</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1</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Date of Agreement</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day of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w:t>
            </w:r>
            <w:r>
              <w:rPr>
                <w:rFonts w:ascii="Inter" w:cs="Inter" w:eastAsia="Inter" w:hAnsi="Inter"/>
                <w:b/>
                <w:bCs/>
                <w:color w:val="A8242E"/>
                <w:sz w:val="19"/>
                <w:szCs w:val="19"/>
                <w:shd w:fill="F5D8DB" w:val="clear"/>
              </w:rPr>
              <w:t xml:space="preserve">[        ]</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2</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RECRUITER — legal name</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3</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RECRUITER — registration no.</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4</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RECRUITER — registered address</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5</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RECRUITER — authorised signatory</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Name: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NRIC / Passport: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Designation: </w:t>
            </w:r>
            <w:r>
              <w:rPr>
                <w:rFonts w:ascii="Inter" w:cs="Inter" w:eastAsia="Inter" w:hAnsi="Inter"/>
                <w:b/>
                <w:bCs/>
                <w:color w:val="A8242E"/>
                <w:sz w:val="19"/>
                <w:szCs w:val="19"/>
                <w:shd w:fill="F5D8DB" w:val="clear"/>
              </w:rPr>
              <w:t xml:space="preserve">[                    ]</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6</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Notices — RECRUITER</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Attn: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Email: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Tel: </w:t>
            </w:r>
            <w:r>
              <w:rPr>
                <w:rFonts w:ascii="Inter" w:cs="Inter" w:eastAsia="Inter" w:hAnsi="Inter"/>
                <w:b/>
                <w:bCs/>
                <w:color w:val="A8242E"/>
                <w:sz w:val="19"/>
                <w:szCs w:val="19"/>
                <w:shd w:fill="F5D8DB" w:val="clear"/>
              </w:rPr>
              <w:t xml:space="preserve">[                    ]</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7</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Notices — PECSB</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Attn: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Email: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Tel: </w:t>
            </w:r>
            <w:r>
              <w:rPr>
                <w:rFonts w:ascii="Inter" w:cs="Inter" w:eastAsia="Inter" w:hAnsi="Inter"/>
                <w:b/>
                <w:bCs/>
                <w:color w:val="A8242E"/>
                <w:sz w:val="19"/>
                <w:szCs w:val="19"/>
                <w:shd w:fill="F5D8DB" w:val="clear"/>
              </w:rPr>
              <w:t xml:space="preserve">[                    ]</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8</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Territory / approved markets</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9</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Approved scope of recruitment</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English programmes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University placement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Special programmes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Corporate / group programmes</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10</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Initial term</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months from the date of this Agreement. Renewal: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automatic for successive equal periods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by written agreement only</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11</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Sub-agents permitted</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Yes, with PECSB’s prior written consent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No</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12</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Recruitment of Minors permitted</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Yes — minimum age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years, Annexure B applies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No</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13</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Commission Scheme</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As set out in Schedule 1, completed and initialled by both Parties</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14</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Commission payment period</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Within </w:t>
            </w:r>
            <w:r>
              <w:rPr>
                <w:rFonts w:ascii="Inter" w:cs="Inter" w:eastAsia="Inter" w:hAnsi="Inter"/>
                <w:b/>
                <w:bCs/>
                <w:color w:val="A8242E"/>
                <w:sz w:val="19"/>
                <w:szCs w:val="19"/>
                <w:shd w:fill="F5D8DB" w:val="clear"/>
              </w:rPr>
              <w:t xml:space="preserve">[    14    ]</w:t>
            </w:r>
            <w:r>
              <w:rPr>
                <w:rFonts w:ascii="Inter" w:cs="Inter" w:eastAsia="Inter" w:hAnsi="Inter"/>
                <w:color w:val="4A4239"/>
                <w:sz w:val="19"/>
                <w:szCs w:val="19"/>
              </w:rPr>
              <w:t xml:space="preserve"> working days of full settlement of the relevant fees</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15</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Clawback period</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Refunds or withdrawals occurring within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months of enrolment</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16</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Non-solicitation period</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12    ]</w:t>
            </w:r>
            <w:r>
              <w:rPr>
                <w:rFonts w:ascii="Inter" w:cs="Inter" w:eastAsia="Inter" w:hAnsi="Inter"/>
                <w:color w:val="4A4239"/>
                <w:sz w:val="19"/>
                <w:szCs w:val="19"/>
              </w:rPr>
              <w:t xml:space="preserve"> months from termination</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17</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RECRUITER bank details</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Bank: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Account name: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Account no.: </w:t>
            </w:r>
            <w:r>
              <w:rPr>
                <w:rFonts w:ascii="Inter" w:cs="Inter" w:eastAsia="Inter" w:hAnsi="Inter"/>
                <w:b/>
                <w:bCs/>
                <w:color w:val="A8242E"/>
                <w:sz w:val="19"/>
                <w:szCs w:val="19"/>
                <w:shd w:fill="F5D8DB" w:val="clear"/>
              </w:rPr>
              <w:t xml:space="preserve">[                        ]</w:t>
            </w:r>
          </w:p>
        </w:tc>
      </w:tr>
      <w:tr>
        <w:tc>
          <w:tcPr>
            <w:tcW w:type="dxa" w:w="8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18</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Governing law and courts</w:t>
            </w:r>
          </w:p>
        </w:tc>
        <w:tc>
          <w:tcPr>
            <w:tcW w:type="dxa" w:w="55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Malaysia — Courts of Kuala Lumpur</w:t>
            </w:r>
          </w:p>
        </w:tc>
      </w:tr>
    </w:tbl>
    <w:p>
      <w:pPr>
        <w:spacing w:after="160" w:before="60" w:line="300"/>
        <w:jc w:val="both"/>
      </w:pPr>
      <w:r>
        <w:rPr>
          <w:rFonts w:ascii="Inter" w:cs="Inter" w:eastAsia="Inter" w:hAnsi="Inter"/>
          <w:i/>
          <w:iCs/>
          <w:color w:val="6E655C"/>
          <w:sz w:val="18"/>
          <w:szCs w:val="18"/>
        </w:rPr>
        <w:t xml:space="preserve">Where an Item is left blank, the default stated in the corresponding clause applies. Where an Item states a figure in a box, that figure is the recommended default.</w:t>
      </w:r>
    </w:p>
    <w:p>
      <w:r>
        <w:br w:type="page"/>
      </w:r>
    </w:p>
    <w:p>
      <w:pPr>
        <w:spacing w:after="200" w:before="0"/>
      </w:pPr>
      <w:r>
        <w:rPr>
          <w:rFonts w:ascii="Playfair Display" w:cs="Playfair Display" w:eastAsia="Playfair Display" w:hAnsi="Playfair Display"/>
          <w:color w:val="1B1612"/>
          <w:sz w:val="30"/>
          <w:szCs w:val="30"/>
        </w:rPr>
        <w:t xml:space="preserve">This Agreement</w:t>
      </w:r>
    </w:p>
    <w:p>
      <w:pPr>
        <w:spacing w:after="240" w:before="0" w:line="300"/>
      </w:pPr>
      <w:r>
        <w:rPr>
          <w:rFonts w:ascii="Inter" w:cs="Inter" w:eastAsia="Inter" w:hAnsi="Inter"/>
          <w:color w:val="4A4239"/>
          <w:sz w:val="21"/>
          <w:szCs w:val="21"/>
        </w:rPr>
        <w:t xml:space="preserve">is made on the </w:t>
      </w:r>
      <w:r>
        <w:rPr>
          <w:rFonts w:ascii="Inter" w:cs="Inter" w:eastAsia="Inter" w:hAnsi="Inter"/>
          <w:b/>
          <w:bCs/>
          <w:color w:val="A8242E"/>
          <w:sz w:val="21"/>
          <w:szCs w:val="21"/>
          <w:shd w:fill="F5D8DB" w:val="clear"/>
        </w:rPr>
        <w:t xml:space="preserve">[    ]</w:t>
      </w:r>
      <w:r>
        <w:rPr>
          <w:rFonts w:ascii="Inter" w:cs="Inter" w:eastAsia="Inter" w:hAnsi="Inter"/>
          <w:color w:val="4A4239"/>
          <w:sz w:val="21"/>
          <w:szCs w:val="21"/>
        </w:rPr>
        <w:t xml:space="preserve"> day of </w:t>
      </w:r>
      <w:r>
        <w:rPr>
          <w:rFonts w:ascii="Inter" w:cs="Inter" w:eastAsia="Inter" w:hAnsi="Inter"/>
          <w:b/>
          <w:bCs/>
          <w:color w:val="A8242E"/>
          <w:sz w:val="21"/>
          <w:szCs w:val="21"/>
          <w:shd w:fill="F5D8DB" w:val="clear"/>
        </w:rPr>
        <w:t xml:space="preserve">[                ]</w:t>
      </w:r>
      <w:r>
        <w:rPr>
          <w:rFonts w:ascii="Inter" w:cs="Inter" w:eastAsia="Inter" w:hAnsi="Inter"/>
          <w:color w:val="4A4239"/>
          <w:sz w:val="21"/>
          <w:szCs w:val="21"/>
        </w:rPr>
        <w:t xml:space="preserve"> </w:t>
      </w:r>
      <w:r>
        <w:rPr>
          <w:rFonts w:ascii="Inter" w:cs="Inter" w:eastAsia="Inter" w:hAnsi="Inter"/>
          <w:b/>
          <w:bCs/>
          <w:color w:val="A8242E"/>
          <w:sz w:val="21"/>
          <w:szCs w:val="21"/>
          <w:shd w:fill="F5D8DB" w:val="clear"/>
        </w:rPr>
        <w:t xml:space="preserve">[        ]</w:t>
      </w:r>
      <w:r>
        <w:rPr>
          <w:rFonts w:ascii="Inter" w:cs="Inter" w:eastAsia="Inter" w:hAnsi="Inter"/>
          <w:color w:val="4A4239"/>
          <w:sz w:val="21"/>
          <w:szCs w:val="21"/>
        </w:rPr>
        <w:t xml:space="preserve"> (“Commencement Date”).</w:t>
      </w:r>
    </w:p>
    <w:p>
      <w:pPr>
        <w:spacing w:after="80" w:before="0" w:line="300"/>
        <w:jc w:val="left"/>
      </w:pPr>
      <w:r>
        <w:rPr>
          <w:rFonts w:ascii="Inter" w:cs="Inter" w:eastAsia="Inter" w:hAnsi="Inter"/>
          <w:b/>
          <w:bCs/>
          <w:color w:val="6E655C"/>
          <w:spacing w:val="60"/>
          <w:sz w:val="15"/>
          <w:szCs w:val="15"/>
        </w:rPr>
        <w:t xml:space="preserve">BETWEEN</w:t>
      </w:r>
    </w:p>
    <w:tbl>
      <w:tblPr>
        <w:tblW w:type="dxa" w:w="9360"/>
        <w:tblBorders>
          <w:top w:val="single" w:color="E8DFD2" w:sz="4"/>
          <w:left w:val="none" w:color="auto" w:sz="0"/>
          <w:bottom w:val="single" w:color="E8DFD2" w:sz="4"/>
          <w:right w:val="none" w:color="auto" w:sz="0"/>
          <w:insideH w:val="single" w:color="E8DFD2" w:sz="4"/>
          <w:insideV w:val="none" w:color="auto" w:sz="0"/>
        </w:tblBorders>
      </w:tblPr>
      <w:tblGrid>
        <w:gridCol w:w="2100"/>
        <w:gridCol w:w="7260"/>
      </w:tblGrid>
      <w:tr>
        <w:tc>
          <w:tcPr>
            <w:tcW w:type="dxa" w:w="21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NAME</w:t>
            </w:r>
          </w:p>
        </w:tc>
        <w:tc>
          <w:tcPr>
            <w:tcW w:type="dxa" w:w="72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4A4239"/>
                <w:sz w:val="19"/>
                <w:szCs w:val="19"/>
              </w:rPr>
              <w:t xml:space="preserve">PREMIUM ENTREPRENEUR CONSULTANT SDN. BHD.</w:t>
            </w:r>
          </w:p>
        </w:tc>
      </w:tr>
      <w:tr>
        <w:tc>
          <w:tcPr>
            <w:tcW w:type="dxa" w:w="21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COMPANY NO.</w:t>
            </w:r>
          </w:p>
        </w:tc>
        <w:tc>
          <w:tcPr>
            <w:tcW w:type="dxa" w:w="72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201501011794 (1137129-X)</w:t>
            </w:r>
          </w:p>
        </w:tc>
      </w:tr>
      <w:tr>
        <w:tc>
          <w:tcPr>
            <w:tcW w:type="dxa" w:w="21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ADDRESS</w:t>
            </w:r>
          </w:p>
        </w:tc>
        <w:tc>
          <w:tcPr>
            <w:tcW w:type="dxa" w:w="72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Unit 10-1-2, 3 &amp; 3A, Level 10, Fahrenheit 88 Office Tower, No. 179 Jalan Bukit Bintang, 55100 WP Kuala Lumpur</w:t>
            </w:r>
          </w:p>
        </w:tc>
      </w:tr>
    </w:tbl>
    <w:p>
      <w:pPr>
        <w:spacing w:after="240" w:before="100" w:line="300"/>
        <w:jc w:val="right"/>
      </w:pPr>
      <w:r>
        <w:rPr>
          <w:rFonts w:ascii="Inter" w:cs="Inter" w:eastAsia="Inter" w:hAnsi="Inter"/>
          <w:b/>
          <w:bCs/>
          <w:color w:val="A8242E"/>
          <w:sz w:val="20"/>
          <w:szCs w:val="20"/>
        </w:rPr>
        <w:t xml:space="preserve">("PECSB")</w:t>
      </w:r>
    </w:p>
    <w:p>
      <w:pPr>
        <w:spacing w:after="80" w:before="0" w:line="300"/>
        <w:jc w:val="left"/>
      </w:pPr>
      <w:r>
        <w:rPr>
          <w:rFonts w:ascii="Inter" w:cs="Inter" w:eastAsia="Inter" w:hAnsi="Inter"/>
          <w:b/>
          <w:bCs/>
          <w:color w:val="6E655C"/>
          <w:spacing w:val="60"/>
          <w:sz w:val="15"/>
          <w:szCs w:val="15"/>
        </w:rPr>
        <w:t xml:space="preserve">AND</w:t>
      </w:r>
    </w:p>
    <w:tbl>
      <w:tblPr>
        <w:tblW w:type="dxa" w:w="9360"/>
        <w:tblBorders>
          <w:top w:val="single" w:color="E8DFD2" w:sz="4"/>
          <w:left w:val="none" w:color="auto" w:sz="0"/>
          <w:bottom w:val="single" w:color="E8DFD2" w:sz="4"/>
          <w:right w:val="none" w:color="auto" w:sz="0"/>
          <w:insideH w:val="single" w:color="E8DFD2" w:sz="4"/>
          <w:insideV w:val="none" w:color="auto" w:sz="0"/>
        </w:tblBorders>
      </w:tblPr>
      <w:tblGrid>
        <w:gridCol w:w="2100"/>
        <w:gridCol w:w="7260"/>
      </w:tblGrid>
      <w:tr>
        <w:tc>
          <w:tcPr>
            <w:tcW w:type="dxa" w:w="21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NAME</w:t>
            </w:r>
          </w:p>
        </w:tc>
        <w:tc>
          <w:tcPr>
            <w:tcW w:type="dxa" w:w="72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4A4239"/>
                <w:sz w:val="19"/>
                <w:szCs w:val="19"/>
              </w:rPr>
              <w:t xml:space="preserve">[RECRUITER LEGAL NAME — Item 2]</w:t>
            </w:r>
          </w:p>
        </w:tc>
      </w:tr>
      <w:tr>
        <w:tc>
          <w:tcPr>
            <w:tcW w:type="dxa" w:w="21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REG. NO.</w:t>
            </w:r>
          </w:p>
        </w:tc>
        <w:tc>
          <w:tcPr>
            <w:tcW w:type="dxa" w:w="72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[Item 3]</w:t>
            </w:r>
          </w:p>
        </w:tc>
      </w:tr>
      <w:tr>
        <w:tc>
          <w:tcPr>
            <w:tcW w:type="dxa" w:w="21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ADDRESS</w:t>
            </w:r>
          </w:p>
        </w:tc>
        <w:tc>
          <w:tcPr>
            <w:tcW w:type="dxa" w:w="72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[Item 4]</w:t>
            </w:r>
          </w:p>
        </w:tc>
      </w:tr>
      <w:tr>
        <w:tc>
          <w:tcPr>
            <w:tcW w:type="dxa" w:w="21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SIGNATORY</w:t>
            </w:r>
          </w:p>
        </w:tc>
        <w:tc>
          <w:tcPr>
            <w:tcW w:type="dxa" w:w="72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[Item 5]</w:t>
            </w:r>
          </w:p>
        </w:tc>
      </w:tr>
    </w:tbl>
    <w:p>
      <w:pPr>
        <w:spacing w:after="240" w:before="100" w:line="300"/>
        <w:jc w:val="right"/>
      </w:pPr>
      <w:r>
        <w:rPr>
          <w:rFonts w:ascii="Inter" w:cs="Inter" w:eastAsia="Inter" w:hAnsi="Inter"/>
          <w:b/>
          <w:bCs/>
          <w:color w:val="A8242E"/>
          <w:sz w:val="20"/>
          <w:szCs w:val="20"/>
        </w:rPr>
        <w:t xml:space="preserve">("RECRUITER")</w:t>
      </w:r>
    </w:p>
    <w:p>
      <w:pPr>
        <w:spacing w:after="140" w:before="0" w:line="300"/>
        <w:jc w:val="both"/>
      </w:pPr>
      <w:r>
        <w:rPr>
          <w:rFonts w:ascii="Inter" w:cs="Inter" w:eastAsia="Inter" w:hAnsi="Inter"/>
          <w:color w:val="4A4239"/>
          <w:sz w:val="21"/>
          <w:szCs w:val="21"/>
        </w:rPr>
        <w:t xml:space="preserve">(Premium Entrepreneur Consultant Sdn. Bhd. and/or Premium Language Centre and the RECRUITER named in Item 2 of the Particulars shall hereinafter be referred to collectively as “Parties” and individually as “PECSB” and/or “Premium” and “RECRUITER” respectively, where the context so requires.)</w:t>
      </w:r>
    </w:p>
    <w:p>
      <w:pPr>
        <w:pBdr>
          <w:top w:val="single" w:color="E8DFD2" w:sz="4"/>
        </w:pBdr>
        <w:spacing w:after="180" w:before="380"/>
      </w:pPr>
      <w:r>
        <w:rPr>
          <w:rFonts w:ascii="JetBrains Mono" w:cs="JetBrains Mono" w:eastAsia="JetBrains Mono" w:hAnsi="JetBrains Mono"/>
          <w:b/>
          <w:bCs/>
          <w:color w:val="A8242E"/>
          <w:sz w:val="18"/>
          <w:szCs w:val="18"/>
        </w:rPr>
        <w:t xml:space="preserve">——   </w:t>
      </w:r>
      <w:r>
        <w:rPr>
          <w:rFonts w:ascii="Playfair Display" w:cs="Playfair Display" w:eastAsia="Playfair Display" w:hAnsi="Playfair Display"/>
          <w:color w:val="1B1612"/>
          <w:sz w:val="26"/>
          <w:szCs w:val="26"/>
        </w:rPr>
        <w:t xml:space="preserve">Recitals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PECSB is a company incorporated in Malaysia under the Companies Act which operates Premium Language Centre (“Premium”) having its address at Unit 10-1-2, 3 &amp; 3A, Level 10, Fahrenheit 88 Office Tower, No. 179 Jalan Bukit Bintang, 55100 WP Kuala Lumpur, committed to provide language education for the enhancement of language and communication mastery.</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Premium was established in 2014 as a language centre mainly for international students. Premium aims to provide quality education by implementing professional practices at global standards. Premium’s core competence focuses on the driving factor that communication is essential for progress and development. Hence, Premium is determined to bring forth its personalised approach in language education to the world. Premium also specialises in educating and bringing the best out of every individual both in everyday life and professional working environments through soft skill human development.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RECRUITER is a student recruitment representative carrying on business at the address stated in Item 4 of the Particulars, and represents that it is duly registered and licensed to carry on that business in the Territory.</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(D)	</w:t>
      </w:r>
      <w:r>
        <w:rPr>
          <w:rFonts w:ascii="Inter" w:cs="Inter" w:eastAsia="Inter" w:hAnsi="Inter"/>
          <w:color w:val="4A4239"/>
          <w:sz w:val="21"/>
          <w:szCs w:val="21"/>
        </w:rPr>
        <w:t xml:space="preserve">PECSB is desirous to appoint RECRUITER to recruit students and to refer them to Premium, who will thereafter upon consultation and educational counselling, refer them to universities be it foreign or national. The details of the appointment are as set out in the clauses below and are further subject to and based upon Premium’s Standard Terms and Conditions of Appointment as set out in this Agreement. To ensure and maintain the legitimate rights and interests of both Parties, in accordance with relevant laws and regulations, and based on the principles of free will, equality and consensus through consultation, the Parties hereby agree to enter into this Agreement to be binding upon both Parties.</w:t>
      </w:r>
    </w:p>
    <w:p>
      <w:pPr>
        <w:pBdr>
          <w:top w:val="single" w:color="A8242E" w:sz="8"/>
        </w:pBdr>
        <w:spacing w:after="200" w:before="300"/>
      </w:pPr>
      <w:r>
        <w:rPr>
          <w:rFonts w:ascii="Inter" w:cs="Inter" w:eastAsia="Inter" w:hAnsi="Inter"/>
          <w:b/>
          <w:bCs/>
          <w:color w:val="1B1612"/>
          <w:spacing w:val="40"/>
          <w:sz w:val="20"/>
          <w:szCs w:val="20"/>
        </w:rPr>
        <w:t xml:space="preserve">NOW THEREFORE THE PARTIES AGREE AS FOLLOWS:</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01   </w:t>
      </w:r>
      <w:r>
        <w:rPr>
          <w:rFonts w:ascii="Playfair Display" w:cs="Playfair Display" w:eastAsia="Playfair Display" w:hAnsi="Playfair Display"/>
          <w:color w:val="1B1612"/>
          <w:sz w:val="26"/>
          <w:szCs w:val="26"/>
        </w:rPr>
        <w:t xml:space="preserve">Definitions and Interpretation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In this Agreement, unless the context otherwise requires: </w:t>
      </w:r>
      <w:r>
        <w:rPr>
          <w:rFonts w:ascii="Inter" w:cs="Inter" w:eastAsia="Inter" w:hAnsi="Inter"/>
          <w:b/>
          <w:bCs/>
          <w:color w:val="1B1612"/>
          <w:sz w:val="21"/>
          <w:szCs w:val="21"/>
        </w:rPr>
        <w:t xml:space="preserve">“Commission”</w:t>
      </w:r>
      <w:r>
        <w:rPr>
          <w:rFonts w:ascii="Inter" w:cs="Inter" w:eastAsia="Inter" w:hAnsi="Inter"/>
          <w:color w:val="4A4239"/>
          <w:sz w:val="21"/>
          <w:szCs w:val="21"/>
        </w:rPr>
        <w:t xml:space="preserve"> means the amounts payable under Clause 9 and Schedule 1; </w:t>
      </w:r>
      <w:r>
        <w:rPr>
          <w:rFonts w:ascii="Inter" w:cs="Inter" w:eastAsia="Inter" w:hAnsi="Inter"/>
          <w:b/>
          <w:bCs/>
          <w:color w:val="1B1612"/>
          <w:sz w:val="21"/>
          <w:szCs w:val="21"/>
        </w:rPr>
        <w:t xml:space="preserve">“Enrolled Student”</w:t>
      </w:r>
      <w:r>
        <w:rPr>
          <w:rFonts w:ascii="Inter" w:cs="Inter" w:eastAsia="Inter" w:hAnsi="Inter"/>
          <w:color w:val="4A4239"/>
          <w:sz w:val="21"/>
          <w:szCs w:val="21"/>
        </w:rPr>
        <w:t xml:space="preserve"> means a student recruited by RECRUITER who has been accepted by Premium and has paid the relevant fees in full; </w:t>
      </w:r>
      <w:r>
        <w:rPr>
          <w:rFonts w:ascii="Inter" w:cs="Inter" w:eastAsia="Inter" w:hAnsi="Inter"/>
          <w:b/>
          <w:bCs/>
          <w:color w:val="1B1612"/>
          <w:sz w:val="21"/>
          <w:szCs w:val="21"/>
        </w:rPr>
        <w:t xml:space="preserve">“Minor”</w:t>
      </w:r>
      <w:r>
        <w:rPr>
          <w:rFonts w:ascii="Inter" w:cs="Inter" w:eastAsia="Inter" w:hAnsi="Inter"/>
          <w:color w:val="4A4239"/>
          <w:sz w:val="21"/>
          <w:szCs w:val="21"/>
        </w:rPr>
        <w:t xml:space="preserve"> means any student who is below eighteen (18) years of age on the date of application, or below the age of majority in the student’s country of nationality or residence, whichever is the higher; </w:t>
      </w:r>
      <w:r>
        <w:rPr>
          <w:rFonts w:ascii="Inter" w:cs="Inter" w:eastAsia="Inter" w:hAnsi="Inter"/>
          <w:b/>
          <w:bCs/>
          <w:color w:val="1B1612"/>
          <w:sz w:val="21"/>
          <w:szCs w:val="21"/>
        </w:rPr>
        <w:t xml:space="preserve">“Particulars”</w:t>
      </w:r>
      <w:r>
        <w:rPr>
          <w:rFonts w:ascii="Inter" w:cs="Inter" w:eastAsia="Inter" w:hAnsi="Inter"/>
          <w:color w:val="4A4239"/>
          <w:sz w:val="21"/>
          <w:szCs w:val="21"/>
        </w:rPr>
        <w:t xml:space="preserve"> means Part 1 of this Agreement; </w:t>
      </w:r>
      <w:r>
        <w:rPr>
          <w:rFonts w:ascii="Inter" w:cs="Inter" w:eastAsia="Inter" w:hAnsi="Inter"/>
          <w:b/>
          <w:bCs/>
          <w:color w:val="1B1612"/>
          <w:sz w:val="21"/>
          <w:szCs w:val="21"/>
        </w:rPr>
        <w:t xml:space="preserve">“Territory”</w:t>
      </w:r>
      <w:r>
        <w:rPr>
          <w:rFonts w:ascii="Inter" w:cs="Inter" w:eastAsia="Inter" w:hAnsi="Inter"/>
          <w:color w:val="4A4239"/>
          <w:sz w:val="21"/>
          <w:szCs w:val="21"/>
        </w:rPr>
        <w:t xml:space="preserve"> means the country or countries stated in Item 8 of the Particulars; and </w:t>
      </w:r>
      <w:r>
        <w:rPr>
          <w:rFonts w:ascii="Inter" w:cs="Inter" w:eastAsia="Inter" w:hAnsi="Inter"/>
          <w:b/>
          <w:bCs/>
          <w:color w:val="1B1612"/>
          <w:sz w:val="21"/>
          <w:szCs w:val="21"/>
        </w:rPr>
        <w:t xml:space="preserve">“Schedule”</w:t>
      </w:r>
      <w:r>
        <w:rPr>
          <w:rFonts w:ascii="Inter" w:cs="Inter" w:eastAsia="Inter" w:hAnsi="Inter"/>
          <w:color w:val="4A4239"/>
          <w:sz w:val="21"/>
          <w:szCs w:val="21"/>
        </w:rPr>
        <w:t xml:space="preserve"> and </w:t>
      </w:r>
      <w:r>
        <w:rPr>
          <w:rFonts w:ascii="Inter" w:cs="Inter" w:eastAsia="Inter" w:hAnsi="Inter"/>
          <w:b/>
          <w:bCs/>
          <w:color w:val="1B1612"/>
          <w:sz w:val="21"/>
          <w:szCs w:val="21"/>
        </w:rPr>
        <w:t xml:space="preserve">“Annexure”</w:t>
      </w:r>
      <w:r>
        <w:rPr>
          <w:rFonts w:ascii="Inter" w:cs="Inter" w:eastAsia="Inter" w:hAnsi="Inter"/>
          <w:color w:val="4A4239"/>
          <w:sz w:val="21"/>
          <w:szCs w:val="21"/>
        </w:rPr>
        <w:t xml:space="preserve"> mean the schedules and annexures to this Agreement.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The Particulars, Schedules and Annexures form part of this Agreement. In the event of any conflict, the operative clauses prevail over the Schedules and Annexures, save that Schedule 1 prevails in respect of commission rates.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Headings are for convenience only and do not affect interpretation. Words importing the singular include the plural and vice versa. A reference to a statute includes any amendment or re-enactment of it.</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02   </w:t>
      </w:r>
      <w:r>
        <w:rPr>
          <w:rFonts w:ascii="Playfair Display" w:cs="Playfair Display" w:eastAsia="Playfair Display" w:hAnsi="Playfair Display"/>
          <w:color w:val="1B1612"/>
          <w:sz w:val="26"/>
          <w:szCs w:val="26"/>
        </w:rPr>
        <w:t xml:space="preserve">Appointment and Scope</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PECSB hereby appoints RECRUITER as its non-exclusive Student Recruitment Representative to source, introduce and refer prospective students to Premium within the Territory and within the scope stated in Item 9 of the Particulars, and RECRUITER accepts the appointment on the terms of this Agreement.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The appointment is non-exclusive. Premium may itself recruit students and may appoint other representatives, agents or channels without restriction, and without any obligation or payment to RECRUITER in respect of students not recruited by RECRUITER.</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RECRUITER has no authority to accept enrolments, collect fees, make representations or otherwise bind Premium, save as expressly authorised by Premium in writing.</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(d)	</w:t>
      </w:r>
      <w:r>
        <w:rPr>
          <w:rFonts w:ascii="Inter" w:cs="Inter" w:eastAsia="Inter" w:hAnsi="Inter"/>
          <w:color w:val="4A4239"/>
          <w:sz w:val="21"/>
          <w:szCs w:val="21"/>
        </w:rPr>
        <w:t xml:space="preserve">RECRUITER shall not recruit or hold itself out as recruiting outside the Territory or the approved scope without Premium’s prior written consent. No Commission is payable in respect of any activity outside the Territory or scope unless Premium has consented in writing.</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03   </w:t>
      </w:r>
      <w:r>
        <w:rPr>
          <w:rFonts w:ascii="Playfair Display" w:cs="Playfair Display" w:eastAsia="Playfair Display" w:hAnsi="Playfair Display"/>
          <w:color w:val="1B1612"/>
          <w:sz w:val="26"/>
          <w:szCs w:val="26"/>
        </w:rPr>
        <w:t xml:space="preserve">Term</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This Agreement takes effect on the Commencement Date and continues for the initial term stated in Item 10 of the Particulars, or, if no term is stated, until terminated in accordance with Clause 12.</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Where Item 10 provides for automatic renewal, this Agreement renews for successive periods of equal length unless either Party gives written notice of non-renewal at least thirty (30) days before the end of the then-current term.</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04   </w:t>
      </w:r>
      <w:r>
        <w:rPr>
          <w:rFonts w:ascii="Playfair Display" w:cs="Playfair Display" w:eastAsia="Playfair Display" w:hAnsi="Playfair Display"/>
          <w:color w:val="1B1612"/>
          <w:sz w:val="26"/>
          <w:szCs w:val="26"/>
        </w:rPr>
        <w:t xml:space="preserve">Rights and Obligations of RECRUITER</w:t>
      </w:r>
    </w:p>
    <w:p>
      <w:pPr>
        <w:spacing w:after="140" w:before="0" w:line="300"/>
        <w:jc w:val="both"/>
      </w:pPr>
      <w:r>
        <w:rPr>
          <w:rFonts w:ascii="Inter" w:cs="Inter" w:eastAsia="Inter" w:hAnsi="Inter"/>
          <w:color w:val="4A4239"/>
          <w:sz w:val="21"/>
          <w:szCs w:val="21"/>
        </w:rPr>
        <w:t xml:space="preserve">RECRUITER upholds the following responsibilities during this period as Premium’s appointed Student Recruitment Representative, including:</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Ensuring that the prospective student(s) is made fully aware of all financial terms and conditions as per the marketing and promotional material currently in practice.</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Ensuring that the prospective student(s) is made fully aware of all academic terms and conditions and the entry level that the said student(s) will be or is being accepted by Premium.</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Assisting prospective students in completing applications for admission to the course and filing the specific data as proof for review.</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(d)	</w:t>
      </w:r>
      <w:r>
        <w:rPr>
          <w:rFonts w:ascii="Inter" w:cs="Inter" w:eastAsia="Inter" w:hAnsi="Inter"/>
          <w:color w:val="4A4239"/>
          <w:sz w:val="21"/>
          <w:szCs w:val="21"/>
        </w:rPr>
        <w:t xml:space="preserve">Ensuring the age of the student(s) recruited for Premium is between seventeen (17) and forty-five (45) years old for student visa purposes, subject always to Clause 6 (Recruitment of Minors and Vulnerable Students).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(e)	</w:t>
      </w:r>
      <w:r>
        <w:rPr>
          <w:rFonts w:ascii="Inter" w:cs="Inter" w:eastAsia="Inter" w:hAnsi="Inter"/>
          <w:color w:val="4A4239"/>
          <w:sz w:val="21"/>
          <w:szCs w:val="21"/>
        </w:rPr>
        <w:t xml:space="preserve">Any recruitment below the age of seventeen (17) shall enclose a support letter from the student’s respective embassy, in addition to the requirements of Clause 6.</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(f)	</w:t>
      </w:r>
      <w:r>
        <w:rPr>
          <w:rFonts w:ascii="Inter" w:cs="Inter" w:eastAsia="Inter" w:hAnsi="Inter"/>
          <w:color w:val="4A4239"/>
          <w:sz w:val="21"/>
          <w:szCs w:val="21"/>
        </w:rPr>
        <w:t xml:space="preserve">Any recruitment above the age of forty-five (45) shall include a sponsorship letter from their respective embassies.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(g)	</w:t>
      </w:r>
      <w:r>
        <w:rPr>
          <w:rFonts w:ascii="Inter" w:cs="Inter" w:eastAsia="Inter" w:hAnsi="Inter"/>
          <w:color w:val="4A4239"/>
          <w:sz w:val="21"/>
          <w:szCs w:val="21"/>
        </w:rPr>
        <w:t xml:space="preserve">It shall be the duty of RECRUITER to compile all necessary documents as per listed in the admission procedures enclosed (Annexure A).</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(h)	</w:t>
      </w:r>
      <w:r>
        <w:rPr>
          <w:rFonts w:ascii="Inter" w:cs="Inter" w:eastAsia="Inter" w:hAnsi="Inter"/>
          <w:color w:val="4A4239"/>
          <w:sz w:val="21"/>
          <w:szCs w:val="21"/>
        </w:rPr>
        <w:t xml:space="preserve">Make it clear to all prospective students that Premium (where applicable) only accepts applications for the courses on Premium’s terms and conditions respectively.</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	</w:t>
      </w:r>
      <w:r>
        <w:rPr>
          <w:rFonts w:ascii="Inter" w:cs="Inter" w:eastAsia="Inter" w:hAnsi="Inter"/>
          <w:color w:val="4A4239"/>
          <w:sz w:val="21"/>
          <w:szCs w:val="21"/>
        </w:rPr>
        <w:t xml:space="preserve">RECRUITER hereby expressly undertakes that it will provide its services in respect of recruitment of student(s) for and on behalf of Premium employing various methods, mainly in the form of exhibitions, school talks and advertisements, at its own costs.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(j)	</w:t>
      </w:r>
      <w:r>
        <w:rPr>
          <w:rFonts w:ascii="Inter" w:cs="Inter" w:eastAsia="Inter" w:hAnsi="Inter"/>
          <w:color w:val="4A4239"/>
          <w:sz w:val="21"/>
          <w:szCs w:val="21"/>
        </w:rPr>
        <w:t xml:space="preserve">RECRUITER hereby expressly agrees that all forms of marketing and promotional material and their respective content provided by Premium will have to be submitted for approval to Premium at least five (5) working days before print, failing which Premium automatically reserves the right to disclaim any such material as representing Premium and any obligation arising under this Agreement.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(k)	</w:t>
      </w:r>
      <w:r>
        <w:rPr>
          <w:rFonts w:ascii="Inter" w:cs="Inter" w:eastAsia="Inter" w:hAnsi="Inter"/>
          <w:color w:val="4A4239"/>
          <w:sz w:val="21"/>
          <w:szCs w:val="21"/>
        </w:rPr>
        <w:t xml:space="preserve">RECRUITER hereby also agrees to undertake to indemnify Premium in respect of any action that may arise as a result of this breach.</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(l)	</w:t>
      </w:r>
      <w:r>
        <w:rPr>
          <w:rFonts w:ascii="Inter" w:cs="Inter" w:eastAsia="Inter" w:hAnsi="Inter"/>
          <w:color w:val="4A4239"/>
          <w:sz w:val="21"/>
          <w:szCs w:val="21"/>
        </w:rPr>
        <w:t xml:space="preserve">RECRUITER is to take the responsibility of supporting students throughout their application and submission of documents and to advise and remind students of their responsibility to maintain satisfactory course and attendance progress.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(m)	</w:t>
      </w:r>
      <w:r>
        <w:rPr>
          <w:rFonts w:ascii="Inter" w:cs="Inter" w:eastAsia="Inter" w:hAnsi="Inter"/>
          <w:color w:val="4A4239"/>
          <w:sz w:val="21"/>
          <w:szCs w:val="21"/>
        </w:rPr>
        <w:t xml:space="preserve">Premium hereby reserves the right to terminate this appointment without any notice in the case a breach of Clause 4(j) to 4(l) occurs.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(n)	</w:t>
      </w:r>
      <w:r>
        <w:rPr>
          <w:rFonts w:ascii="Inter" w:cs="Inter" w:eastAsia="Inter" w:hAnsi="Inter"/>
          <w:color w:val="4A4239"/>
          <w:sz w:val="21"/>
          <w:szCs w:val="21"/>
        </w:rPr>
        <w:t xml:space="preserve">Notify Premium (where applicable) in writing promptly of all or any complaints by prospective students.</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05   </w:t>
      </w:r>
      <w:r>
        <w:rPr>
          <w:rFonts w:ascii="Playfair Display" w:cs="Playfair Display" w:eastAsia="Playfair Display" w:hAnsi="Playfair Display"/>
          <w:color w:val="1B1612"/>
          <w:sz w:val="26"/>
          <w:szCs w:val="26"/>
        </w:rPr>
        <w:t xml:space="preserve">Rights and Obligations of Premium</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Advise RECRUITER promptly of any new or additional courses or relevant amendments to Premium’s prospectus.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Premium hereby further undertakes to admit and enrol all students recruited by RECRUITER who meet the academic requirements and have paid full settlement as specified in the Conditional Offer Letter from Premium.</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Whereas payments for Special Programs such as Summer Camp shall be paid on a project basis, and on terms agreed mutually by Premium and RECRUITER.</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(d)	</w:t>
      </w:r>
      <w:r>
        <w:rPr>
          <w:rFonts w:ascii="Inter" w:cs="Inter" w:eastAsia="Inter" w:hAnsi="Inter"/>
          <w:color w:val="4A4239"/>
          <w:sz w:val="21"/>
          <w:szCs w:val="21"/>
        </w:rPr>
        <w:t xml:space="preserve">Premium shall hold all responsibilities for student’s academic matters recruited by RECRUITER.</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(e)	</w:t>
      </w:r>
      <w:r>
        <w:rPr>
          <w:rFonts w:ascii="Inter" w:cs="Inter" w:eastAsia="Inter" w:hAnsi="Inter"/>
          <w:color w:val="4A4239"/>
          <w:sz w:val="21"/>
          <w:szCs w:val="21"/>
        </w:rPr>
        <w:t xml:space="preserve">Premium hereby agrees that all necessary program brochures, application forms and any other existing marketing materials will be provided to RECRUITER.</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(f)	</w:t>
      </w:r>
      <w:r>
        <w:rPr>
          <w:rFonts w:ascii="Inter" w:cs="Inter" w:eastAsia="Inter" w:hAnsi="Inter"/>
          <w:color w:val="4A4239"/>
          <w:sz w:val="21"/>
          <w:szCs w:val="21"/>
        </w:rPr>
        <w:t xml:space="preserve">Premium hereby agrees that any request or enquiry made by RECRUITER for material or information is to be responded to in a maximum of five (5) working days.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(g)	</w:t>
      </w:r>
      <w:r>
        <w:rPr>
          <w:rFonts w:ascii="Inter" w:cs="Inter" w:eastAsia="Inter" w:hAnsi="Inter"/>
          <w:color w:val="4A4239"/>
          <w:sz w:val="21"/>
          <w:szCs w:val="21"/>
        </w:rPr>
        <w:t xml:space="preserve">Premium hereby agrees to keep RECRUITER duly informed of any rules and regulations that may affect the recruitment of students.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(h)	</w:t>
      </w:r>
      <w:r>
        <w:rPr>
          <w:rFonts w:ascii="Inter" w:cs="Inter" w:eastAsia="Inter" w:hAnsi="Inter"/>
          <w:color w:val="4A4239"/>
          <w:sz w:val="21"/>
          <w:szCs w:val="21"/>
        </w:rPr>
        <w:t xml:space="preserve">Premium hereby agrees to support RECRUITER with anything needed to carry out their marketing strategies and activities if it is a reasonable and justified request and subject to approval and review by Premium.</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	</w:t>
      </w:r>
      <w:r>
        <w:rPr>
          <w:rFonts w:ascii="Inter" w:cs="Inter" w:eastAsia="Inter" w:hAnsi="Inter"/>
          <w:color w:val="4A4239"/>
          <w:sz w:val="21"/>
          <w:szCs w:val="21"/>
        </w:rPr>
        <w:t xml:space="preserve">Premium retains absolute discretion to accept or reject any application, and shall not be liable to RECRUITER for any rejection.</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06   </w:t>
      </w:r>
      <w:r>
        <w:rPr>
          <w:rFonts w:ascii="Playfair Display" w:cs="Playfair Display" w:eastAsia="Playfair Display" w:hAnsi="Playfair Display"/>
          <w:color w:val="1B1612"/>
          <w:sz w:val="26"/>
          <w:szCs w:val="26"/>
        </w:rPr>
        <w:t xml:space="preserve">Recruitment of Minors and Vulnerable Students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RECRUITER shall not recruit, accept an application from, or hold itself out as able to place, any Minor unless Item 12 of the Particulars states that the recruitment of Minors is permitted and the minimum age stated in that Item is met.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b/>
          <w:bCs/>
          <w:color w:val="1B1612"/>
          <w:sz w:val="21"/>
          <w:szCs w:val="21"/>
        </w:rPr>
        <w:t xml:space="preserve">Guardian consent.</w:t>
      </w:r>
      <w:r>
        <w:rPr>
          <w:rFonts w:ascii="Inter" w:cs="Inter" w:eastAsia="Inter" w:hAnsi="Inter"/>
          <w:color w:val="4A4239"/>
          <w:sz w:val="21"/>
          <w:szCs w:val="21"/>
        </w:rPr>
        <w:t xml:space="preserve"> Where a Minor is recruited, RECRUITER shall obtain, before any application is submitted to Premium, the written consent of the Minor’s parent or legal guardian in Premium’s prescribed form, together with proof of identity of that parent or guardian and evidence of the relationship. No application in respect of a Minor shall be submitted without those documents (Annexure B).</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b/>
          <w:bCs/>
          <w:color w:val="1B1612"/>
          <w:sz w:val="21"/>
          <w:szCs w:val="21"/>
        </w:rPr>
        <w:t xml:space="preserve">Embassy or sponsor support.</w:t>
      </w:r>
      <w:r>
        <w:rPr>
          <w:rFonts w:ascii="Inter" w:cs="Inter" w:eastAsia="Inter" w:hAnsi="Inter"/>
          <w:color w:val="4A4239"/>
          <w:sz w:val="21"/>
          <w:szCs w:val="21"/>
        </w:rPr>
        <w:t xml:space="preserve"> Where the Minor is below seventeen (17) years of age, a support letter from the student’s embassy or official sponsor is required in addition to guardian consent, in accordance with Clause 4(e).</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(d)	</w:t>
      </w:r>
      <w:r>
        <w:rPr>
          <w:rFonts w:ascii="Inter" w:cs="Inter" w:eastAsia="Inter" w:hAnsi="Inter"/>
          <w:b/>
          <w:bCs/>
          <w:color w:val="1B1612"/>
          <w:sz w:val="21"/>
          <w:szCs w:val="21"/>
        </w:rPr>
        <w:t xml:space="preserve">Guardianship and accommodation in Malaysia.</w:t>
      </w:r>
      <w:r>
        <w:rPr>
          <w:rFonts w:ascii="Inter" w:cs="Inter" w:eastAsia="Inter" w:hAnsi="Inter"/>
          <w:color w:val="4A4239"/>
          <w:sz w:val="21"/>
          <w:szCs w:val="21"/>
        </w:rPr>
        <w:t xml:space="preserve"> Where required by the Malaysian immigration authorities, EMGS or Premium, RECRUITER shall procure the appointment of a suitable guardian resident in Malaysia and shall ensure that the Minor’s accommodation, airport reception and local supervision arrangements are disclosed to and approved by Premium in writing before arrival. RECRUITER shall not place, or arrange for the placement of, any Minor in accommodation that has not been approved by Premium.</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(e)	</w:t>
      </w:r>
      <w:r>
        <w:rPr>
          <w:rFonts w:ascii="Inter" w:cs="Inter" w:eastAsia="Inter" w:hAnsi="Inter"/>
          <w:b/>
          <w:bCs/>
          <w:color w:val="1B1612"/>
          <w:sz w:val="21"/>
          <w:szCs w:val="21"/>
        </w:rPr>
        <w:t xml:space="preserve">Communication.</w:t>
      </w:r>
      <w:r>
        <w:rPr>
          <w:rFonts w:ascii="Inter" w:cs="Inter" w:eastAsia="Inter" w:hAnsi="Inter"/>
          <w:color w:val="4A4239"/>
          <w:sz w:val="21"/>
          <w:szCs w:val="21"/>
        </w:rPr>
        <w:t xml:space="preserve"> RECRUITER shall not communicate with a Minor other than with the knowledge and consent of the parent or legal guardian, and shall keep a record of such communications. All financial commitments shall be explained to and confirmed by the parent or legal guardian.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(f)	</w:t>
      </w:r>
      <w:r>
        <w:rPr>
          <w:rFonts w:ascii="Inter" w:cs="Inter" w:eastAsia="Inter" w:hAnsi="Inter"/>
          <w:b/>
          <w:bCs/>
          <w:color w:val="1B1612"/>
          <w:sz w:val="21"/>
          <w:szCs w:val="21"/>
        </w:rPr>
        <w:t xml:space="preserve">Safeguarding.</w:t>
      </w:r>
      <w:r>
        <w:rPr>
          <w:rFonts w:ascii="Inter" w:cs="Inter" w:eastAsia="Inter" w:hAnsi="Inter"/>
          <w:color w:val="4A4239"/>
          <w:sz w:val="21"/>
          <w:szCs w:val="21"/>
        </w:rPr>
        <w:t xml:space="preserve"> RECRUITER shall ensure that any of its personnel or representatives who have direct contact with a Minor are made aware of and comply with Premium’s child protection and safeguarding policy as notified from time to time, and shall not permit any person who is known to be unsuitable to work with children to have such contact. RECRUITER shall notify Premium immediately, and in any event within twenty-four (24) hours, of any safeguarding concern, allegation, complaint or incident involving a Minor recruited under this Agreement.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(g)	</w:t>
      </w:r>
      <w:r>
        <w:rPr>
          <w:rFonts w:ascii="Inter" w:cs="Inter" w:eastAsia="Inter" w:hAnsi="Inter"/>
          <w:b/>
          <w:bCs/>
          <w:color w:val="1B1612"/>
          <w:sz w:val="21"/>
          <w:szCs w:val="21"/>
        </w:rPr>
        <w:t xml:space="preserve">Data.</w:t>
      </w:r>
      <w:r>
        <w:rPr>
          <w:rFonts w:ascii="Inter" w:cs="Inter" w:eastAsia="Inter" w:hAnsi="Inter"/>
          <w:color w:val="4A4239"/>
          <w:sz w:val="21"/>
          <w:szCs w:val="21"/>
        </w:rPr>
        <w:t xml:space="preserve"> Personal data of a Minor shall be collected, used and transferred only with the consent of the parent or legal guardian, in accordance with Clause 15.</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(h)	</w:t>
      </w:r>
      <w:r>
        <w:rPr>
          <w:rFonts w:ascii="Inter" w:cs="Inter" w:eastAsia="Inter" w:hAnsi="Inter"/>
          <w:b/>
          <w:bCs/>
          <w:color w:val="1B1612"/>
          <w:sz w:val="21"/>
          <w:szCs w:val="21"/>
        </w:rPr>
        <w:t xml:space="preserve">Vulnerable students.</w:t>
      </w:r>
      <w:r>
        <w:rPr>
          <w:rFonts w:ascii="Inter" w:cs="Inter" w:eastAsia="Inter" w:hAnsi="Inter"/>
          <w:color w:val="4A4239"/>
          <w:sz w:val="21"/>
          <w:szCs w:val="21"/>
        </w:rPr>
        <w:t xml:space="preserve"> The requirements of this Clause apply, with the necessary modifications, to any student whom RECRUITER knows or ought reasonably to know requires additional care by reason of disability, medical condition or other vulnerability, and RECRUITER shall disclose any such matter to Premium at the point of application.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	</w:t>
      </w:r>
      <w:r>
        <w:rPr>
          <w:rFonts w:ascii="Inter" w:cs="Inter" w:eastAsia="Inter" w:hAnsi="Inter"/>
          <w:b/>
          <w:bCs/>
          <w:color w:val="1B1612"/>
          <w:sz w:val="21"/>
          <w:szCs w:val="21"/>
        </w:rPr>
        <w:t xml:space="preserve">Discretion and consequences.</w:t>
      </w:r>
      <w:r>
        <w:rPr>
          <w:rFonts w:ascii="Inter" w:cs="Inter" w:eastAsia="Inter" w:hAnsi="Inter"/>
          <w:color w:val="4A4239"/>
          <w:sz w:val="21"/>
          <w:szCs w:val="21"/>
        </w:rPr>
        <w:t xml:space="preserve"> Nothing in this Clause obliges Premium to accept any application from a Minor, and no Commission is payable in respect of an application that Premium declines. Any breach of this Clause is a material breach entitling Premium to terminate this Agreement immediately under Clause 12(c), and RECRUITER shall indemnify Premium in respect of it under Clause 20.</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07   </w:t>
      </w:r>
      <w:r>
        <w:rPr>
          <w:rFonts w:ascii="Playfair Display" w:cs="Playfair Display" w:eastAsia="Playfair Display" w:hAnsi="Playfair Display"/>
          <w:color w:val="1B1612"/>
          <w:sz w:val="26"/>
          <w:szCs w:val="26"/>
        </w:rPr>
        <w:t xml:space="preserve">Ethical Recruitment and Compliance</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RECRUITER shall conduct all recruitment lawfully, ethically and honestly, and shall not make any false, misleading or exaggerated representation as to Premium, its programmes, fees, accreditation, outcomes, employment prospects, visa outcomes or permanent residence.</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RECRUITER shall not submit, procure, assist in or condone the submission of any forged, altered or fraudulent document, transcript, certificate, financial statement or declaration, whether to Premium, EMGS, the Immigration Department of Malaysia or any institution.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RECRUITER shall comply with all applicable laws in the Territory and in Malaysia relating to student recruitment, education agency licensing, immigration and advertising, and shall hold all licences and approvals required to perform this Agreement.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(d)	</w:t>
      </w:r>
      <w:r>
        <w:rPr>
          <w:rFonts w:ascii="Inter" w:cs="Inter" w:eastAsia="Inter" w:hAnsi="Inter"/>
          <w:color w:val="4A4239"/>
          <w:sz w:val="21"/>
          <w:szCs w:val="21"/>
        </w:rPr>
        <w:t xml:space="preserve">RECRUITER shall not charge any student any fee described as being payable to or on behalf of Premium other than the published fees, and shall not retain any part of a student’s fees by way of commission or otherwise.</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08   </w:t>
      </w:r>
      <w:r>
        <w:rPr>
          <w:rFonts w:ascii="Playfair Display" w:cs="Playfair Display" w:eastAsia="Playfair Display" w:hAnsi="Playfair Display"/>
          <w:color w:val="1B1612"/>
          <w:sz w:val="26"/>
          <w:szCs w:val="26"/>
        </w:rPr>
        <w:t xml:space="preserve">Sub-Agents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RECRUITER shall not appoint any sub-agent, sub-representative or counsellor to perform any part of this Agreement unless Item 11 of the Particulars permits it and Premium has given prior written consent to the specific appointment.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Where a sub-agent is permitted, RECRUITER remains fully liable to Premium for the acts and omissions of that sub-agent as if they were its own, shall procure that the sub-agent complies with this Agreement (including Clauses 6, 7, 13, 14, 15 and 16), and shall be solely responsible for the sub-agent’s remuneration. Premium shall have no direct payment obligation to any sub-agent.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For the avoidance of doubt, any other recruitment agency introduced by RECRUITER and approved by Premium shall be co-ordinated by RECRUITER, and Commission in respect of students recruited through that agency shall be collected by RECRUITER only.</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09   </w:t>
      </w:r>
      <w:r>
        <w:rPr>
          <w:rFonts w:ascii="Playfair Display" w:cs="Playfair Display" w:eastAsia="Playfair Display" w:hAnsi="Playfair Display"/>
          <w:color w:val="1B1612"/>
          <w:sz w:val="26"/>
          <w:szCs w:val="26"/>
        </w:rPr>
        <w:t xml:space="preserve">Commission and Entitlement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The Commission payable to RECRUITER shall be based on the current commission scheme in force, as set out in </w:t>
      </w:r>
      <w:r>
        <w:rPr>
          <w:rFonts w:ascii="Inter" w:cs="Inter" w:eastAsia="Inter" w:hAnsi="Inter"/>
          <w:b/>
          <w:bCs/>
          <w:color w:val="1B1612"/>
          <w:sz w:val="21"/>
          <w:szCs w:val="21"/>
        </w:rPr>
        <w:t xml:space="preserve">Schedule 1</w:t>
      </w:r>
      <w:r>
        <w:rPr>
          <w:rFonts w:ascii="Inter" w:cs="Inter" w:eastAsia="Inter" w:hAnsi="Inter"/>
          <w:color w:val="4A4239"/>
          <w:sz w:val="21"/>
          <w:szCs w:val="21"/>
        </w:rPr>
        <w:t xml:space="preserve"> (“Commission Scheme”). Premium reserves the right to review and make such changes to the Commission Scheme from time to time on reasonable written notice, save that no change shall affect Commission already accrued.</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b/>
          <w:bCs/>
          <w:color w:val="1B1612"/>
          <w:sz w:val="21"/>
          <w:szCs w:val="21"/>
        </w:rPr>
        <w:t xml:space="preserve">Basis of entitlement.</w:t>
      </w:r>
      <w:r>
        <w:rPr>
          <w:rFonts w:ascii="Inter" w:cs="Inter" w:eastAsia="Inter" w:hAnsi="Inter"/>
          <w:color w:val="4A4239"/>
          <w:sz w:val="21"/>
          <w:szCs w:val="21"/>
        </w:rPr>
        <w:t xml:space="preserve"> Commission is payable to RECRUITER only in respect of students, programmes or projects that RECRUITER has directly recruited, introduced, or in which RECRUITER has had genuine and demonstrable involvement, contribution or effort.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b/>
          <w:bCs/>
          <w:color w:val="1B1612"/>
          <w:sz w:val="21"/>
          <w:szCs w:val="21"/>
        </w:rPr>
        <w:t xml:space="preserve">No automatic entitlement from an introduction.</w:t>
      </w:r>
      <w:r>
        <w:rPr>
          <w:rFonts w:ascii="Inter" w:cs="Inter" w:eastAsia="Inter" w:hAnsi="Inter"/>
          <w:color w:val="4A4239"/>
          <w:sz w:val="21"/>
          <w:szCs w:val="21"/>
        </w:rPr>
        <w:t xml:space="preserve"> The introduction of any party, institution or counterparty by RECRUITER shall not, of itself, entitle RECRUITER to participate in, or to receive any commission, fee or share in respect of, every subsequent, related or collateral project, programme or transaction arising with or from that party. Each such project shall be assessed separately on the basis of RECRUITER’s actual involvement, contribution and effort.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(d)	</w:t>
      </w:r>
      <w:r>
        <w:rPr>
          <w:rFonts w:ascii="Inter" w:cs="Inter" w:eastAsia="Inter" w:hAnsi="Inter"/>
          <w:b/>
          <w:bCs/>
          <w:color w:val="1B1612"/>
          <w:sz w:val="21"/>
          <w:szCs w:val="21"/>
        </w:rPr>
        <w:t xml:space="preserve">Unrelated projects and discretionary payments.</w:t>
      </w:r>
      <w:r>
        <w:rPr>
          <w:rFonts w:ascii="Inter" w:cs="Inter" w:eastAsia="Inter" w:hAnsi="Inter"/>
          <w:color w:val="4A4239"/>
          <w:sz w:val="21"/>
          <w:szCs w:val="21"/>
        </w:rPr>
        <w:t xml:space="preserve"> Where a project, programme or transaction is not related to RECRUITER, or where RECRUITER has made no material contribution, introduction or effort towards it, PECSB shall be under no obligation to pay any commission or fee to RECRUITER in respect of it. Notwithstanding the foregoing, PECSB may, at its sole and absolute discretion, elect to pay RECRUITER a goodwill or ex-gratia amount in respect of such a project, the quantum and payment of which shall be determined solely by PECSB and shall not constitute a precedent, waiver or any ongoing entitlement.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(e)	</w:t>
      </w:r>
      <w:r>
        <w:rPr>
          <w:rFonts w:ascii="Inter" w:cs="Inter" w:eastAsia="Inter" w:hAnsi="Inter"/>
          <w:color w:val="4A4239"/>
          <w:sz w:val="21"/>
          <w:szCs w:val="21"/>
        </w:rPr>
        <w:t xml:space="preserve">Special Programs (including summer camps, winter camps, seminars and similar) shall be paid on a project basis and on terms agreed mutually by Premium and RECRUITER, consistent with Clause 5(c) above and Part D of Schedule 1.</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(f)	</w:t>
      </w:r>
      <w:r>
        <w:rPr>
          <w:rFonts w:ascii="Inter" w:cs="Inter" w:eastAsia="Inter" w:hAnsi="Inter"/>
          <w:color w:val="4A4239"/>
          <w:sz w:val="21"/>
          <w:szCs w:val="21"/>
        </w:rPr>
        <w:t xml:space="preserve">RECRUITER shall specify clearly which intake and the date the prospective students are enrolled in when submitting its claims.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(g)	</w:t>
      </w:r>
      <w:r>
        <w:rPr>
          <w:rFonts w:ascii="Inter" w:cs="Inter" w:eastAsia="Inter" w:hAnsi="Inter"/>
          <w:color w:val="4A4239"/>
          <w:sz w:val="21"/>
          <w:szCs w:val="21"/>
        </w:rPr>
        <w:t xml:space="preserve">The Commission is only payable where it can be clearly demonstrated that the student has been enrolled through the services of RECRUITER. Where two or more representatives claim the same student, Premium’s records of first registered contact shall be conclusive.</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(h)	</w:t>
      </w:r>
      <w:r>
        <w:rPr>
          <w:rFonts w:ascii="Inter" w:cs="Inter" w:eastAsia="Inter" w:hAnsi="Inter"/>
          <w:color w:val="4A4239"/>
          <w:sz w:val="21"/>
          <w:szCs w:val="21"/>
        </w:rPr>
        <w:t xml:space="preserve">Commission is payable per Enrolled Student who has paid the relevant fee. It is not payable on withdrawn, deferred or unpaid applications.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	</w:t>
      </w:r>
      <w:r>
        <w:rPr>
          <w:rFonts w:ascii="Inter" w:cs="Inter" w:eastAsia="Inter" w:hAnsi="Inter"/>
          <w:b/>
          <w:bCs/>
          <w:color w:val="1B1612"/>
          <w:sz w:val="21"/>
          <w:szCs w:val="21"/>
        </w:rPr>
        <w:t xml:space="preserve">Clawback.</w:t>
      </w:r>
      <w:r>
        <w:rPr>
          <w:rFonts w:ascii="Inter" w:cs="Inter" w:eastAsia="Inter" w:hAnsi="Inter"/>
          <w:color w:val="4A4239"/>
          <w:sz w:val="21"/>
          <w:szCs w:val="21"/>
        </w:rPr>
        <w:t xml:space="preserve"> Where a student withdraws, defers, is refused a visa, or receives a refund within the period stated in Item 15 of the Particulars, the Commission is reduced or reversed proportionately, and any amount already paid shall be repaid by RECRUITER within fourteen (14) days of demand or set off against future Commission at Premium’s election.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(j)	</w:t>
      </w:r>
      <w:r>
        <w:rPr>
          <w:rFonts w:ascii="Inter" w:cs="Inter" w:eastAsia="Inter" w:hAnsi="Inter"/>
          <w:color w:val="4A4239"/>
          <w:sz w:val="21"/>
          <w:szCs w:val="21"/>
        </w:rPr>
        <w:t xml:space="preserve">To be eligible for Commission, RECRUITER must submit to Premium: (i) the completed Application Form with all required documents; and (ii) receipts for all payments made.</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10   </w:t>
      </w:r>
      <w:r>
        <w:rPr>
          <w:rFonts w:ascii="Playfair Display" w:cs="Playfair Display" w:eastAsia="Playfair Display" w:hAnsi="Playfair Display"/>
          <w:color w:val="1B1612"/>
          <w:sz w:val="26"/>
          <w:szCs w:val="26"/>
        </w:rPr>
        <w:t xml:space="preserve">Payment, Taxes and Set-Off</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Commission is payable within the period stated in Item 14 of the Particulars, or, if no period is stated, within fourteen (14) working days after the respective student has paid in full the tuition fees together with the registration fees.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Payment shall be made by bank transfer to the account stated in Item 17 of the Particulars. RECRUITER shall issue a valid invoice before payment. Bank charges outside Malaysia are borne by RECRUITER.</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All amounts are stated in Ringgit Malaysia and are inclusive of any service tax, withholding tax or other tax or levy for which RECRUITER is responsible. Premium may deduct and remit any withholding tax required by law and shall provide the relevant certificate.</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(d)	</w:t>
      </w:r>
      <w:r>
        <w:rPr>
          <w:rFonts w:ascii="Inter" w:cs="Inter" w:eastAsia="Inter" w:hAnsi="Inter"/>
          <w:color w:val="4A4239"/>
          <w:sz w:val="21"/>
          <w:szCs w:val="21"/>
        </w:rPr>
        <w:t xml:space="preserve">Premium may set off against any Commission any amount owed by RECRUITER to Premium under this Agreement, including clawback amounts under Clause 9(i).</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11   </w:t>
      </w:r>
      <w:r>
        <w:rPr>
          <w:rFonts w:ascii="Playfair Display" w:cs="Playfair Display" w:eastAsia="Playfair Display" w:hAnsi="Playfair Display"/>
          <w:color w:val="1B1612"/>
          <w:sz w:val="26"/>
          <w:szCs w:val="26"/>
        </w:rPr>
        <w:t xml:space="preserve">Records and Audit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RECRUITER shall keep complete and accurate records of all applications, students, consents, guardian documentation and fees handled under this Agreement for a period of not less than seven (7) years.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Premium may, on reasonable written notice and not more than twice in any twelve (12) month period, inspect or request copies of those records to the extent relevant to this Agreement, and RECRUITER shall co-operate with any inspection or audit required by a regulator, EMGS or an institutional partner.</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12   </w:t>
      </w:r>
      <w:r>
        <w:rPr>
          <w:rFonts w:ascii="Playfair Display" w:cs="Playfair Display" w:eastAsia="Playfair Display" w:hAnsi="Playfair Display"/>
          <w:color w:val="1B1612"/>
          <w:sz w:val="26"/>
          <w:szCs w:val="26"/>
        </w:rPr>
        <w:t xml:space="preserve">Termination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This Agreement continues in force until terminated in accordance with this Clause or Clause 3.</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Either Party may terminate this Agreement by giving thirty (30) days’ written notice to the other Party.</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Premium may terminate this Agreement immediately by written notice if RECRUITER commits a material breach, misrepresents Premium, damages its reputation or goodwill, becomes insolvent or ceases to carry on business, or breaches Clause 6 (Minors), Clause 7 (Ethical Recruitment), Clause 13 (Confidentiality), Clause 14 (Non-Circumvention) or Clause 16 (Anti-Bribery).</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(d)	</w:t>
      </w:r>
      <w:r>
        <w:rPr>
          <w:rFonts w:ascii="Inter" w:cs="Inter" w:eastAsia="Inter" w:hAnsi="Inter"/>
          <w:color w:val="4A4239"/>
          <w:sz w:val="21"/>
          <w:szCs w:val="21"/>
        </w:rPr>
        <w:t xml:space="preserve">On termination, Commission remains payable in respect of students who were enrolled and had paid in full before the termination date, subject to Clauses 9 and 10. No Commission shall accrue in respect of any introduction made after termination.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(e)	</w:t>
      </w:r>
      <w:r>
        <w:rPr>
          <w:rFonts w:ascii="Inter" w:cs="Inter" w:eastAsia="Inter" w:hAnsi="Inter"/>
          <w:color w:val="4A4239"/>
          <w:sz w:val="21"/>
          <w:szCs w:val="21"/>
        </w:rPr>
        <w:t xml:space="preserve">On termination, RECRUITER shall immediately cease all use of Premium’s name, marks and materials, and shall return or destroy all confidential information and student data in its possession, save where retention is required by law.</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(f)	</w:t>
      </w:r>
      <w:r>
        <w:rPr>
          <w:rFonts w:ascii="Inter" w:cs="Inter" w:eastAsia="Inter" w:hAnsi="Inter"/>
          <w:color w:val="4A4239"/>
          <w:sz w:val="21"/>
          <w:szCs w:val="21"/>
        </w:rPr>
        <w:t xml:space="preserve">Termination shall not affect any accrued rights or liabilities of either Party, nor any clause intended to survive termination, including Clauses 6, 9, 10, 11, 13, 14, 15, 16, 20 and 24.</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13   </w:t>
      </w:r>
      <w:r>
        <w:rPr>
          <w:rFonts w:ascii="Playfair Display" w:cs="Playfair Display" w:eastAsia="Playfair Display" w:hAnsi="Playfair Display"/>
          <w:color w:val="1B1612"/>
          <w:sz w:val="26"/>
          <w:szCs w:val="26"/>
        </w:rPr>
        <w:t xml:space="preserve">Confidentiality</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Each Party shall keep confidential all non-public information of the other Party obtained in connection with this Agreement — including pricing, the Commission Scheme, student and applicant data, partner relationships, methods and processes — and shall use such information solely for the purposes of this Agreement.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The Commission Scheme (Schedule 1) is strictly confidential to the Parties and shall not be disclosed to any student, institution or third party.</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This obligation survives termination and does not apply to information that is or becomes public through no breach of this Agreement, or that is required to be disclosed by law or by a competent authority.</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14   </w:t>
      </w:r>
      <w:r>
        <w:rPr>
          <w:rFonts w:ascii="Playfair Display" w:cs="Playfair Display" w:eastAsia="Playfair Display" w:hAnsi="Playfair Display"/>
          <w:color w:val="1B1612"/>
          <w:sz w:val="26"/>
          <w:szCs w:val="26"/>
        </w:rPr>
        <w:t xml:space="preserve">Non-Circumvention and Non-Solicitation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During the term of this Agreement and for the period stated in Item 16 of the Particulars (or, if none is stated, twelve (12) months) after its termination, RECRUITER shall not, directly or indirectly, circumvent Premium or solicit, divert or attempt to divert any student, lead, partner, institution or counterparty of Premium (including any prospective student introduced under this Agreement) to any competing centre, institution or programme.</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RECRUITER shall not replicate, disclose or exploit Premium’s processes, pricing, curricula, partner relationships or methods for its own benefit or the benefit of any third party.</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15   </w:t>
      </w:r>
      <w:r>
        <w:rPr>
          <w:rFonts w:ascii="Playfair Display" w:cs="Playfair Display" w:eastAsia="Playfair Display" w:hAnsi="Playfair Display"/>
          <w:color w:val="1B1612"/>
          <w:sz w:val="26"/>
          <w:szCs w:val="26"/>
        </w:rPr>
        <w:t xml:space="preserve">Data Protection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RECRUITER shall comply with the Personal Data Protection Act 2010 in handling any personal data of prospective students, and shall obtain all necessary consents — including, in the case of a Minor, the consent of the parent or legal guardian — before transferring any personal data to Premium.</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Each Party shall implement reasonable measures to protect personal data against unauthorised access, loss, misuse or disclosure.</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RECRUITER shall notify Premium without undue delay, and in any event within seventy-two (72) hours, of any actual or suspected loss of or unauthorised access to personal data relating to a student introduced under this Agreement.</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16   </w:t>
      </w:r>
      <w:r>
        <w:rPr>
          <w:rFonts w:ascii="Playfair Display" w:cs="Playfair Display" w:eastAsia="Playfair Display" w:hAnsi="Playfair Display"/>
          <w:color w:val="1B1612"/>
          <w:sz w:val="26"/>
          <w:szCs w:val="26"/>
        </w:rPr>
        <w:t xml:space="preserve">Anti-Bribery and Anti-Corruption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RECRUITER shall comply with the Malaysian Anti-Corruption Commission Act 2009 (including section 17A) and all other applicable anti-bribery and anti-money-laundering laws, and shall not offer, give, request or accept any bribe, kickback or improper advantage in connection with this Agreement.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RECRUITER shall not make any payment or provide any benefit to any officer or employee of Premium, of any institution, or of any government body, in connection with any application, placement or approval.</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Breach of this Clause is a material breach and entitles Premium to terminate immediately and to withhold any Commission connected with the conduct in question.</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17   </w:t>
      </w:r>
      <w:r>
        <w:rPr>
          <w:rFonts w:ascii="Playfair Display" w:cs="Playfair Display" w:eastAsia="Playfair Display" w:hAnsi="Playfair Display"/>
          <w:color w:val="1B1612"/>
          <w:sz w:val="26"/>
          <w:szCs w:val="26"/>
        </w:rPr>
        <w:t xml:space="preserve">Relationship of the Parties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RECRUITER is engaged as an independent contractor. Nothing in this Agreement creates any employment, partnership, joint venture or agency relationship between the Parties.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RECRUITER is not an employee of Premium and is not entitled to any salary, EPF, SOCSO, EIS, leave or other employment benefit. RECRUITER is responsible for its own statutory obligations, taxes and costs.</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18   </w:t>
      </w:r>
      <w:r>
        <w:rPr>
          <w:rFonts w:ascii="Playfair Display" w:cs="Playfair Display" w:eastAsia="Playfair Display" w:hAnsi="Playfair Display"/>
          <w:color w:val="1B1612"/>
          <w:sz w:val="26"/>
          <w:szCs w:val="26"/>
        </w:rPr>
        <w:t xml:space="preserve">Intellectual Property and Use of Name</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All trademarks, names, logos, brochures and materials of Premium remain the property of Premium. RECRUITER may use them solely for approved recruitment activities under this Agreement and shall cease all use upon termination.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RECRUITER shall not register, use, or authorise the use of Premium’s name or marks, or represent any association with Premium beyond the scope of this Agreement, without Premium’s prior written consent. This includes domain names, social media handles and business names.</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19   </w:t>
      </w:r>
      <w:r>
        <w:rPr>
          <w:rFonts w:ascii="Playfair Display" w:cs="Playfair Display" w:eastAsia="Playfair Display" w:hAnsi="Playfair Display"/>
          <w:color w:val="1B1612"/>
          <w:sz w:val="26"/>
          <w:szCs w:val="26"/>
        </w:rPr>
        <w:t xml:space="preserve">Representations and Warranties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Each Party represents and warrants that it has full power and authority to enter into and perform this Agreement.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RECRUITER represents and warrants that it holds all registrations and approvals necessary to carry out its activities under this Agreement, and will conduct such activities lawfully and ethically.</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20   </w:t>
      </w:r>
      <w:r>
        <w:rPr>
          <w:rFonts w:ascii="Playfair Display" w:cs="Playfair Display" w:eastAsia="Playfair Display" w:hAnsi="Playfair Display"/>
          <w:color w:val="1B1612"/>
          <w:sz w:val="26"/>
          <w:szCs w:val="26"/>
        </w:rPr>
        <w:t xml:space="preserve">Indemnity and Liability</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RECRUITER shall indemnify and hold Premium harmless against any loss, claim, liability, cost or expense arising from RECRUITER’s breach of this Agreement, misrepresentation, negligence or unlawful conduct, including any claim by a student, parent, guardian, institution or regulator.</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Neither Party shall be liable for any indirect or consequential loss. Premium’s total aggregate liability under this Agreement shall not exceed the total Commission paid to RECRUITER in the twelve (12) months preceding the event giving rise to the claim.</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The limitation in Clause 20(b) does not apply to RECRUITER’s liability under Clauses 6, 7, 13, 14 or 16, or to fraud.</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21   </w:t>
      </w:r>
      <w:r>
        <w:rPr>
          <w:rFonts w:ascii="Playfair Display" w:cs="Playfair Display" w:eastAsia="Playfair Display" w:hAnsi="Playfair Display"/>
          <w:color w:val="1B1612"/>
          <w:sz w:val="26"/>
          <w:szCs w:val="26"/>
        </w:rPr>
        <w:t xml:space="preserve">Force Majeure</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Neither Party shall be liable for any delay or failure to perform caused by events beyond its reasonable control, including acts of God, epidemic or pandemic, government action, or changes in immigration or education regulation. The affected Party shall notify the other promptly and use reasonable efforts to mitigate the effect.</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22   </w:t>
      </w:r>
      <w:r>
        <w:rPr>
          <w:rFonts w:ascii="Playfair Display" w:cs="Playfair Display" w:eastAsia="Playfair Display" w:hAnsi="Playfair Display"/>
          <w:color w:val="1B1612"/>
          <w:sz w:val="26"/>
          <w:szCs w:val="26"/>
        </w:rPr>
        <w:t xml:space="preserve">Notices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Notices under this Agreement shall be in writing and sent to the contacts stated in Items 6 and 7 of the Particulars (or as updated in writing) by hand, courier or email, and shall be deemed received upon delivery or, in the case of email, upon transmission during business hours.</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23   </w:t>
      </w:r>
      <w:r>
        <w:rPr>
          <w:rFonts w:ascii="Playfair Display" w:cs="Playfair Display" w:eastAsia="Playfair Display" w:hAnsi="Playfair Display"/>
          <w:color w:val="1B1612"/>
          <w:sz w:val="26"/>
          <w:szCs w:val="26"/>
        </w:rPr>
        <w:t xml:space="preserve">General</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b/>
          <w:bCs/>
          <w:color w:val="1B1612"/>
          <w:sz w:val="21"/>
          <w:szCs w:val="21"/>
        </w:rPr>
        <w:t xml:space="preserve">Entire Agreement.</w:t>
      </w:r>
      <w:r>
        <w:rPr>
          <w:rFonts w:ascii="Inter" w:cs="Inter" w:eastAsia="Inter" w:hAnsi="Inter"/>
          <w:color w:val="4A4239"/>
          <w:sz w:val="21"/>
          <w:szCs w:val="21"/>
        </w:rPr>
        <w:t xml:space="preserve"> This Agreement, together with its Particulars, Schedules and Annexures, constitutes the entire agreement between the Parties and supersedes all prior arrangements, whether verbal or written.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b/>
          <w:bCs/>
          <w:color w:val="1B1612"/>
          <w:sz w:val="21"/>
          <w:szCs w:val="21"/>
        </w:rPr>
        <w:t xml:space="preserve">Variation.</w:t>
      </w:r>
      <w:r>
        <w:rPr>
          <w:rFonts w:ascii="Inter" w:cs="Inter" w:eastAsia="Inter" w:hAnsi="Inter"/>
          <w:color w:val="4A4239"/>
          <w:sz w:val="21"/>
          <w:szCs w:val="21"/>
        </w:rPr>
        <w:t xml:space="preserve"> No variation of this Agreement is effective unless made in writing and signed by both Parties.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b/>
          <w:bCs/>
          <w:color w:val="1B1612"/>
          <w:sz w:val="21"/>
          <w:szCs w:val="21"/>
        </w:rPr>
        <w:t xml:space="preserve">Assignment.</w:t>
      </w:r>
      <w:r>
        <w:rPr>
          <w:rFonts w:ascii="Inter" w:cs="Inter" w:eastAsia="Inter" w:hAnsi="Inter"/>
          <w:color w:val="4A4239"/>
          <w:sz w:val="21"/>
          <w:szCs w:val="21"/>
        </w:rPr>
        <w:t xml:space="preserve"> RECRUITER shall not assign or sub-contract any of its rights or obligations under this Agreement without Premium’s prior written consent.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(d)	</w:t>
      </w:r>
      <w:r>
        <w:rPr>
          <w:rFonts w:ascii="Inter" w:cs="Inter" w:eastAsia="Inter" w:hAnsi="Inter"/>
          <w:b/>
          <w:bCs/>
          <w:color w:val="1B1612"/>
          <w:sz w:val="21"/>
          <w:szCs w:val="21"/>
        </w:rPr>
        <w:t xml:space="preserve">Severability.</w:t>
      </w:r>
      <w:r>
        <w:rPr>
          <w:rFonts w:ascii="Inter" w:cs="Inter" w:eastAsia="Inter" w:hAnsi="Inter"/>
          <w:color w:val="4A4239"/>
          <w:sz w:val="21"/>
          <w:szCs w:val="21"/>
        </w:rPr>
        <w:t xml:space="preserve"> If any provision of this Agreement is held invalid or unenforceable, the remaining provisions shall continue in full force and effect.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(e)	</w:t>
      </w:r>
      <w:r>
        <w:rPr>
          <w:rFonts w:ascii="Inter" w:cs="Inter" w:eastAsia="Inter" w:hAnsi="Inter"/>
          <w:b/>
          <w:bCs/>
          <w:color w:val="1B1612"/>
          <w:sz w:val="21"/>
          <w:szCs w:val="21"/>
        </w:rPr>
        <w:t xml:space="preserve">Waiver.</w:t>
      </w:r>
      <w:r>
        <w:rPr>
          <w:rFonts w:ascii="Inter" w:cs="Inter" w:eastAsia="Inter" w:hAnsi="Inter"/>
          <w:color w:val="4A4239"/>
          <w:sz w:val="21"/>
          <w:szCs w:val="21"/>
        </w:rPr>
        <w:t xml:space="preserve"> No failure or delay by either Party in exercising any right shall operate as a waiver of that right.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(f)	</w:t>
      </w:r>
      <w:r>
        <w:rPr>
          <w:rFonts w:ascii="Inter" w:cs="Inter" w:eastAsia="Inter" w:hAnsi="Inter"/>
          <w:b/>
          <w:bCs/>
          <w:color w:val="1B1612"/>
          <w:sz w:val="21"/>
          <w:szCs w:val="21"/>
        </w:rPr>
        <w:t xml:space="preserve">Counterparts and electronic signature.</w:t>
      </w:r>
      <w:r>
        <w:rPr>
          <w:rFonts w:ascii="Inter" w:cs="Inter" w:eastAsia="Inter" w:hAnsi="Inter"/>
          <w:color w:val="4A4239"/>
          <w:sz w:val="21"/>
          <w:szCs w:val="21"/>
        </w:rPr>
        <w:t xml:space="preserve"> This Agreement may be signed in counterparts, and a scanned or electronic signature shall be as valid as an original.</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(g)	</w:t>
      </w:r>
      <w:r>
        <w:rPr>
          <w:rFonts w:ascii="Inter" w:cs="Inter" w:eastAsia="Inter" w:hAnsi="Inter"/>
          <w:b/>
          <w:bCs/>
          <w:color w:val="1B1612"/>
          <w:sz w:val="21"/>
          <w:szCs w:val="21"/>
        </w:rPr>
        <w:t xml:space="preserve">Stamp duty.</w:t>
      </w:r>
      <w:r>
        <w:rPr>
          <w:rFonts w:ascii="Inter" w:cs="Inter" w:eastAsia="Inter" w:hAnsi="Inter"/>
          <w:color w:val="4A4239"/>
          <w:sz w:val="21"/>
          <w:szCs w:val="21"/>
        </w:rPr>
        <w:t xml:space="preserve"> This Agreement shall be stamped in accordance with the Stamp Act 1949. The stamp duty and any related costs shall be borne by RECRUITER unless otherwise agreed in writing.</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(h)	</w:t>
      </w:r>
      <w:r>
        <w:rPr>
          <w:rFonts w:ascii="Inter" w:cs="Inter" w:eastAsia="Inter" w:hAnsi="Inter"/>
          <w:b/>
          <w:bCs/>
          <w:color w:val="1B1612"/>
          <w:sz w:val="21"/>
          <w:szCs w:val="21"/>
        </w:rPr>
        <w:t xml:space="preserve">Language.</w:t>
      </w:r>
      <w:r>
        <w:rPr>
          <w:rFonts w:ascii="Inter" w:cs="Inter" w:eastAsia="Inter" w:hAnsi="Inter"/>
          <w:color w:val="4A4239"/>
          <w:sz w:val="21"/>
          <w:szCs w:val="21"/>
        </w:rPr>
        <w:t xml:space="preserve"> This Agreement is executed in English. Where a translation is provided for convenience, the English text prevails.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	</w:t>
      </w:r>
      <w:r>
        <w:rPr>
          <w:rFonts w:ascii="Inter" w:cs="Inter" w:eastAsia="Inter" w:hAnsi="Inter"/>
          <w:b/>
          <w:bCs/>
          <w:color w:val="1B1612"/>
          <w:sz w:val="21"/>
          <w:szCs w:val="21"/>
        </w:rPr>
        <w:t xml:space="preserve">Third parties.</w:t>
      </w:r>
      <w:r>
        <w:rPr>
          <w:rFonts w:ascii="Inter" w:cs="Inter" w:eastAsia="Inter" w:hAnsi="Inter"/>
          <w:color w:val="4A4239"/>
          <w:sz w:val="21"/>
          <w:szCs w:val="21"/>
        </w:rPr>
        <w:t xml:space="preserve"> No person who is not a Party has any right to enforce any term of this Agreement.</w:t>
      </w:r>
    </w:p>
    <w:p>
      <w:pPr>
        <w:keepNext/>
        <w:pBdr>
          <w:top w:val="single" w:color="E8DFD2" w:sz="4"/>
        </w:pBdr>
        <w:spacing w:after="180" w:before="380"/>
      </w:pPr>
      <w:r>
        <w:rPr>
          <w:rFonts w:ascii="JetBrains Mono" w:cs="JetBrains Mono" w:eastAsia="JetBrains Mono" w:hAnsi="JetBrains Mono"/>
          <w:b/>
          <w:bCs/>
          <w:color w:val="A8242E"/>
          <w:sz w:val="18"/>
          <w:szCs w:val="18"/>
        </w:rPr>
        <w:t xml:space="preserve">24   </w:t>
      </w:r>
      <w:r>
        <w:rPr>
          <w:rFonts w:ascii="Playfair Display" w:cs="Playfair Display" w:eastAsia="Playfair Display" w:hAnsi="Playfair Display"/>
          <w:color w:val="1B1612"/>
          <w:sz w:val="26"/>
          <w:szCs w:val="26"/>
        </w:rPr>
        <w:t xml:space="preserve">Validity, Governing Law and Dispute Resolution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(a)	</w:t>
      </w:r>
      <w:r>
        <w:rPr>
          <w:rFonts w:ascii="Inter" w:cs="Inter" w:eastAsia="Inter" w:hAnsi="Inter"/>
          <w:color w:val="4A4239"/>
          <w:sz w:val="21"/>
          <w:szCs w:val="21"/>
        </w:rPr>
        <w:t xml:space="preserve">This Agreement shall be made in duplicate, RECRUITER and Premium each holding one, and shall become effective upon signatures and seals by both Parties. Any matters not covered by the above terms may be specified by both Parties through consultation by way of additional and supplementary terms, which shall become effective upon the approval of both Parties and shall have the same legal effect as this Agreement. Any other relevant documents signed by the two Parties shall be deemed attachments hereto and shall have the same legal effect.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(b)	</w:t>
      </w:r>
      <w:r>
        <w:rPr>
          <w:rFonts w:ascii="Inter" w:cs="Inter" w:eastAsia="Inter" w:hAnsi="Inter"/>
          <w:color w:val="4A4239"/>
          <w:sz w:val="21"/>
          <w:szCs w:val="21"/>
        </w:rPr>
        <w:t xml:space="preserve">This Agreement is governed by and construed in accordance with the laws of Malaysia.</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(c)	</w:t>
      </w:r>
      <w:r>
        <w:rPr>
          <w:rFonts w:ascii="Inter" w:cs="Inter" w:eastAsia="Inter" w:hAnsi="Inter"/>
          <w:color w:val="4A4239"/>
          <w:sz w:val="21"/>
          <w:szCs w:val="21"/>
        </w:rPr>
        <w:t xml:space="preserve">Any dispute shall first be settled by the Parties through friendly consultation between senior representatives within thirty (30) days; if no agreement is reached, such dispute shall be submitted to the courts stated in Item 18 of the Particulars for determination according to law.</w:t>
      </w:r>
    </w:p>
    <w:p>
      <w:pPr>
        <w:keepNext/>
        <w:pBdr>
          <w:top w:val="single" w:color="A8242E" w:sz="8"/>
        </w:pBdr>
        <w:spacing w:after="240" w:before="420"/>
      </w:pPr>
      <w:r>
        <w:rPr>
          <w:rFonts w:ascii="Playfair Display" w:cs="Playfair Display" w:eastAsia="Playfair Display" w:hAnsi="Playfair Display"/>
          <w:i/>
          <w:iCs/>
          <w:color w:val="1B1612"/>
          <w:sz w:val="24"/>
          <w:szCs w:val="24"/>
        </w:rPr>
        <w:t xml:space="preserve">In witness whereof the Parties have hereunto set their hands the day and year first above written.</w:t>
      </w:r>
    </w:p>
    <w:tbl>
      <w:tblPr>
        <w:tblW w:type="dxa" w:w="9360"/>
        <w:tblBorders>
          <w:top w:val="single" w:color="E8DFD2" w:sz="4"/>
          <w:left w:val="none" w:color="auto" w:sz="0"/>
          <w:bottom w:val="single" w:color="E8DFD2" w:sz="4"/>
          <w:right w:val="none" w:color="auto" w:sz="0"/>
          <w:insideH w:val="none" w:color="auto" w:sz="0"/>
          <w:insideV w:val="single" w:color="E8DFD2" w:sz="4"/>
        </w:tblBorders>
      </w:tblPr>
      <w:tblGrid>
        <w:gridCol w:w="4680"/>
        <w:gridCol w:w="4680"/>
      </w:tblGrid>
      <w:tr>
        <w:tc>
          <w:tcPr>
            <w:tcW w:type="dxa" w:w="4680"/>
            <w:tcBorders>
              <w:top w:val="single" w:color="E8DFD2" w:sz="4"/>
              <w:left w:val="none" w:color="auto" w:sz="0"/>
              <w:bottom w:val="single" w:color="E8DFD2" w:sz="4"/>
              <w:right w:val="none" w:color="auto" w:sz="0"/>
            </w:tcBorders>
            <w:shd w:fill="FDF9F1" w:color="auto" w:val="clear"/>
            <w:tcMar>
              <w:top w:type="dxa" w:w="200"/>
              <w:left w:type="dxa" w:w="200"/>
              <w:bottom w:type="dxa" w:w="200"/>
              <w:right w:type="dxa" w:w="200"/>
            </w:tcMar>
          </w:tcPr>
          <w:p>
            <w:pPr>
              <w:spacing w:after="60" w:before="0" w:line="300"/>
            </w:pPr>
            <w:r>
              <w:rPr>
                <w:rFonts w:ascii="Inter" w:cs="Inter" w:eastAsia="Inter" w:hAnsi="Inter"/>
                <w:color w:val="6E655C"/>
                <w:sz w:val="18"/>
                <w:szCs w:val="18"/>
              </w:rPr>
              <w:t xml:space="preserve">Signed for and on behalf of</w:t>
            </w:r>
          </w:p>
          <w:p>
            <w:pPr>
              <w:spacing w:after="420" w:before="0" w:line="300"/>
            </w:pPr>
            <w:r>
              <w:rPr>
                <w:rFonts w:ascii="Inter" w:cs="Inter" w:eastAsia="Inter" w:hAnsi="Inter"/>
                <w:b/>
                <w:bCs/>
                <w:color w:val="1B1612"/>
                <w:sz w:val="20"/>
                <w:szCs w:val="20"/>
              </w:rPr>
              <w:t xml:space="preserve">PREMIUM ENTREPRENEUR CONSULTANT SDN. BHD.</w:t>
            </w:r>
          </w:p>
          <w:p>
            <w:pPr>
              <w:pBdr>
                <w:bottom w:val="single" w:color="E8DFD2" w:sz="4"/>
              </w:pBdr>
              <w:spacing w:after="60" w:before="0" w:line="300"/>
            </w:pPr>
          </w:p>
          <w:p>
            <w:pPr>
              <w:spacing w:after="240" w:before="0" w:line="300"/>
            </w:pPr>
            <w:r>
              <w:rPr>
                <w:rFonts w:ascii="Inter" w:cs="Inter" w:eastAsia="Inter" w:hAnsi="Inter"/>
                <w:color w:val="6E655C"/>
                <w:spacing w:val="50"/>
                <w:sz w:val="16"/>
                <w:szCs w:val="16"/>
              </w:rPr>
              <w:t xml:space="preserve">AUTHORISED SIGNATURE</w:t>
            </w:r>
          </w:p>
          <w:p>
            <w:pPr>
              <w:spacing w:after="140" w:before="0" w:line="300"/>
            </w:pPr>
            <w:r>
              <w:rPr>
                <w:rFonts w:ascii="Inter" w:cs="Inter" w:eastAsia="Inter" w:hAnsi="Inter"/>
                <w:b/>
                <w:bCs/>
                <w:color w:val="6E655C"/>
                <w:spacing w:val="50"/>
                <w:sz w:val="16"/>
                <w:szCs w:val="16"/>
              </w:rPr>
              <w:t xml:space="preserve">NAME   </w:t>
            </w:r>
            <w:r>
              <w:rPr>
                <w:rFonts w:ascii="Inter" w:cs="Inter" w:eastAsia="Inter" w:hAnsi="Inter"/>
                <w:color w:val="4A4239"/>
                <w:sz w:val="19"/>
                <w:szCs w:val="19"/>
              </w:rPr>
              <w:t xml:space="preserve">………………………………</w:t>
            </w:r>
          </w:p>
          <w:p>
            <w:pPr>
              <w:spacing w:after="140" w:before="0" w:line="300"/>
            </w:pPr>
            <w:r>
              <w:rPr>
                <w:rFonts w:ascii="Inter" w:cs="Inter" w:eastAsia="Inter" w:hAnsi="Inter"/>
                <w:b/>
                <w:bCs/>
                <w:color w:val="6E655C"/>
                <w:spacing w:val="50"/>
                <w:sz w:val="16"/>
                <w:szCs w:val="16"/>
              </w:rPr>
              <w:t xml:space="preserve">DESIGNATION   </w:t>
            </w:r>
            <w:r>
              <w:rPr>
                <w:rFonts w:ascii="Inter" w:cs="Inter" w:eastAsia="Inter" w:hAnsi="Inter"/>
                <w:color w:val="4A4239"/>
                <w:sz w:val="19"/>
                <w:szCs w:val="19"/>
              </w:rPr>
              <w:t xml:space="preserve">………………………………</w:t>
            </w:r>
          </w:p>
          <w:p>
            <w:pPr>
              <w:spacing w:after="140" w:before="0" w:line="300"/>
            </w:pPr>
            <w:r>
              <w:rPr>
                <w:rFonts w:ascii="Inter" w:cs="Inter" w:eastAsia="Inter" w:hAnsi="Inter"/>
                <w:b/>
                <w:bCs/>
                <w:color w:val="6E655C"/>
                <w:spacing w:val="50"/>
                <w:sz w:val="16"/>
                <w:szCs w:val="16"/>
              </w:rPr>
              <w:t xml:space="preserve">DATE   </w:t>
            </w:r>
            <w:r>
              <w:rPr>
                <w:rFonts w:ascii="Inter" w:cs="Inter" w:eastAsia="Inter" w:hAnsi="Inter"/>
                <w:color w:val="4A4239"/>
                <w:sz w:val="19"/>
                <w:szCs w:val="19"/>
              </w:rPr>
              <w:t xml:space="preserve">………………………………</w:t>
            </w:r>
          </w:p>
          <w:p>
            <w:pPr>
              <w:spacing w:after="0" w:before="160" w:line="300"/>
            </w:pPr>
            <w:r>
              <w:rPr>
                <w:rFonts w:ascii="Inter" w:cs="Inter" w:eastAsia="Inter" w:hAnsi="Inter"/>
                <w:color w:val="6E655C"/>
                <w:spacing w:val="50"/>
                <w:sz w:val="16"/>
                <w:szCs w:val="16"/>
              </w:rPr>
              <w:t xml:space="preserve">COMPANY STAMP</w:t>
            </w:r>
          </w:p>
          <w:p>
            <w:pPr>
              <w:spacing w:after="0" w:before="520" w:line="300"/>
            </w:pPr>
          </w:p>
        </w:tc>
        <w:tc>
          <w:tcPr>
            <w:tcW w:type="dxa" w:w="4680"/>
            <w:tcBorders>
              <w:top w:val="single" w:color="E8DFD2" w:sz="4"/>
              <w:left w:val="none" w:color="auto" w:sz="0"/>
              <w:bottom w:val="single" w:color="E8DFD2" w:sz="4"/>
              <w:right w:val="none" w:color="auto" w:sz="0"/>
            </w:tcBorders>
            <w:shd w:fill="FDF9F1" w:color="auto" w:val="clear"/>
            <w:tcMar>
              <w:top w:type="dxa" w:w="200"/>
              <w:left w:type="dxa" w:w="200"/>
              <w:bottom w:type="dxa" w:w="200"/>
              <w:right w:type="dxa" w:w="200"/>
            </w:tcMar>
          </w:tcPr>
          <w:p>
            <w:pPr>
              <w:spacing w:after="60" w:before="0" w:line="300"/>
            </w:pPr>
            <w:r>
              <w:rPr>
                <w:rFonts w:ascii="Inter" w:cs="Inter" w:eastAsia="Inter" w:hAnsi="Inter"/>
                <w:color w:val="6E655C"/>
                <w:sz w:val="18"/>
                <w:szCs w:val="18"/>
              </w:rPr>
              <w:t xml:space="preserve">Signed for and on behalf of</w:t>
            </w:r>
          </w:p>
          <w:p>
            <w:pPr>
              <w:spacing w:after="420" w:before="0" w:line="300"/>
            </w:pPr>
            <w:r>
              <w:rPr>
                <w:rFonts w:ascii="Inter" w:cs="Inter" w:eastAsia="Inter" w:hAnsi="Inter"/>
                <w:b/>
                <w:bCs/>
                <w:color w:val="1B1612"/>
                <w:sz w:val="20"/>
                <w:szCs w:val="20"/>
              </w:rPr>
              <w:t xml:space="preserve">[RECRUITER LEGAL NAME]</w:t>
            </w:r>
          </w:p>
          <w:p>
            <w:pPr>
              <w:pBdr>
                <w:bottom w:val="single" w:color="E8DFD2" w:sz="4"/>
              </w:pBdr>
              <w:spacing w:after="60" w:before="0" w:line="300"/>
            </w:pPr>
          </w:p>
          <w:p>
            <w:pPr>
              <w:spacing w:after="240" w:before="0" w:line="300"/>
            </w:pPr>
            <w:r>
              <w:rPr>
                <w:rFonts w:ascii="Inter" w:cs="Inter" w:eastAsia="Inter" w:hAnsi="Inter"/>
                <w:color w:val="6E655C"/>
                <w:spacing w:val="50"/>
                <w:sz w:val="16"/>
                <w:szCs w:val="16"/>
              </w:rPr>
              <w:t xml:space="preserve">AUTHORISED SIGNATURE</w:t>
            </w:r>
          </w:p>
          <w:p>
            <w:pPr>
              <w:spacing w:after="140" w:before="0" w:line="300"/>
            </w:pPr>
            <w:r>
              <w:rPr>
                <w:rFonts w:ascii="Inter" w:cs="Inter" w:eastAsia="Inter" w:hAnsi="Inter"/>
                <w:b/>
                <w:bCs/>
                <w:color w:val="6E655C"/>
                <w:spacing w:val="50"/>
                <w:sz w:val="16"/>
                <w:szCs w:val="16"/>
              </w:rPr>
              <w:t xml:space="preserve">NAME   </w:t>
            </w:r>
            <w:r>
              <w:rPr>
                <w:rFonts w:ascii="Inter" w:cs="Inter" w:eastAsia="Inter" w:hAnsi="Inter"/>
                <w:color w:val="4A4239"/>
                <w:sz w:val="19"/>
                <w:szCs w:val="19"/>
              </w:rPr>
              <w:t xml:space="preserve">………………………………</w:t>
            </w:r>
          </w:p>
          <w:p>
            <w:pPr>
              <w:spacing w:after="140" w:before="0" w:line="300"/>
            </w:pPr>
            <w:r>
              <w:rPr>
                <w:rFonts w:ascii="Inter" w:cs="Inter" w:eastAsia="Inter" w:hAnsi="Inter"/>
                <w:b/>
                <w:bCs/>
                <w:color w:val="6E655C"/>
                <w:spacing w:val="50"/>
                <w:sz w:val="16"/>
                <w:szCs w:val="16"/>
              </w:rPr>
              <w:t xml:space="preserve">DESIGNATION   </w:t>
            </w:r>
            <w:r>
              <w:rPr>
                <w:rFonts w:ascii="Inter" w:cs="Inter" w:eastAsia="Inter" w:hAnsi="Inter"/>
                <w:color w:val="4A4239"/>
                <w:sz w:val="19"/>
                <w:szCs w:val="19"/>
              </w:rPr>
              <w:t xml:space="preserve">………………………………</w:t>
            </w:r>
          </w:p>
          <w:p>
            <w:pPr>
              <w:spacing w:after="140" w:before="0" w:line="300"/>
            </w:pPr>
            <w:r>
              <w:rPr>
                <w:rFonts w:ascii="Inter" w:cs="Inter" w:eastAsia="Inter" w:hAnsi="Inter"/>
                <w:b/>
                <w:bCs/>
                <w:color w:val="6E655C"/>
                <w:spacing w:val="50"/>
                <w:sz w:val="16"/>
                <w:szCs w:val="16"/>
              </w:rPr>
              <w:t xml:space="preserve">DATE   </w:t>
            </w:r>
            <w:r>
              <w:rPr>
                <w:rFonts w:ascii="Inter" w:cs="Inter" w:eastAsia="Inter" w:hAnsi="Inter"/>
                <w:color w:val="4A4239"/>
                <w:sz w:val="19"/>
                <w:szCs w:val="19"/>
              </w:rPr>
              <w:t xml:space="preserve">………………………………</w:t>
            </w:r>
          </w:p>
          <w:p>
            <w:pPr>
              <w:spacing w:after="0" w:before="160" w:line="300"/>
            </w:pPr>
            <w:r>
              <w:rPr>
                <w:rFonts w:ascii="Inter" w:cs="Inter" w:eastAsia="Inter" w:hAnsi="Inter"/>
                <w:color w:val="6E655C"/>
                <w:spacing w:val="50"/>
                <w:sz w:val="16"/>
                <w:szCs w:val="16"/>
              </w:rPr>
              <w:t xml:space="preserve">COMPANY STAMP</w:t>
            </w:r>
          </w:p>
          <w:p>
            <w:pPr>
              <w:spacing w:after="0" w:before="520" w:line="300"/>
            </w:pPr>
          </w:p>
        </w:tc>
      </w:tr>
    </w:tbl>
    <w:p>
      <w:pPr>
        <w:spacing w:after="200" w:before="0"/>
      </w:pPr>
    </w:p>
    <w:p>
      <w:pPr>
        <w:spacing w:after="100" w:before="0" w:line="300"/>
        <w:jc w:val="left"/>
      </w:pPr>
      <w:r>
        <w:rPr>
          <w:rFonts w:ascii="Inter" w:cs="Inter" w:eastAsia="Inter" w:hAnsi="Inter"/>
          <w:b/>
          <w:bCs/>
          <w:color w:val="6E655C"/>
          <w:spacing w:val="60"/>
          <w:sz w:val="15"/>
          <w:szCs w:val="15"/>
        </w:rPr>
        <w:t xml:space="preserve">WITNESS (OPTIONAL)</w:t>
      </w:r>
    </w:p>
    <w:tbl>
      <w:tblPr>
        <w:tblW w:type="dxa" w:w="9360"/>
        <w:tblBorders>
          <w:top w:val="single" w:color="E8DFD2" w:sz="4"/>
          <w:left w:val="none" w:color="auto" w:sz="0"/>
          <w:bottom w:val="single" w:color="E8DFD2" w:sz="4"/>
          <w:right w:val="none" w:color="auto" w:sz="0"/>
          <w:insideH w:val="none" w:color="auto" w:sz="0"/>
          <w:insideV w:val="single" w:color="E8DFD2" w:sz="4"/>
        </w:tblBorders>
      </w:tblPr>
      <w:tblGrid>
        <w:gridCol w:w="4680"/>
        <w:gridCol w:w="4680"/>
      </w:tblGrid>
      <w:tr>
        <w:tc>
          <w:tcPr>
            <w:tcW w:type="dxa" w:w="468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Name: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NRIC: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Signature: ………………</w:t>
            </w:r>
          </w:p>
        </w:tc>
        <w:tc>
          <w:tcPr>
            <w:tcW w:type="dxa" w:w="468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Name: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NRIC: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Signature: ………………</w:t>
            </w:r>
          </w:p>
        </w:tc>
      </w:tr>
    </w:tbl>
    <w:p>
      <w:r>
        <w:br w:type="page"/>
      </w:r>
    </w:p>
    <w:p>
      <w:pPr>
        <w:spacing w:after="60" w:before="0" w:line="300"/>
        <w:jc w:val="left"/>
      </w:pPr>
      <w:r>
        <w:rPr>
          <w:rFonts w:ascii="Inter" w:cs="Inter" w:eastAsia="Inter" w:hAnsi="Inter"/>
          <w:b/>
          <w:bCs/>
          <w:color w:val="A8242E"/>
          <w:spacing w:val="60"/>
          <w:sz w:val="15"/>
          <w:szCs w:val="15"/>
        </w:rPr>
        <w:t xml:space="preserve">SCHEDULE 1</w:t>
      </w:r>
    </w:p>
    <w:p>
      <w:pPr>
        <w:spacing w:after="60" w:before="0" w:line="300"/>
        <w:jc w:val="left"/>
      </w:pPr>
      <w:r>
        <w:rPr>
          <w:rFonts w:ascii="Playfair Display" w:cs="Playfair Display" w:eastAsia="Playfair Display" w:hAnsi="Playfair Display"/>
          <w:color w:val="1B1612"/>
          <w:sz w:val="40"/>
          <w:szCs w:val="40"/>
        </w:rPr>
        <w:t xml:space="preserve">Commission Scheme</w:t>
      </w:r>
    </w:p>
    <w:p>
      <w:pPr>
        <w:pBdr>
          <w:bottom w:val="single" w:color="A8242E" w:sz="8"/>
        </w:pBdr>
        <w:spacing w:after="160" w:before="40"/>
      </w:pPr>
    </w:p>
    <w:p>
      <w:pPr>
        <w:spacing w:after="160" w:before="60" w:line="300"/>
        <w:jc w:val="both"/>
      </w:pPr>
      <w:r>
        <w:rPr>
          <w:rFonts w:ascii="Inter" w:cs="Inter" w:eastAsia="Inter" w:hAnsi="Inter"/>
          <w:i/>
          <w:iCs/>
          <w:color w:val="6E655C"/>
          <w:sz w:val="18"/>
          <w:szCs w:val="18"/>
        </w:rPr>
        <w:t xml:space="preserve">Strictly Private &amp; Confidential — between PECSB and RECRUITER only; not for sharing with students or institutions.</w:t>
      </w:r>
    </w:p>
    <w:p>
      <w:pPr>
        <w:spacing w:after="140" w:before="0" w:line="300"/>
        <w:jc w:val="both"/>
      </w:pPr>
      <w:r>
        <w:rPr>
          <w:rFonts w:ascii="Inter" w:cs="Inter" w:eastAsia="Inter" w:hAnsi="Inter"/>
          <w:color w:val="4A4239"/>
          <w:sz w:val="21"/>
          <w:szCs w:val="21"/>
        </w:rPr>
        <w:t xml:space="preserve">Commission is payable per Enrolled Student in accordance with Clause 9. Complete the tables below for this recruiter. Delete any Part that does not apply and mark it “Not applicable” rather than leaving it blank.</w:t>
      </w:r>
    </w:p>
    <w:p>
      <w:pPr>
        <w:keepNext/>
        <w:spacing w:after="140" w:before="320"/>
      </w:pPr>
      <w:r>
        <w:rPr>
          <w:rFonts w:ascii="Playfair Display" w:cs="Playfair Display" w:eastAsia="Playfair Display" w:hAnsi="Playfair Display"/>
          <w:color w:val="1B1612"/>
          <w:sz w:val="22"/>
          <w:szCs w:val="22"/>
        </w:rPr>
        <w:t xml:space="preserve">Part A — University Placement Commission</w:t>
      </w:r>
      <w:r>
        <w:rPr>
          <w:rFonts w:ascii="Inter" w:cs="Inter" w:eastAsia="Inter" w:hAnsi="Inter"/>
          <w:color w:val="6E655C"/>
          <w:sz w:val="18"/>
          <w:szCs w:val="18"/>
        </w:rPr>
        <w:t xml:space="preserve">  —  flat amount per enrolled student</w:t>
      </w:r>
    </w:p>
    <w:tbl>
      <w:tblPr>
        <w:tblW w:type="dxa" w:w="9360"/>
        <w:tblBorders>
          <w:top w:val="single" w:color="E8DFD2" w:sz="4"/>
          <w:left w:val="none" w:color="auto" w:sz="0"/>
          <w:bottom w:val="single" w:color="E8DFD2" w:sz="4"/>
          <w:right w:val="none" w:color="auto" w:sz="0"/>
          <w:insideH w:val="single" w:color="E8DFD2" w:sz="4"/>
          <w:insideV w:val="none" w:color="auto" w:sz="0"/>
        </w:tblBorders>
      </w:tblPr>
      <w:tblGrid>
        <w:gridCol w:w="2400"/>
        <w:gridCol w:w="2760"/>
        <w:gridCol w:w="2100"/>
        <w:gridCol w:w="2100"/>
      </w:tblGrid>
      <w:tr>
        <w:trPr>
          <w:tblHeader/>
        </w:trPr>
        <w:tc>
          <w:tcPr>
            <w:tcW w:type="dxa" w:w="24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UNIVERSITY</w:t>
            </w:r>
          </w:p>
        </w:tc>
        <w:tc>
          <w:tcPr>
            <w:tcW w:type="dxa" w:w="276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LEVEL</w:t>
            </w:r>
          </w:p>
        </w:tc>
        <w:tc>
          <w:tcPr>
            <w:tcW w:type="dxa" w:w="21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TIER 1 — UP TO [    ] STUDENTS</w:t>
            </w:r>
          </w:p>
        </w:tc>
        <w:tc>
          <w:tcPr>
            <w:tcW w:type="dxa" w:w="21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TIER 2 — [    ] STUDENTS &amp; ABOVE</w:t>
            </w:r>
          </w:p>
        </w:tc>
      </w:tr>
      <w:tr>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7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r>
      <w:tr>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7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r>
      <w:tr>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7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r>
      <w:tr>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7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r>
      <w:tr>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7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r>
      <w:tr>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7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r>
      <w:tr>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7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r>
      <w:tr>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7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r>
    </w:tbl>
    <w:p>
      <w:pPr>
        <w:spacing w:after="160" w:before="60" w:line="300"/>
        <w:jc w:val="both"/>
      </w:pPr>
      <w:r>
        <w:rPr>
          <w:rFonts w:ascii="Inter" w:cs="Inter" w:eastAsia="Inter" w:hAnsi="Inter"/>
          <w:i/>
          <w:iCs/>
          <w:color w:val="6E655C"/>
          <w:sz w:val="18"/>
          <w:szCs w:val="18"/>
        </w:rPr>
        <w:t xml:space="preserve">Tier thresholds are counted per calendar year unless stated otherwise. Insert additional rows in the same format if required.</w:t>
      </w:r>
    </w:p>
    <w:p>
      <w:pPr>
        <w:keepNext/>
        <w:spacing w:after="140" w:before="320"/>
      </w:pPr>
      <w:r>
        <w:rPr>
          <w:rFonts w:ascii="Playfair Display" w:cs="Playfair Display" w:eastAsia="Playfair Display" w:hAnsi="Playfair Display"/>
          <w:color w:val="1B1612"/>
          <w:sz w:val="22"/>
          <w:szCs w:val="22"/>
        </w:rPr>
        <w:t xml:space="preserve">Part B — English Programme Commission</w:t>
      </w:r>
      <w:r>
        <w:rPr>
          <w:rFonts w:ascii="Inter" w:cs="Inter" w:eastAsia="Inter" w:hAnsi="Inter"/>
          <w:color w:val="6E655C"/>
          <w:sz w:val="18"/>
          <w:szCs w:val="18"/>
        </w:rPr>
        <w:t xml:space="preserve">  —  percentage of the English programme fee</w:t>
      </w:r>
    </w:p>
    <w:tbl>
      <w:tblPr>
        <w:tblW w:type="dxa" w:w="9360"/>
        <w:tblBorders>
          <w:top w:val="single" w:color="E8DFD2" w:sz="4"/>
          <w:left w:val="none" w:color="auto" w:sz="0"/>
          <w:bottom w:val="single" w:color="E8DFD2" w:sz="4"/>
          <w:right w:val="none" w:color="auto" w:sz="0"/>
          <w:insideH w:val="single" w:color="E8DFD2" w:sz="4"/>
          <w:insideV w:val="none" w:color="auto" w:sz="0"/>
        </w:tblBorders>
      </w:tblPr>
      <w:tblGrid>
        <w:gridCol w:w="5160"/>
        <w:gridCol w:w="2100"/>
        <w:gridCol w:w="2100"/>
      </w:tblGrid>
      <w:tr>
        <w:trPr>
          <w:tblHeader/>
        </w:trPr>
        <w:tc>
          <w:tcPr>
            <w:tcW w:type="dxa" w:w="516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PROGRAMME LENGTH</w:t>
            </w:r>
          </w:p>
        </w:tc>
        <w:tc>
          <w:tcPr>
            <w:tcW w:type="dxa" w:w="21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TIER 1</w:t>
            </w:r>
          </w:p>
        </w:tc>
        <w:tc>
          <w:tcPr>
            <w:tcW w:type="dxa" w:w="21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TIER 2</w:t>
            </w:r>
          </w:p>
        </w:tc>
      </w:tr>
      <w:tr>
        <w:tc>
          <w:tcPr>
            <w:tcW w:type="dxa" w:w="51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w:t>
            </w:r>
          </w:p>
        </w:tc>
      </w:tr>
      <w:tr>
        <w:tc>
          <w:tcPr>
            <w:tcW w:type="dxa" w:w="51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w:t>
            </w:r>
          </w:p>
        </w:tc>
      </w:tr>
      <w:tr>
        <w:tc>
          <w:tcPr>
            <w:tcW w:type="dxa" w:w="51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w:t>
            </w:r>
          </w:p>
        </w:tc>
        <w:tc>
          <w:tcPr>
            <w:tcW w:type="dxa" w:w="21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w:t>
            </w:r>
          </w:p>
        </w:tc>
      </w:tr>
    </w:tbl>
    <w:p>
      <w:pPr>
        <w:spacing w:after="160" w:before="60" w:line="300"/>
        <w:jc w:val="both"/>
      </w:pPr>
      <w:r>
        <w:rPr>
          <w:rFonts w:ascii="Inter" w:cs="Inter" w:eastAsia="Inter" w:hAnsi="Inter"/>
          <w:i/>
          <w:iCs/>
          <w:color w:val="6E655C"/>
          <w:sz w:val="18"/>
          <w:szCs w:val="18"/>
        </w:rPr>
        <w:t xml:space="preserve">The percentage is applied to the English programme fee in Part C, exclusive of registration, resource and visa fees.</w:t>
      </w:r>
    </w:p>
    <w:p>
      <w:pPr>
        <w:keepNext/>
        <w:spacing w:after="140" w:before="320"/>
      </w:pPr>
      <w:r>
        <w:rPr>
          <w:rFonts w:ascii="Playfair Display" w:cs="Playfair Display" w:eastAsia="Playfair Display" w:hAnsi="Playfair Display"/>
          <w:color w:val="1B1612"/>
          <w:sz w:val="22"/>
          <w:szCs w:val="22"/>
        </w:rPr>
        <w:t xml:space="preserve">Part C — English Programme Prices</w:t>
      </w:r>
      <w:r>
        <w:rPr>
          <w:rFonts w:ascii="Inter" w:cs="Inter" w:eastAsia="Inter" w:hAnsi="Inter"/>
          <w:color w:val="6E655C"/>
          <w:sz w:val="18"/>
          <w:szCs w:val="18"/>
        </w:rPr>
        <w:t xml:space="preserve">  —  reference — as published at the date of this Agreement</w:t>
      </w:r>
    </w:p>
    <w:tbl>
      <w:tblPr>
        <w:tblW w:type="dxa" w:w="9360"/>
        <w:tblBorders>
          <w:top w:val="single" w:color="E8DFD2" w:sz="4"/>
          <w:left w:val="none" w:color="auto" w:sz="0"/>
          <w:bottom w:val="single" w:color="E8DFD2" w:sz="4"/>
          <w:right w:val="none" w:color="auto" w:sz="0"/>
          <w:insideH w:val="single" w:color="E8DFD2" w:sz="4"/>
          <w:insideV w:val="none" w:color="auto" w:sz="0"/>
        </w:tblBorders>
      </w:tblPr>
      <w:tblGrid>
        <w:gridCol w:w="4560"/>
        <w:gridCol w:w="2400"/>
        <w:gridCol w:w="2400"/>
      </w:tblGrid>
      <w:tr>
        <w:trPr>
          <w:tblHeader/>
        </w:trPr>
        <w:tc>
          <w:tcPr>
            <w:tcW w:type="dxa" w:w="456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PROGRAMME</w:t>
            </w:r>
          </w:p>
        </w:tc>
        <w:tc>
          <w:tcPr>
            <w:tcW w:type="dxa" w:w="24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FACE-TO-FACE (RM)</w:t>
            </w:r>
          </w:p>
        </w:tc>
        <w:tc>
          <w:tcPr>
            <w:tcW w:type="dxa" w:w="24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ONLINE (RM)</w:t>
            </w:r>
          </w:p>
        </w:tc>
      </w:tr>
      <w:tr>
        <w:tc>
          <w:tcPr>
            <w:tcW w:type="dxa" w:w="45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45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45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24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bl>
    <w:p>
      <w:pPr>
        <w:keepNext/>
        <w:spacing w:after="140" w:before="320"/>
      </w:pPr>
      <w:r>
        <w:rPr>
          <w:rFonts w:ascii="Playfair Display" w:cs="Playfair Display" w:eastAsia="Playfair Display" w:hAnsi="Playfair Display"/>
          <w:color w:val="1B1612"/>
          <w:sz w:val="22"/>
          <w:szCs w:val="22"/>
        </w:rPr>
        <w:t xml:space="preserve">Part D — Special Programmes</w:t>
      </w:r>
    </w:p>
    <w:tbl>
      <w:tblPr>
        <w:tblW w:type="dxa" w:w="9360"/>
        <w:tblBorders>
          <w:top w:val="single" w:color="E8DFD2" w:sz="4"/>
          <w:left w:val="none" w:color="auto" w:sz="0"/>
          <w:bottom w:val="single" w:color="E8DFD2" w:sz="4"/>
          <w:right w:val="none" w:color="auto" w:sz="0"/>
          <w:insideH w:val="single" w:color="E8DFD2" w:sz="4"/>
          <w:insideV w:val="none" w:color="auto" w:sz="0"/>
        </w:tblBorders>
      </w:tblPr>
      <w:tblGrid>
        <w:gridCol w:w="6360"/>
        <w:gridCol w:w="3000"/>
      </w:tblGrid>
      <w:tr>
        <w:trPr>
          <w:tblHeader/>
        </w:trPr>
        <w:tc>
          <w:tcPr>
            <w:tcW w:type="dxa" w:w="636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PROGRAMME</w:t>
            </w:r>
          </w:p>
        </w:tc>
        <w:tc>
          <w:tcPr>
            <w:tcW w:type="dxa" w:w="30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COMMISSION</w:t>
            </w:r>
          </w:p>
        </w:tc>
      </w:tr>
      <w:tr>
        <w:tc>
          <w:tcPr>
            <w:tcW w:type="dxa" w:w="63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Special programmes (summer camps, winter camps, seminars, corporate groups)</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 –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w:t>
            </w:r>
          </w:p>
        </w:tc>
      </w:tr>
    </w:tbl>
    <w:p>
      <w:pPr>
        <w:spacing w:after="160" w:before="60" w:line="300"/>
        <w:jc w:val="both"/>
      </w:pPr>
      <w:r>
        <w:rPr>
          <w:rFonts w:ascii="Inter" w:cs="Inter" w:eastAsia="Inter" w:hAnsi="Inter"/>
          <w:i/>
          <w:iCs/>
          <w:color w:val="6E655C"/>
          <w:sz w:val="18"/>
          <w:szCs w:val="18"/>
        </w:rPr>
        <w:t xml:space="preserve">Commission for special programmes is determined on a project basis, based on tuition fees paid, number of students and programme type, and shall be agreed in writing before the programme is confirmed (Clause 9(e)).</w:t>
      </w:r>
    </w:p>
    <w:p>
      <w:pPr>
        <w:keepNext/>
        <w:spacing w:after="140" w:before="320"/>
      </w:pPr>
      <w:r>
        <w:rPr>
          <w:rFonts w:ascii="Playfair Display" w:cs="Playfair Display" w:eastAsia="Playfair Display" w:hAnsi="Playfair Display"/>
          <w:color w:val="1B1612"/>
          <w:sz w:val="22"/>
          <w:szCs w:val="22"/>
        </w:rPr>
        <w:t xml:space="preserve">Part E — One-Time Fees</w:t>
      </w:r>
      <w:r>
        <w:rPr>
          <w:rFonts w:ascii="Inter" w:cs="Inter" w:eastAsia="Inter" w:hAnsi="Inter"/>
          <w:color w:val="6E655C"/>
          <w:sz w:val="18"/>
          <w:szCs w:val="18"/>
        </w:rPr>
        <w:t xml:space="preserve">  —  on enrolment — not commissionable</w:t>
      </w:r>
    </w:p>
    <w:tbl>
      <w:tblPr>
        <w:tblW w:type="dxa" w:w="9360"/>
        <w:tblBorders>
          <w:top w:val="single" w:color="E8DFD2" w:sz="4"/>
          <w:left w:val="none" w:color="auto" w:sz="0"/>
          <w:bottom w:val="single" w:color="E8DFD2" w:sz="4"/>
          <w:right w:val="none" w:color="auto" w:sz="0"/>
          <w:insideH w:val="single" w:color="E8DFD2" w:sz="4"/>
          <w:insideV w:val="none" w:color="auto" w:sz="0"/>
        </w:tblBorders>
      </w:tblPr>
      <w:tblGrid>
        <w:gridCol w:w="6360"/>
        <w:gridCol w:w="3000"/>
      </w:tblGrid>
      <w:tr>
        <w:trPr>
          <w:tblHeader/>
        </w:trPr>
        <w:tc>
          <w:tcPr>
            <w:tcW w:type="dxa" w:w="636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ITEM</w:t>
            </w:r>
          </w:p>
        </w:tc>
        <w:tc>
          <w:tcPr>
            <w:tcW w:type="dxa" w:w="30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AMOUNT</w:t>
            </w:r>
          </w:p>
        </w:tc>
      </w:tr>
      <w:tr>
        <w:tc>
          <w:tcPr>
            <w:tcW w:type="dxa" w:w="63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Registration</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r>
      <w:tr>
        <w:tc>
          <w:tcPr>
            <w:tcW w:type="dxa" w:w="63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Resource fee</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r>
      <w:tr>
        <w:tc>
          <w:tcPr>
            <w:tcW w:type="dxa" w:w="63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r>
    </w:tbl>
    <w:p>
      <w:pPr>
        <w:keepNext/>
        <w:spacing w:after="140" w:before="320"/>
      </w:pPr>
      <w:r>
        <w:rPr>
          <w:rFonts w:ascii="Playfair Display" w:cs="Playfair Display" w:eastAsia="Playfair Display" w:hAnsi="Playfair Display"/>
          <w:color w:val="1B1612"/>
          <w:sz w:val="22"/>
          <w:szCs w:val="22"/>
        </w:rPr>
        <w:t xml:space="preserve">Part F — Visa Fees</w:t>
      </w:r>
      <w:r>
        <w:rPr>
          <w:rFonts w:ascii="Inter" w:cs="Inter" w:eastAsia="Inter" w:hAnsi="Inter"/>
          <w:color w:val="6E655C"/>
          <w:sz w:val="18"/>
          <w:szCs w:val="18"/>
        </w:rPr>
        <w:t xml:space="preserve">  —  not commissionable</w:t>
      </w:r>
    </w:p>
    <w:tbl>
      <w:tblPr>
        <w:tblW w:type="dxa" w:w="9360"/>
        <w:tblBorders>
          <w:top w:val="single" w:color="E8DFD2" w:sz="4"/>
          <w:left w:val="none" w:color="auto" w:sz="0"/>
          <w:bottom w:val="single" w:color="E8DFD2" w:sz="4"/>
          <w:right w:val="none" w:color="auto" w:sz="0"/>
          <w:insideH w:val="single" w:color="E8DFD2" w:sz="4"/>
          <w:insideV w:val="none" w:color="auto" w:sz="0"/>
        </w:tblBorders>
      </w:tblPr>
      <w:tblGrid>
        <w:gridCol w:w="6360"/>
        <w:gridCol w:w="3000"/>
      </w:tblGrid>
      <w:tr>
        <w:trPr>
          <w:tblHeader/>
        </w:trPr>
        <w:tc>
          <w:tcPr>
            <w:tcW w:type="dxa" w:w="636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DURATION</w:t>
            </w:r>
          </w:p>
        </w:tc>
        <w:tc>
          <w:tcPr>
            <w:tcW w:type="dxa" w:w="30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AMOUNT</w:t>
            </w:r>
          </w:p>
        </w:tc>
      </w:tr>
      <w:tr>
        <w:tc>
          <w:tcPr>
            <w:tcW w:type="dxa" w:w="63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6 months</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r>
      <w:tr>
        <w:tc>
          <w:tcPr>
            <w:tcW w:type="dxa" w:w="636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12 months</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RM </w:t>
            </w:r>
            <w:r>
              <w:rPr>
                <w:rFonts w:ascii="Inter" w:cs="Inter" w:eastAsia="Inter" w:hAnsi="Inter"/>
                <w:b/>
                <w:bCs/>
                <w:color w:val="A8242E"/>
                <w:sz w:val="19"/>
                <w:szCs w:val="19"/>
                <w:shd w:fill="F5D8DB" w:val="clear"/>
              </w:rPr>
              <w:t xml:space="preserve">[        ]</w:t>
            </w:r>
          </w:p>
        </w:tc>
      </w:tr>
    </w:tbl>
    <w:p>
      <w:pPr>
        <w:keepNext/>
        <w:spacing w:after="140" w:before="320"/>
      </w:pPr>
      <w:r>
        <w:rPr>
          <w:rFonts w:ascii="Playfair Display" w:cs="Playfair Display" w:eastAsia="Playfair Display" w:hAnsi="Playfair Display"/>
          <w:color w:val="1B1612"/>
          <w:sz w:val="22"/>
          <w:szCs w:val="22"/>
        </w:rPr>
        <w:t xml:space="preserve">Notes &amp; Terms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	</w:t>
      </w:r>
      <w:r>
        <w:rPr>
          <w:rFonts w:ascii="Inter" w:cs="Inter" w:eastAsia="Inter" w:hAnsi="Inter"/>
          <w:color w:val="4A4239"/>
          <w:sz w:val="21"/>
          <w:szCs w:val="21"/>
        </w:rPr>
        <w:t xml:space="preserve">Commission is payable per Enrolled Student who has paid the relevant fee; it is not payable on withdrawn, deferred or unpaid applications.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(ii)	</w:t>
      </w:r>
      <w:r>
        <w:rPr>
          <w:rFonts w:ascii="Inter" w:cs="Inter" w:eastAsia="Inter" w:hAnsi="Inter"/>
          <w:color w:val="4A4239"/>
          <w:sz w:val="21"/>
          <w:szCs w:val="21"/>
        </w:rPr>
        <w:t xml:space="preserve">University commission is a flat ringgit amount per student; English commission is a percentage of the English programme fee (Part C). Commission is calculated on the programme or tuition fee only and does not include registration, resource or visa fees.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(iii)	</w:t>
      </w:r>
      <w:r>
        <w:rPr>
          <w:rFonts w:ascii="Inter" w:cs="Inter" w:eastAsia="Inter" w:hAnsi="Inter"/>
          <w:color w:val="4A4239"/>
          <w:sz w:val="21"/>
          <w:szCs w:val="21"/>
        </w:rPr>
        <w:t xml:space="preserve">These rates are confidential to PECSB and RECRUITER, and supersede any prior verbal arrangement.</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(iv)	</w:t>
      </w:r>
      <w:r>
        <w:rPr>
          <w:rFonts w:ascii="Inter" w:cs="Inter" w:eastAsia="Inter" w:hAnsi="Inter"/>
          <w:color w:val="4A4239"/>
          <w:sz w:val="21"/>
          <w:szCs w:val="21"/>
        </w:rPr>
        <w:t xml:space="preserve">Payment terms are as stated in Item 14 of the Particulars. Clawback applies under Clause 9(i).</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(v)	</w:t>
      </w:r>
      <w:r>
        <w:rPr>
          <w:rFonts w:ascii="Inter" w:cs="Inter" w:eastAsia="Inter" w:hAnsi="Inter"/>
          <w:color w:val="4A4239"/>
          <w:sz w:val="21"/>
          <w:szCs w:val="21"/>
        </w:rPr>
        <w:t xml:space="preserve">This Schedule is valid from </w:t>
      </w:r>
      <w:r>
        <w:rPr>
          <w:rFonts w:ascii="Inter" w:cs="Inter" w:eastAsia="Inter" w:hAnsi="Inter"/>
          <w:b/>
          <w:bCs/>
          <w:color w:val="A8242E"/>
          <w:sz w:val="21"/>
          <w:szCs w:val="21"/>
          <w:shd w:fill="F5D8DB" w:val="clear"/>
        </w:rPr>
        <w:t xml:space="preserve">[                ]</w:t>
      </w:r>
      <w:r>
        <w:rPr>
          <w:rFonts w:ascii="Inter" w:cs="Inter" w:eastAsia="Inter" w:hAnsi="Inter"/>
          <w:color w:val="4A4239"/>
          <w:sz w:val="21"/>
          <w:szCs w:val="21"/>
        </w:rPr>
        <w:t xml:space="preserve"> until </w:t>
      </w:r>
      <w:r>
        <w:rPr>
          <w:rFonts w:ascii="Inter" w:cs="Inter" w:eastAsia="Inter" w:hAnsi="Inter"/>
          <w:b/>
          <w:bCs/>
          <w:color w:val="A8242E"/>
          <w:sz w:val="21"/>
          <w:szCs w:val="21"/>
          <w:shd w:fill="F5D8DB" w:val="clear"/>
        </w:rPr>
        <w:t xml:space="preserve">[                ]</w:t>
      </w:r>
      <w:r>
        <w:rPr>
          <w:rFonts w:ascii="Inter" w:cs="Inter" w:eastAsia="Inter" w:hAnsi="Inter"/>
          <w:color w:val="4A4239"/>
          <w:sz w:val="21"/>
          <w:szCs w:val="21"/>
        </w:rPr>
        <w:t xml:space="preserve">, or until replaced by a revised Schedule signed by both Parties.</w:t>
      </w:r>
    </w:p>
    <w:p>
      <w:pPr>
        <w:spacing w:after="240" w:before="0"/>
      </w:pPr>
    </w:p>
    <w:tbl>
      <w:tblPr>
        <w:tblW w:type="dxa" w:w="9360"/>
        <w:tblBorders>
          <w:top w:val="single" w:color="A8242E" w:sz="8"/>
          <w:left w:val="none" w:color="auto" w:sz="0"/>
          <w:bottom w:val="single" w:color="E8DFD2" w:sz="4"/>
          <w:right w:val="none" w:color="auto" w:sz="0"/>
          <w:insideH w:val="none" w:color="auto" w:sz="0"/>
          <w:insideV w:val="single" w:color="E8DFD2" w:sz="4"/>
        </w:tblBorders>
      </w:tblPr>
      <w:tblGrid>
        <w:gridCol w:w="4680"/>
        <w:gridCol w:w="4680"/>
      </w:tblGrid>
      <w:tr>
        <w:tc>
          <w:tcPr>
            <w:tcW w:type="dxa" w:w="4680"/>
            <w:tcBorders>
              <w:top w:val="single" w:color="E8DFD2" w:sz="4"/>
              <w:left w:val="none" w:color="auto" w:sz="0"/>
              <w:bottom w:val="single" w:color="E8DFD2" w:sz="4"/>
              <w:right w:val="none" w:color="auto" w:sz="0"/>
            </w:tcBorders>
            <w:shd w:fill="F4ECE3"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Initialled for PECSB
</w:t>
            </w:r>
          </w:p>
        </w:tc>
        <w:tc>
          <w:tcPr>
            <w:tcW w:type="dxa" w:w="4680"/>
            <w:tcBorders>
              <w:top w:val="single" w:color="E8DFD2" w:sz="4"/>
              <w:left w:val="none" w:color="auto" w:sz="0"/>
              <w:bottom w:val="single" w:color="E8DFD2" w:sz="4"/>
              <w:right w:val="none" w:color="auto" w:sz="0"/>
            </w:tcBorders>
            <w:shd w:fill="F4ECE3"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Initialled for RECRUITER</w:t>
            </w:r>
          </w:p>
        </w:tc>
      </w:tr>
      <w:tr>
        <w:tc>
          <w:tcPr>
            <w:tcW w:type="dxa" w:w="468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   Date: ………………</w:t>
            </w:r>
          </w:p>
        </w:tc>
        <w:tc>
          <w:tcPr>
            <w:tcW w:type="dxa" w:w="468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   Date: ………………</w:t>
            </w:r>
          </w:p>
        </w:tc>
      </w:tr>
    </w:tbl>
    <w:p>
      <w:r>
        <w:br w:type="page"/>
      </w:r>
    </w:p>
    <w:p>
      <w:pPr>
        <w:spacing w:after="60" w:before="0" w:line="300"/>
        <w:jc w:val="left"/>
      </w:pPr>
      <w:r>
        <w:rPr>
          <w:rFonts w:ascii="Inter" w:cs="Inter" w:eastAsia="Inter" w:hAnsi="Inter"/>
          <w:b/>
          <w:bCs/>
          <w:color w:val="A8242E"/>
          <w:spacing w:val="60"/>
          <w:sz w:val="15"/>
          <w:szCs w:val="15"/>
        </w:rPr>
        <w:t xml:space="preserve">ANNEXURE A</w:t>
      </w:r>
    </w:p>
    <w:p>
      <w:pPr>
        <w:spacing w:after="60" w:before="0" w:line="300"/>
        <w:jc w:val="left"/>
      </w:pPr>
      <w:r>
        <w:rPr>
          <w:rFonts w:ascii="Playfair Display" w:cs="Playfair Display" w:eastAsia="Playfair Display" w:hAnsi="Playfair Display"/>
          <w:color w:val="1B1612"/>
          <w:sz w:val="40"/>
          <w:szCs w:val="40"/>
        </w:rPr>
        <w:t xml:space="preserve">Admission Procedure</w:t>
      </w:r>
    </w:p>
    <w:p>
      <w:pPr>
        <w:pBdr>
          <w:bottom w:val="single" w:color="A8242E" w:sz="8"/>
        </w:pBdr>
        <w:spacing w:after="200" w:before="40"/>
      </w:pPr>
    </w:p>
    <w:p>
      <w:pPr>
        <w:spacing w:after="200" w:before="0" w:line="300"/>
      </w:pPr>
      <w:r>
        <w:rPr>
          <w:rFonts w:ascii="Inter" w:cs="Inter" w:eastAsia="Inter" w:hAnsi="Inter"/>
          <w:b/>
          <w:bCs/>
          <w:color w:val="1B1612"/>
          <w:sz w:val="21"/>
          <w:szCs w:val="21"/>
        </w:rPr>
        <w:t xml:space="preserve">Applications with incomplete information and/or documents will not be processed</w:t>
      </w:r>
      <w:r>
        <w:rPr>
          <w:rFonts w:ascii="Inter" w:cs="Inter" w:eastAsia="Inter" w:hAnsi="Inter"/>
          <w:color w:val="4A4239"/>
          <w:sz w:val="21"/>
          <w:szCs w:val="21"/>
        </w:rPr>
        <w:t xml:space="preserve"> and the “time frame” will only start when all required information and documents have been completed by the student or agent.</w:t>
      </w:r>
    </w:p>
    <w:p>
      <w:pPr>
        <w:keepNext/>
        <w:spacing w:after="140" w:before="320"/>
      </w:pPr>
      <w:r>
        <w:rPr>
          <w:rFonts w:ascii="Playfair Display" w:cs="Playfair Display" w:eastAsia="Playfair Display" w:hAnsi="Playfair Display"/>
          <w:color w:val="1B1612"/>
          <w:sz w:val="22"/>
          <w:szCs w:val="22"/>
        </w:rPr>
        <w:t xml:space="preserve">(a) Documents required for application &amp; visa processing</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	</w:t>
      </w:r>
      <w:r>
        <w:rPr>
          <w:rFonts w:ascii="Inter" w:cs="Inter" w:eastAsia="Inter" w:hAnsi="Inter"/>
          <w:color w:val="4A4239"/>
          <w:sz w:val="21"/>
          <w:szCs w:val="21"/>
        </w:rPr>
        <w:t xml:space="preserve">Completed Application Form (online application form — www.premium.edu.my).</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(II)	</w:t>
      </w:r>
      <w:r>
        <w:rPr>
          <w:rFonts w:ascii="Inter" w:cs="Inter" w:eastAsia="Inter" w:hAnsi="Inter"/>
          <w:color w:val="4A4239"/>
          <w:sz w:val="21"/>
          <w:szCs w:val="21"/>
        </w:rPr>
        <w:t xml:space="preserve">Copy of latest academic transcript with certified true copies.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(III)	</w:t>
      </w:r>
      <w:r>
        <w:rPr>
          <w:rFonts w:ascii="Inter" w:cs="Inter" w:eastAsia="Inter" w:hAnsi="Inter"/>
          <w:color w:val="4A4239"/>
          <w:sz w:val="21"/>
          <w:szCs w:val="21"/>
        </w:rPr>
        <w:t xml:space="preserve">Passport-sized photograph with white background.</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(IV)	</w:t>
      </w:r>
      <w:r>
        <w:rPr>
          <w:rFonts w:ascii="Inter" w:cs="Inter" w:eastAsia="Inter" w:hAnsi="Inter"/>
          <w:color w:val="4A4239"/>
          <w:sz w:val="21"/>
          <w:szCs w:val="21"/>
        </w:rPr>
        <w:t xml:space="preserve">Coloured copy of passport including all blank pages with at least 18 months’ validity.</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(V)	</w:t>
      </w:r>
      <w:r>
        <w:rPr>
          <w:rFonts w:ascii="Inter" w:cs="Inter" w:eastAsia="Inter" w:hAnsi="Inter"/>
          <w:color w:val="4A4239"/>
          <w:sz w:val="21"/>
          <w:szCs w:val="21"/>
        </w:rPr>
        <w:t xml:space="preserve">Health Declaration Form (for visa application purposes — downloadable from the EMGS website).</w:t>
      </w:r>
    </w:p>
    <w:p>
      <w:pPr>
        <w:spacing w:after="160" w:before="60" w:line="300"/>
        <w:jc w:val="both"/>
      </w:pPr>
      <w:r>
        <w:rPr>
          <w:rFonts w:ascii="Inter" w:cs="Inter" w:eastAsia="Inter" w:hAnsi="Inter"/>
          <w:i/>
          <w:iCs/>
          <w:color w:val="6E655C"/>
          <w:sz w:val="18"/>
          <w:szCs w:val="18"/>
        </w:rPr>
        <w:t xml:space="preserve">Note: the date on the Health Declaration Form must match the date on which the visa application is made.</w:t>
      </w:r>
    </w:p>
    <w:p>
      <w:pPr>
        <w:keepNext/>
        <w:spacing w:after="140" w:before="320"/>
      </w:pPr>
      <w:r>
        <w:rPr>
          <w:rFonts w:ascii="Playfair Display" w:cs="Playfair Display" w:eastAsia="Playfair Display" w:hAnsi="Playfair Display"/>
          <w:color w:val="1B1612"/>
          <w:sz w:val="22"/>
          <w:szCs w:val="22"/>
        </w:rPr>
        <w:t xml:space="preserve">(b) Documents required for university application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	</w:t>
      </w:r>
      <w:r>
        <w:rPr>
          <w:rFonts w:ascii="Inter" w:cs="Inter" w:eastAsia="Inter" w:hAnsi="Inter"/>
          <w:color w:val="4A4239"/>
          <w:sz w:val="21"/>
          <w:szCs w:val="21"/>
        </w:rPr>
        <w:t xml:space="preserve">Passport-sized photograph with white background.</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(II)	</w:t>
      </w:r>
      <w:r>
        <w:rPr>
          <w:rFonts w:ascii="Inter" w:cs="Inter" w:eastAsia="Inter" w:hAnsi="Inter"/>
          <w:color w:val="4A4239"/>
          <w:sz w:val="21"/>
          <w:szCs w:val="21"/>
        </w:rPr>
        <w:t xml:space="preserve">Coloured copy of passport including all blank pages with at least 18 months’ validity.</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(III)	</w:t>
      </w:r>
      <w:r>
        <w:rPr>
          <w:rFonts w:ascii="Inter" w:cs="Inter" w:eastAsia="Inter" w:hAnsi="Inter"/>
          <w:color w:val="4A4239"/>
          <w:sz w:val="21"/>
          <w:szCs w:val="21"/>
        </w:rPr>
        <w:t xml:space="preserve">Copy of original and translated academic certificates with certified true copies.</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(IV)	</w:t>
      </w:r>
      <w:r>
        <w:rPr>
          <w:rFonts w:ascii="Inter" w:cs="Inter" w:eastAsia="Inter" w:hAnsi="Inter"/>
          <w:color w:val="4A4239"/>
          <w:sz w:val="21"/>
          <w:szCs w:val="21"/>
        </w:rPr>
        <w:t xml:space="preserve">Copy of original and translated academic transcript with certified true copies.</w:t>
      </w:r>
    </w:p>
    <w:p>
      <w:r>
        <w:br w:type="page"/>
      </w:r>
    </w:p>
    <w:p>
      <w:pPr>
        <w:spacing w:after="60" w:before="0" w:line="300"/>
        <w:jc w:val="left"/>
      </w:pPr>
      <w:r>
        <w:rPr>
          <w:rFonts w:ascii="Inter" w:cs="Inter" w:eastAsia="Inter" w:hAnsi="Inter"/>
          <w:b/>
          <w:bCs/>
          <w:color w:val="A8242E"/>
          <w:spacing w:val="60"/>
          <w:sz w:val="15"/>
          <w:szCs w:val="15"/>
        </w:rPr>
        <w:t xml:space="preserve">ANNEXURE B</w:t>
      </w:r>
    </w:p>
    <w:p>
      <w:pPr>
        <w:spacing w:after="60" w:before="0" w:line="300"/>
      </w:pPr>
      <w:r>
        <w:rPr>
          <w:rFonts w:ascii="Playfair Display" w:cs="Playfair Display" w:eastAsia="Playfair Display" w:hAnsi="Playfair Display"/>
          <w:color w:val="1B1612"/>
          <w:sz w:val="40"/>
          <w:szCs w:val="40"/>
        </w:rPr>
        <w:t xml:space="preserve">Minor Student Requirements</w:t>
      </w:r>
    </w:p>
    <w:p>
      <w:pPr>
        <w:pBdr>
          <w:bottom w:val="single" w:color="A8242E" w:sz="8"/>
        </w:pBdr>
        <w:spacing w:after="200" w:before="40"/>
      </w:pPr>
    </w:p>
    <w:p>
      <w:pPr>
        <w:spacing w:after="140" w:before="0" w:line="300"/>
        <w:jc w:val="both"/>
      </w:pPr>
      <w:r>
        <w:rPr>
          <w:rFonts w:ascii="Inter" w:cs="Inter" w:eastAsia="Inter" w:hAnsi="Inter"/>
          <w:color w:val="4A4239"/>
          <w:sz w:val="21"/>
          <w:szCs w:val="21"/>
        </w:rPr>
        <w:t xml:space="preserve">This Annexure applies where Item 12 of the Particulars permits the recruitment of Minors. It supplements, and does not replace, Annexure A.</w:t>
      </w:r>
    </w:p>
    <w:p>
      <w:pPr>
        <w:keepNext/>
        <w:spacing w:after="140" w:before="320"/>
      </w:pPr>
      <w:r>
        <w:rPr>
          <w:rFonts w:ascii="Playfair Display" w:cs="Playfair Display" w:eastAsia="Playfair Display" w:hAnsi="Playfair Display"/>
          <w:color w:val="1B1612"/>
          <w:sz w:val="22"/>
          <w:szCs w:val="22"/>
        </w:rPr>
        <w:t xml:space="preserve">(a) Additional documents required for a Minor</w:t>
      </w:r>
    </w:p>
    <w:tbl>
      <w:tblPr>
        <w:tblW w:type="dxa" w:w="9360"/>
        <w:tblBorders>
          <w:top w:val="single" w:color="E8DFD2" w:sz="4"/>
          <w:left w:val="none" w:color="auto" w:sz="0"/>
          <w:bottom w:val="single" w:color="E8DFD2" w:sz="4"/>
          <w:right w:val="none" w:color="auto" w:sz="0"/>
          <w:insideH w:val="single" w:color="E8DFD2" w:sz="4"/>
          <w:insideV w:val="none" w:color="auto" w:sz="0"/>
        </w:tblBorders>
      </w:tblPr>
      <w:tblGrid>
        <w:gridCol w:w="620"/>
        <w:gridCol w:w="5740"/>
        <w:gridCol w:w="3000"/>
      </w:tblGrid>
      <w:tr>
        <w:trPr>
          <w:tblHeader/>
        </w:trPr>
        <w:tc>
          <w:tcPr>
            <w:tcW w:type="dxa" w:w="62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NO.</w:t>
            </w:r>
          </w:p>
        </w:tc>
        <w:tc>
          <w:tcPr>
            <w:tcW w:type="dxa" w:w="574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DOCUMENT</w:t>
            </w:r>
          </w:p>
        </w:tc>
        <w:tc>
          <w:tcPr>
            <w:tcW w:type="dxa" w:w="3000"/>
            <w:tcBorders>
              <w:top w:val="single" w:color="E8DFD2" w:sz="4"/>
              <w:left w:val="none" w:color="auto" w:sz="0"/>
              <w:bottom w:val="single" w:color="E8DFD2" w:sz="4"/>
              <w:right w:val="none" w:color="auto" w:sz="0"/>
            </w:tcBorders>
            <w:shd w:fill="FAF4EA"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6E655C"/>
                <w:spacing w:val="50"/>
                <w:sz w:val="16"/>
                <w:szCs w:val="16"/>
              </w:rPr>
              <w:t xml:space="preserve">SUBMITTED</w:t>
            </w:r>
          </w:p>
        </w:tc>
      </w:tr>
      <w:tr>
        <w:tc>
          <w:tcPr>
            <w:tcW w:type="dxa" w:w="6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1</w:t>
            </w:r>
          </w:p>
        </w:tc>
        <w:tc>
          <w:tcPr>
            <w:tcW w:type="dxa" w:w="57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Parent / legal guardian consent form in Premium’s prescribed form, signed</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6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2</w:t>
            </w:r>
          </w:p>
        </w:tc>
        <w:tc>
          <w:tcPr>
            <w:tcW w:type="dxa" w:w="57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Copy of birth certificate (original and certified English translation)</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6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3</w:t>
            </w:r>
          </w:p>
        </w:tc>
        <w:tc>
          <w:tcPr>
            <w:tcW w:type="dxa" w:w="57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Copy of parent’s or legal guardian’s NRIC or passport</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6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4</w:t>
            </w:r>
          </w:p>
        </w:tc>
        <w:tc>
          <w:tcPr>
            <w:tcW w:type="dxa" w:w="57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Evidence of relationship or legal guardianship</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6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5</w:t>
            </w:r>
          </w:p>
        </w:tc>
        <w:tc>
          <w:tcPr>
            <w:tcW w:type="dxa" w:w="57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Embassy or sponsor support letter (required where under 17)</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6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6</w:t>
            </w:r>
          </w:p>
        </w:tc>
        <w:tc>
          <w:tcPr>
            <w:tcW w:type="dxa" w:w="57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Local guardian details in Malaysia, where required by EMGS or Premium</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6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7</w:t>
            </w:r>
          </w:p>
        </w:tc>
        <w:tc>
          <w:tcPr>
            <w:tcW w:type="dxa" w:w="57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Accommodation and airport reception plan, approved by Premium in writing</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6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8</w:t>
            </w:r>
          </w:p>
        </w:tc>
        <w:tc>
          <w:tcPr>
            <w:tcW w:type="dxa" w:w="57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Medical or special-needs declaration, where applicable</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r>
        <w:tc>
          <w:tcPr>
            <w:tcW w:type="dxa" w:w="62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1B1612"/>
                <w:sz w:val="19"/>
                <w:szCs w:val="19"/>
              </w:rPr>
              <w:t xml:space="preserve">9</w:t>
            </w:r>
          </w:p>
        </w:tc>
        <w:tc>
          <w:tcPr>
            <w:tcW w:type="dxa" w:w="574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Emergency contact details — home country and Malaysia</w:t>
            </w:r>
          </w:p>
        </w:tc>
        <w:tc>
          <w:tcPr>
            <w:tcW w:type="dxa" w:w="3000"/>
            <w:tcBorders>
              <w:top w:val="single" w:color="E8DFD2" w:sz="4"/>
              <w:left w:val="none" w:color="auto" w:sz="0"/>
              <w:bottom w:val="single" w:color="E8DFD2" w:sz="4"/>
              <w:right w:val="none" w:color="auto" w:sz="0"/>
            </w:tcBorders>
            <w:shd w:fill="FDF9F1" w:color="auto" w:val="clear"/>
            <w:tcMar>
              <w:top w:type="dxa" w:w="90"/>
              <w:left w:type="dxa" w:w="130"/>
              <w:bottom w:type="dxa" w:w="90"/>
              <w:right w:type="dxa" w:w="130"/>
            </w:tcMar>
            <w:vAlign w:val="center"/>
          </w:tcPr>
          <w:p>
            <w:pPr>
              <w:spacing w:after="0" w:before="0" w:line="260"/>
              <w:jc w:val="left"/>
            </w:pPr>
            <w:r>
              <w:rPr>
                <w:rFonts w:ascii="Inter" w:cs="Inter" w:eastAsia="Inter" w:hAnsi="Inter"/>
                <w:b/>
                <w:bCs/>
                <w:color w:val="A8242E"/>
                <w:sz w:val="19"/>
                <w:szCs w:val="19"/>
                <w:shd w:fill="F5D8DB" w:val="clear"/>
              </w:rPr>
              <w:t xml:space="preserve">[  ]</w:t>
            </w:r>
          </w:p>
        </w:tc>
      </w:tr>
    </w:tbl>
    <w:p>
      <w:pPr>
        <w:keepNext/>
        <w:spacing w:after="140" w:before="320"/>
      </w:pPr>
      <w:r>
        <w:rPr>
          <w:rFonts w:ascii="Playfair Display" w:cs="Playfair Display" w:eastAsia="Playfair Display" w:hAnsi="Playfair Display"/>
          <w:color w:val="1B1612"/>
          <w:sz w:val="22"/>
          <w:szCs w:val="22"/>
        </w:rPr>
        <w:t xml:space="preserve">(b) Undertakings by RECRUITER</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	</w:t>
      </w:r>
      <w:r>
        <w:rPr>
          <w:rFonts w:ascii="Inter" w:cs="Inter" w:eastAsia="Inter" w:hAnsi="Inter"/>
          <w:color w:val="4A4239"/>
          <w:sz w:val="21"/>
          <w:szCs w:val="21"/>
        </w:rPr>
        <w:t xml:space="preserve">RECRUITER has verified the age of the student from the passport or birth certificate and confirms the student meets the minimum age stated in Item 12.</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(II)	</w:t>
      </w:r>
      <w:r>
        <w:rPr>
          <w:rFonts w:ascii="Inter" w:cs="Inter" w:eastAsia="Inter" w:hAnsi="Inter"/>
          <w:color w:val="4A4239"/>
          <w:sz w:val="21"/>
          <w:szCs w:val="21"/>
        </w:rPr>
        <w:t xml:space="preserve">RECRUITER has explained all fees and obligations to the parent or legal guardian, who has confirmed them in writing.</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(III)	</w:t>
      </w:r>
      <w:r>
        <w:rPr>
          <w:rFonts w:ascii="Inter" w:cs="Inter" w:eastAsia="Inter" w:hAnsi="Inter"/>
          <w:color w:val="4A4239"/>
          <w:sz w:val="21"/>
          <w:szCs w:val="21"/>
        </w:rPr>
        <w:t xml:space="preserve">RECRUITER has not communicated with the student other than with the knowledge and consent of the parent or legal guardian.</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(IV)	</w:t>
      </w:r>
      <w:r>
        <w:rPr>
          <w:rFonts w:ascii="Inter" w:cs="Inter" w:eastAsia="Inter" w:hAnsi="Inter"/>
          <w:color w:val="4A4239"/>
          <w:sz w:val="21"/>
          <w:szCs w:val="21"/>
        </w:rPr>
        <w:t xml:space="preserve">RECRUITER’s personnel in contact with the student have been briefed on Premium’s child protection and safeguarding policy.</w:t>
      </w:r>
    </w:p>
    <w:p>
      <w:pPr>
        <w:tabs>
          <w:tab w:val="left" w:pos="576"/>
        </w:tabs>
        <w:spacing w:after="140" w:before="0" w:line="300"/>
        <w:ind w:left="576" w:hanging="576"/>
        <w:jc w:val="both"/>
      </w:pPr>
      <w:r>
        <w:rPr>
          <w:rFonts w:ascii="JetBrains Mono" w:cs="JetBrains Mono" w:eastAsia="JetBrains Mono" w:hAnsi="JetBrains Mono"/>
          <w:color w:val="A8242E"/>
          <w:sz w:val="19"/>
          <w:szCs w:val="19"/>
        </w:rPr>
        <w:t xml:space="preserve">(V)	</w:t>
      </w:r>
      <w:r>
        <w:rPr>
          <w:rFonts w:ascii="Inter" w:cs="Inter" w:eastAsia="Inter" w:hAnsi="Inter"/>
          <w:color w:val="4A4239"/>
          <w:sz w:val="21"/>
          <w:szCs w:val="21"/>
        </w:rPr>
        <w:t xml:space="preserve">RECRUITER will notify Premium within twenty-four (24) hours of any safeguarding concern, allegation or incident.</w:t>
      </w:r>
    </w:p>
    <w:p>
      <w:pPr>
        <w:spacing w:after="200" w:before="0"/>
      </w:pPr>
    </w:p>
    <w:tbl>
      <w:tblPr>
        <w:tblW w:type="dxa" w:w="9360"/>
        <w:tblBorders>
          <w:top w:val="single" w:color="E8DFD2" w:sz="4"/>
          <w:left w:val="none" w:color="auto" w:sz="0"/>
          <w:bottom w:val="single" w:color="E8DFD2" w:sz="4"/>
          <w:right w:val="none" w:color="auto" w:sz="0"/>
          <w:insideH w:val="none" w:color="auto" w:sz="0"/>
          <w:insideV w:val="none" w:color="auto" w:sz="0"/>
        </w:tblBorders>
      </w:tblPr>
      <w:tblGrid>
        <w:gridCol w:w="9360"/>
      </w:tblGrid>
      <w:tr>
        <w:tc>
          <w:tcPr>
            <w:tcW w:type="dxa" w:w="9360"/>
            <w:tcBorders>
              <w:top w:val="single" w:color="E8DFD2" w:sz="4"/>
              <w:left w:val="none" w:color="auto" w:sz="0"/>
              <w:bottom w:val="single" w:color="E8DFD2" w:sz="4"/>
              <w:right w:val="none" w:color="auto" w:sz="0"/>
            </w:tcBorders>
            <w:shd w:fill="F4ECE3" w:color="auto" w:val="clear"/>
            <w:tcMar>
              <w:top w:type="dxa" w:w="90"/>
              <w:left w:type="dxa" w:w="130"/>
              <w:bottom w:type="dxa" w:w="90"/>
              <w:right w:type="dxa" w:w="130"/>
            </w:tcMar>
            <w:vAlign w:val="center"/>
          </w:tcPr>
          <w:p>
            <w:pPr>
              <w:spacing w:after="0" w:before="0" w:line="260"/>
              <w:jc w:val="left"/>
            </w:pPr>
            <w:r>
              <w:rPr>
                <w:rFonts w:ascii="Inter" w:cs="Inter" w:eastAsia="Inter" w:hAnsi="Inter"/>
                <w:color w:val="4A4239"/>
                <w:sz w:val="19"/>
                <w:szCs w:val="19"/>
              </w:rPr>
              <w:t xml:space="preserve">Signed for RECRUITER:  …………………………     Name: </w:t>
            </w:r>
            <w:r>
              <w:rPr>
                <w:rFonts w:ascii="Inter" w:cs="Inter" w:eastAsia="Inter" w:hAnsi="Inter"/>
                <w:b/>
                <w:bCs/>
                <w:color w:val="A8242E"/>
                <w:sz w:val="19"/>
                <w:szCs w:val="19"/>
                <w:shd w:fill="F5D8DB" w:val="clear"/>
              </w:rPr>
              <w:t xml:space="preserve">[                        ]</w:t>
            </w:r>
            <w:r>
              <w:rPr>
                <w:rFonts w:ascii="Inter" w:cs="Inter" w:eastAsia="Inter" w:hAnsi="Inter"/>
                <w:color w:val="4A4239"/>
                <w:sz w:val="19"/>
                <w:szCs w:val="19"/>
              </w:rPr>
              <w:t xml:space="preserve">     Date: ………………</w:t>
            </w:r>
          </w:p>
        </w:tc>
      </w:tr>
    </w:tbl>
    <w:p>
      <w:pPr>
        <w:spacing w:after="360" w:before="0"/>
      </w:pPr>
    </w:p>
    <w:p>
      <w:pPr>
        <w:pBdr>
          <w:bottom w:val="single" w:color="E8DFD2" w:sz="4"/>
        </w:pBdr>
        <w:spacing w:after="100" w:before="120"/>
      </w:pPr>
    </w:p>
    <w:p>
      <w:pPr>
        <w:spacing w:after="0" w:before="0" w:line="300"/>
        <w:jc w:val="center"/>
      </w:pPr>
      <w:r>
        <w:rPr>
          <w:rFonts w:ascii="JetBrains Mono" w:cs="JetBrains Mono" w:eastAsia="JetBrains Mono" w:hAnsi="JetBrains Mono"/>
          <w:color w:val="6E655C"/>
          <w:spacing w:val="40"/>
          <w:sz w:val="16"/>
          <w:szCs w:val="16"/>
        </w:rPr>
        <w:t xml:space="preserve">END OF AGREEMENT</w:t>
      </w:r>
    </w:p>
    <w:sectPr>
      <w:headerReference w:type="default" r:id="rId7"/>
      <w:headerReference w:type="first" r:id="rId8"/>
      <w:footerReference w:type="default" r:id="rId9"/>
      <w:footerReference w:type="first" r:id="rId10"/>
      <w:pgSz w:w="11906" w:h="16838" w:orient="portrait"/>
      <w:pgMar w:top="1440" w:right="1584" w:bottom="1180" w:left="1584" w:header="720" w:footer="620" w:gutter="0"/>
      <w:pgNumType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FD2" w:sz="4"/>
      </w:pBdr>
      <w:tabs>
        <w:tab w:val="right" w:pos="9360"/>
      </w:tabs>
      <w:spacing w:before="160"/>
    </w:pPr>
    <w:r>
      <w:rPr>
        <w:rFonts w:ascii="Inter" w:cs="Inter" w:eastAsia="Inter" w:hAnsi="Inter"/>
        <w:color w:val="A8242E"/>
        <w:spacing w:val="60"/>
        <w:sz w:val="14"/>
        <w:szCs w:val="14"/>
      </w:rPr>
      <w:t xml:space="preserve">STRICTLY PRIVATE &amp; CONFIDENTIAL</w:t>
    </w:r>
    <w:r>
      <w:rPr>
        <w:rFonts w:ascii="Inter" w:cs="Inter" w:eastAsia="Inter" w:hAnsi="Inter"/>
        <w:color w:val="6E655C"/>
        <w:sz w:val="14"/>
        <w:szCs w:val="14"/>
      </w:rPr>
      <w:t xml:space="preserve">	</w:t>
    </w:r>
    <w:r>
      <w:rPr>
        <w:rFonts w:ascii="JetBrains Mono" w:cs="JetBrains Mono" w:eastAsia="JetBrains Mono" w:hAnsi="JetBrains Mono"/>
        <w:color w:val="6E655C"/>
        <w:sz w:val="15"/>
        <w:szCs w:val="15"/>
      </w:rPr>
      <w:t xml:space="preserve">PECSB / SRRA / MASTER — </w:t>
    </w:r>
    <w:r>
      <w:rPr>
        <w:rFonts w:ascii="JetBrains Mono" w:cs="JetBrains Mono" w:eastAsia="JetBrains Mono" w:hAnsi="JetBrains Mono"/>
        <w:color w:val="6E655C"/>
        <w:sz w:val="15"/>
        <w:szCs w:val="15"/>
      </w:rPr>
      <w:fldChar w:fldCharType="begin"/>
      <w:instrText xml:space="preserve">PAGE</w:instrText>
      <w:fldChar w:fldCharType="separate"/>
      <w:fldChar w:fldCharType="end"/>
    </w:r>
    <w:r>
      <w:rPr>
        <w:rFonts w:ascii="JetBrains Mono" w:cs="JetBrains Mono" w:eastAsia="JetBrains Mono" w:hAnsi="JetBrains Mono"/>
        <w:color w:val="6E655C"/>
        <w:sz w:val="15"/>
        <w:szCs w:val="15"/>
      </w:rPr>
      <w:t xml:space="preserve"> / </w:t>
    </w:r>
    <w:r>
      <w:rPr>
        <w:rFonts w:ascii="JetBrains Mono" w:cs="JetBrains Mono" w:eastAsia="JetBrains Mono" w:hAnsi="JetBrains Mono"/>
        <w:color w:val="6E655C"/>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FD2" w:sz="4"/>
      </w:pBdr>
      <w:tabs>
        <w:tab w:val="right" w:pos="9360"/>
      </w:tabs>
      <w:spacing w:after="200"/>
    </w:pPr>
    <w:r>
      <w:rPr>
        <w:rFonts w:ascii="Inter" w:cs="Inter" w:eastAsia="Inter" w:hAnsi="Inter"/>
        <w:b/>
        <w:bCs/>
        <w:color w:val="6E655C"/>
        <w:spacing w:val="70"/>
        <w:sz w:val="14"/>
        <w:szCs w:val="14"/>
      </w:rPr>
      <w:t xml:space="preserve">PREMIUM LANGUAGE CENTRE  ·  PECSB</w:t>
    </w:r>
    <w:r>
      <w:rPr>
        <w:rFonts w:ascii="Inter" w:cs="Inter" w:eastAsia="Inter" w:hAnsi="Inter"/>
        <w:color w:val="6E655C"/>
        <w:spacing w:val="40"/>
        <w:sz w:val="14"/>
        <w:szCs w:val="14"/>
      </w:rPr>
      <w:t xml:space="preserve">	RECRUITMENT AGREEMENT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4A423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Recruitment Representative Agreement — Master Template</dc:title>
  <dc:creator>Premium Entrepreneur Consultant Sdn. Bhd.</dc:creator>
  <cp:lastModifiedBy>Un-named</cp:lastModifiedBy>
  <cp:revision>1</cp:revision>
  <dcterms:created xsi:type="dcterms:W3CDTF">2026-07-19T05:49:00.481Z</dcterms:created>
  <dcterms:modified xsi:type="dcterms:W3CDTF">2026-07-19T05:49:00.482Z</dcterms:modified>
</cp:coreProperties>
</file>

<file path=docProps/custom.xml><?xml version="1.0" encoding="utf-8"?>
<Properties xmlns="http://schemas.openxmlformats.org/officeDocument/2006/custom-properties" xmlns:vt="http://schemas.openxmlformats.org/officeDocument/2006/docPropsVTypes"/>
</file>