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Reflection — Why HTMX?</w:t>
      </w:r>
    </w:p>
    <w:p>
      <w:pPr>
        <w:jc w:val="center"/>
      </w:pPr>
      <w:r>
        <w:rPr>
          <w:i/>
        </w:rPr>
        <w:t>IT 424 · Advanced Web Programming · ShopEase Performance Task</w:t>
      </w:r>
    </w:p>
    <w:p>
      <w:r>
        <w:t>I chose HTMX partial updates for interactions where the user changes only a small portion of the page, such as catalog filters, cart quantities, item removal, management search, and shipping totals. These interactions benefit from server-rendered HTML because the server already owns the filtering, pricing, validation, and stock rules. Returning only the affected partial avoids unnecessary full-page reloads while keeping the presentation layer simple and accessible. I kept full-page rendering for resource navigation such as opening the catalog, viewing a product detail, entering the staff form, opening checkout, and viewing the final order confirmation. This creates a clear boundary between navigation and localized state changes. The loading indicator gives users feedback during HTMX requests, while validation responses preserve submitted values and display errors beside the affected fields. Overall, the approach provides a dynamic storefront without introducing React, Vue, or another JavaScript framework.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