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09F34" w14:textId="77777777" w:rsidR="008C0DCC" w:rsidRDefault="008C0DCC">
      <w:pPr>
        <w:spacing w:after="240"/>
        <w:rPr>
          <w:kern w:val="2"/>
          <w14:ligatures w14:val="standardContextual"/>
        </w:rPr>
      </w:pPr>
      <w:r>
        <w:rPr>
          <w:b/>
          <w:bCs/>
          <w:color w:val="000000"/>
          <w:sz w:val="40"/>
          <w:szCs w:val="40"/>
        </w:rPr>
        <w:t>ASIA-PACIFIC EV SECTOR</w:t>
      </w:r>
    </w:p>
    <w:p w14:paraId="37406586" w14:textId="77777777" w:rsidR="008C0DCC" w:rsidRDefault="008C0DCC">
      <w:pPr>
        <w:spacing w:after="120"/>
        <w:rPr>
          <w:kern w:val="2"/>
          <w14:ligatures w14:val="standardContextual"/>
        </w:rPr>
      </w:pPr>
      <w:r>
        <w:rPr>
          <w:b/>
          <w:bCs/>
          <w:color w:val="000000"/>
          <w:sz w:val="32"/>
          <w:szCs w:val="32"/>
        </w:rPr>
        <w:t>Competitive Intelligence Report</w:t>
      </w:r>
    </w:p>
    <w:p w14:paraId="06B820EE" w14:textId="77777777" w:rsidR="008C0DCC" w:rsidRDefault="008C0DCC">
      <w:pPr>
        <w:spacing w:after="80"/>
        <w:rPr>
          <w:kern w:val="2"/>
          <w14:ligatures w14:val="standardContextual"/>
        </w:rPr>
      </w:pPr>
      <w:r>
        <w:rPr>
          <w:color w:val="000000"/>
          <w:sz w:val="22"/>
          <w:szCs w:val="22"/>
        </w:rPr>
        <w:t>China, Southeast Asia, India, Europe</w:t>
      </w:r>
    </w:p>
    <w:p w14:paraId="3197AE4D" w14:textId="77777777" w:rsidR="008C0DCC" w:rsidRDefault="008C0DCC">
      <w:pPr>
        <w:spacing w:after="400"/>
        <w:rPr>
          <w:kern w:val="2"/>
          <w14:ligatures w14:val="standardContextual"/>
        </w:rPr>
      </w:pPr>
      <w:r>
        <w:rPr>
          <w:i/>
          <w:iCs/>
          <w:color w:val="000000"/>
          <w:sz w:val="16"/>
          <w:szCs w:val="16"/>
        </w:rPr>
        <w:t xml:space="preserve">Prepared by EV Research Division, </w:t>
      </w:r>
      <w:proofErr w:type="spellStart"/>
      <w:r>
        <w:rPr>
          <w:i/>
          <w:iCs/>
          <w:color w:val="000000"/>
          <w:sz w:val="16"/>
          <w:szCs w:val="16"/>
        </w:rPr>
        <w:t>DeccanAI</w:t>
      </w:r>
      <w:proofErr w:type="spellEnd"/>
      <w:r>
        <w:rPr>
          <w:i/>
          <w:iCs/>
          <w:color w:val="000000"/>
          <w:sz w:val="16"/>
          <w:szCs w:val="16"/>
        </w:rPr>
        <w:t xml:space="preserve"> Analytics | Q1 2026 | CONFIDENTIAL</w:t>
      </w:r>
    </w:p>
    <w:p w14:paraId="6CB39663" w14:textId="77777777" w:rsidR="008C0DCC" w:rsidRDefault="008C0DCC">
      <w:pPr>
        <w:spacing w:after="80"/>
        <w:rPr>
          <w:kern w:val="2"/>
          <w14:ligatures w14:val="standardContextual"/>
        </w:rPr>
      </w:pPr>
      <w:r>
        <w:rPr>
          <w:b/>
          <w:bCs/>
          <w:color w:val="000000"/>
        </w:rPr>
        <w:t>DOCUMENT STRUCTURE - 8 Sections and 2 Appendices</w:t>
      </w:r>
    </w:p>
    <w:p w14:paraId="570932AF" w14:textId="77777777" w:rsidR="008C0DCC" w:rsidRDefault="008C0DCC">
      <w:pPr>
        <w:spacing w:after="480"/>
        <w:rPr>
          <w:kern w:val="2"/>
          <w14:ligatures w14:val="standardContextual"/>
        </w:rPr>
      </w:pPr>
      <w:r>
        <w:rPr>
          <w:i/>
          <w:iCs/>
          <w:color w:val="000000"/>
          <w:sz w:val="16"/>
          <w:szCs w:val="16"/>
        </w:rPr>
        <w:t>Section 1: Executive Summary (China Focus) | Section 2: Chinese OEM Competitive Analysis | Section 3: Southeast Asia EV Landscape | Section 4: India EV Market - 2-Wheeler &amp; Infrastructure | Section 5: India EV Passenger Car Market | Section 6: European Regulatory Framework | Appendix A: Research Methodology | Appendix B: Market Sizing Technical Notes</w:t>
      </w:r>
    </w:p>
    <w:p w14:paraId="60840D9E" w14:textId="77777777" w:rsidR="00D272D7" w:rsidRDefault="00000000">
      <w:r>
        <w:br w:type="page"/>
      </w:r>
    </w:p>
    <w:p w14:paraId="43242984" w14:textId="77777777" w:rsidR="008C0DCC" w:rsidRDefault="008C0DCC" w:rsidP="008C0DCC">
      <w:pPr>
        <w:pStyle w:val="Heading1"/>
        <w:rPr>
          <w:color w:val="000000"/>
          <w:kern w:val="36"/>
          <w14:ligatures w14:val="standardContextual"/>
        </w:rPr>
      </w:pPr>
      <w:r>
        <w:rPr>
          <w:color w:val="000000"/>
        </w:rPr>
        <w:lastRenderedPageBreak/>
        <w:t>SECTION 1: EXECUTIVE SUMMARY</w:t>
      </w:r>
    </w:p>
    <w:p w14:paraId="5DABDECF" w14:textId="77777777" w:rsidR="00D272D7" w:rsidRDefault="00000000">
      <w:pPr>
        <w:spacing w:before="80" w:after="80"/>
      </w:pPr>
      <w:r>
        <w:rPr>
          <w:color w:val="000000"/>
        </w:rPr>
        <w:t>The Asia-Pacific electric vehicle market entered a period of accelerated maturation in 2025, driven by China's continued dominance in EV manufacturing and the rapid cost decline of lithium iron phosphate (LFP) battery chemistry. China accounted for approximately 64% of global EV sales by unit volume in calendar year 2025, cementing its position as the primary driver of EV technology and cost curves globally.</w:t>
      </w:r>
    </w:p>
    <w:p w14:paraId="410486BA" w14:textId="77777777" w:rsidR="008C0DCC" w:rsidRDefault="008C0DCC">
      <w:pPr>
        <w:spacing w:before="60" w:after="80"/>
        <w:rPr>
          <w:kern w:val="2"/>
          <w14:ligatures w14:val="standardContextual"/>
        </w:rPr>
      </w:pPr>
      <w:proofErr w:type="spellStart"/>
      <w:r>
        <w:rPr>
          <w:color w:val="000000"/>
        </w:rPr>
        <w:t>ChengAuto</w:t>
      </w:r>
      <w:proofErr w:type="spellEnd"/>
      <w:r>
        <w:rPr>
          <w:color w:val="000000"/>
        </w:rPr>
        <w:t xml:space="preserve"> Group retained the title of the largest Chinese pure-EV OEM's largest EV manufacturer by unit volume, delivering 4.27 million vehicles globally in FY2025 - a 28% year-on-year increase. The company's vertical integration strategy, spanning lithium mining, battery manufacturing, and vehicle assembly, enabled it to achieve a gross margin of 22.3% in its auto segment, outperforming domestic and international peers.</w:t>
      </w:r>
    </w:p>
    <w:p w14:paraId="12EBE8E3" w14:textId="77777777" w:rsidR="00D272D7" w:rsidRDefault="00000000">
      <w:pPr>
        <w:spacing w:before="60" w:after="80"/>
      </w:pPr>
      <w:r>
        <w:rPr>
          <w:color w:val="000000"/>
        </w:rPr>
        <w:t>Southeast Asia emerged as the fastest-growing EV market by penetration growth rate, with Thailand and Vietnam recording EV penetration rates of 8.4% and 6.1% respectively for new passenger car sales in 2025. Indonesia, despite being the region's largest automotive market by volume, lagged at 3.8% due to infrastructure constraints and TKDN local content requirements that restricted foreign OEM entry.</w:t>
      </w:r>
    </w:p>
    <w:p w14:paraId="4A6D6C96" w14:textId="77777777" w:rsidR="008C0DCC" w:rsidRDefault="008C0DCC">
      <w:pPr>
        <w:spacing w:before="60" w:after="80"/>
        <w:rPr>
          <w:kern w:val="2"/>
          <w14:ligatures w14:val="standardContextual"/>
        </w:rPr>
      </w:pPr>
      <w:r>
        <w:rPr>
          <w:color w:val="000000"/>
        </w:rPr>
        <w:t>India's EV passenger car market continued its strong growth trajectory, with total EV passenger car sales reaching approximately 261,000 units in FY2025 - representing 5.8% penetration of the total passenger car market. The 15L-40L premium segment accounted for 47.8% of EV passenger car volume. The market is forecast to reach approximately 375,000 units in FY2027 across all price bands.</w:t>
      </w:r>
    </w:p>
    <w:p w14:paraId="2DC13EEA" w14:textId="77777777" w:rsidR="008C0DCC" w:rsidRDefault="008C0DCC">
      <w:pPr>
        <w:spacing w:before="60" w:after="80"/>
        <w:rPr>
          <w:kern w:val="2"/>
          <w14:ligatures w14:val="standardContextual"/>
        </w:rPr>
      </w:pPr>
      <w:r>
        <w:rPr>
          <w:color w:val="000000"/>
        </w:rPr>
        <w:t>European EV markets faced a temporary growth plateau in H1 2025 as Germany, France and the Netherlands restructured their subsidy frameworks, but recovered sharply in H2 as the revised EU EV mandate - requiring 80% of new car sales to be zero-emission by 2030 - entered its compliance monitoring phase.</w:t>
      </w:r>
    </w:p>
    <w:p w14:paraId="1E3C79B3" w14:textId="77777777" w:rsidR="00D272D7" w:rsidRDefault="00000000">
      <w:r>
        <w:br w:type="page"/>
      </w:r>
    </w:p>
    <w:p w14:paraId="68A89761" w14:textId="77777777" w:rsidR="008C0DCC" w:rsidRDefault="008C0DCC" w:rsidP="008C0DCC">
      <w:pPr>
        <w:pStyle w:val="Heading1"/>
        <w:rPr>
          <w:color w:val="000000"/>
          <w:kern w:val="36"/>
          <w14:ligatures w14:val="standardContextual"/>
        </w:rPr>
      </w:pPr>
      <w:r>
        <w:rPr>
          <w:color w:val="000000"/>
        </w:rPr>
        <w:lastRenderedPageBreak/>
        <w:t>SECTION 2: CHINESE OEM COMPETITIVE ANALYSIS</w:t>
      </w:r>
    </w:p>
    <w:p w14:paraId="0F26D896" w14:textId="77777777" w:rsidR="008C0DCC" w:rsidRDefault="008C0DCC" w:rsidP="008C0DCC">
      <w:pPr>
        <w:pStyle w:val="Heading2"/>
        <w:rPr>
          <w:kern w:val="2"/>
          <w14:ligatures w14:val="standardContextual"/>
        </w:rPr>
      </w:pPr>
      <w:r>
        <w:rPr>
          <w:color w:val="000000"/>
        </w:rPr>
        <w:t xml:space="preserve">2.1 </w:t>
      </w:r>
      <w:proofErr w:type="spellStart"/>
      <w:r>
        <w:rPr>
          <w:color w:val="000000"/>
        </w:rPr>
        <w:t>ChengAuto</w:t>
      </w:r>
      <w:proofErr w:type="spellEnd"/>
      <w:r>
        <w:rPr>
          <w:color w:val="000000"/>
        </w:rPr>
        <w:t xml:space="preserve"> Group - Strategic Position and Financials</w:t>
      </w:r>
    </w:p>
    <w:p w14:paraId="06F41716" w14:textId="77777777" w:rsidR="00D272D7" w:rsidRDefault="00000000">
      <w:pPr>
        <w:spacing w:before="60" w:after="60"/>
      </w:pPr>
      <w:proofErr w:type="spellStart"/>
      <w:r>
        <w:rPr>
          <w:color w:val="000000"/>
        </w:rPr>
        <w:t>ChengAuto</w:t>
      </w:r>
      <w:proofErr w:type="spellEnd"/>
      <w:r>
        <w:rPr>
          <w:color w:val="000000"/>
        </w:rPr>
        <w:t xml:space="preserve"> Group, founded in February 1995 and headquartered in Shenzhen, operates across three principal segments: automobiles (including EVs and PHEVs), mobile handset components and assembly, and rechargeable batteries/photovoltaics. Its automobile division generated revenue of approximately ¥432 billion (USD ~60 billion) in H1 FY2025, an increase of 63% year-on-year, driven primarily by volume growth in the Dynasty and Ocean product families.</w:t>
      </w:r>
    </w:p>
    <w:p w14:paraId="2029A226" w14:textId="77777777" w:rsidR="008C0DCC" w:rsidRDefault="008C0DCC">
      <w:pPr>
        <w:spacing w:before="60" w:after="60"/>
        <w:rPr>
          <w:kern w:val="2"/>
          <w14:ligatures w14:val="standardContextual"/>
        </w:rPr>
      </w:pPr>
      <w:proofErr w:type="spellStart"/>
      <w:r>
        <w:rPr>
          <w:color w:val="000000"/>
        </w:rPr>
        <w:t>ChengAuto's</w:t>
      </w:r>
      <w:proofErr w:type="spellEnd"/>
      <w:r>
        <w:rPr>
          <w:color w:val="000000"/>
        </w:rPr>
        <w:t xml:space="preserve"> cell-to-pack LFP battery architecture - a cell-to-pack LFP design - remains its primary competitive differentiator, offering superior thermal safety and cycle life relative to conventional module-based packs. </w:t>
      </w:r>
      <w:proofErr w:type="gramStart"/>
      <w:r>
        <w:rPr>
          <w:color w:val="000000"/>
        </w:rPr>
        <w:t>The technology</w:t>
      </w:r>
      <w:proofErr w:type="gramEnd"/>
      <w:r>
        <w:rPr>
          <w:color w:val="000000"/>
        </w:rPr>
        <w:t xml:space="preserve"> underpins vehicles from the y79,800 Seagull entry hatchback to the y309,800 Han luxury sedan, enabling a price band coverage unmatched by any single OEM globally.</w:t>
      </w:r>
    </w:p>
    <w:p w14:paraId="0D8CF849" w14:textId="77777777" w:rsidR="008C0DCC" w:rsidRDefault="008C0DCC" w:rsidP="008C0DCC">
      <w:pPr>
        <w:pStyle w:val="Heading2"/>
        <w:rPr>
          <w:color w:val="000000"/>
          <w:kern w:val="2"/>
          <w14:ligatures w14:val="standardContextual"/>
        </w:rPr>
      </w:pPr>
      <w:r>
        <w:rPr>
          <w:color w:val="000000"/>
        </w:rPr>
        <w:t xml:space="preserve">2.2 </w:t>
      </w:r>
      <w:proofErr w:type="spellStart"/>
      <w:r>
        <w:rPr>
          <w:color w:val="000000"/>
        </w:rPr>
        <w:t>ChengAuto</w:t>
      </w:r>
      <w:proofErr w:type="spellEnd"/>
      <w:r>
        <w:rPr>
          <w:color w:val="000000"/>
        </w:rPr>
        <w:t xml:space="preserve"> International Expansion Strategy</w:t>
      </w:r>
    </w:p>
    <w:p w14:paraId="2280F4C7" w14:textId="77777777" w:rsidR="00D272D7" w:rsidRDefault="00000000">
      <w:pPr>
        <w:spacing w:before="60" w:after="60"/>
      </w:pPr>
      <w:proofErr w:type="spellStart"/>
      <w:r>
        <w:rPr>
          <w:color w:val="000000"/>
        </w:rPr>
        <w:t>ChengAuto's</w:t>
      </w:r>
      <w:proofErr w:type="spellEnd"/>
      <w:r>
        <w:rPr>
          <w:color w:val="000000"/>
        </w:rPr>
        <w:t xml:space="preserve"> international strategy entered a new phase in 2025, with manufacturing plants established or under construction in Hungary (targeting EU production), Thailand (targeting ASEAN), Brazil (targeting South America), and Uzbekistan (targeting Central Asia). The company's India market strategy focuses on the premium EV passenger car segment (ATTO 3, Seal) through a distribution-led model pending assessment of local manufacturing feasibility under the PLI scheme.</w:t>
      </w:r>
    </w:p>
    <w:p w14:paraId="483B42F2" w14:textId="77777777" w:rsidR="00D272D7" w:rsidRDefault="00000000">
      <w:pPr>
        <w:spacing w:before="60" w:after="60"/>
      </w:pPr>
      <w:r>
        <w:rPr>
          <w:color w:val="000000"/>
        </w:rPr>
        <w:t xml:space="preserve">In India specifically, </w:t>
      </w:r>
      <w:proofErr w:type="spellStart"/>
      <w:r>
        <w:rPr>
          <w:color w:val="000000"/>
        </w:rPr>
        <w:t>ChengAuto</w:t>
      </w:r>
      <w:proofErr w:type="spellEnd"/>
      <w:r>
        <w:rPr>
          <w:color w:val="000000"/>
        </w:rPr>
        <w:t xml:space="preserve"> achieved sales of approximately 3,500 units in the ₹15L–₹40L band in FY2025, primarily the ATTO 3. The company is evaluating JV options with Indian manufacturing partners for potential local assembly by FY2027. A strategic constraint is India's EV import duty structure (100% CKD to 15% CBU reduction under conditional schemes), which creates cost pressure for imported vehicles in the sub-₹30L range.</w:t>
      </w:r>
    </w:p>
    <w:p w14:paraId="5D3B2DF9" w14:textId="77777777" w:rsidR="008C0DCC" w:rsidRDefault="008C0DCC" w:rsidP="008C0DCC">
      <w:pPr>
        <w:pStyle w:val="Heading2"/>
        <w:rPr>
          <w:kern w:val="2"/>
          <w14:ligatures w14:val="standardContextual"/>
        </w:rPr>
      </w:pPr>
      <w:r>
        <w:rPr>
          <w:color w:val="000000"/>
        </w:rPr>
        <w:t>2.3 Other Key Chinese OEMs - SAIC (MG), Geely, NIO</w:t>
      </w:r>
    </w:p>
    <w:p w14:paraId="7984C4CF" w14:textId="77777777" w:rsidR="00D272D7" w:rsidRDefault="00000000">
      <w:pPr>
        <w:spacing w:before="60" w:after="60"/>
      </w:pPr>
      <w:r>
        <w:rPr>
          <w:color w:val="000000"/>
        </w:rPr>
        <w:t xml:space="preserve">SAIC-owned MG Motor operates the largest Chinese OEM footprint in India outside </w:t>
      </w:r>
      <w:proofErr w:type="spellStart"/>
      <w:r>
        <w:rPr>
          <w:color w:val="000000"/>
        </w:rPr>
        <w:t>ChengAuto</w:t>
      </w:r>
      <w:proofErr w:type="spellEnd"/>
      <w:r>
        <w:rPr>
          <w:color w:val="000000"/>
        </w:rPr>
        <w:t xml:space="preserve">, with the ZS EV and Windsor models holding approximately 12% share of the ₹15L–₹40L EV segment. MG benefits from established dealership infrastructure (450+ outlets) and </w:t>
      </w:r>
      <w:proofErr w:type="gramStart"/>
      <w:r>
        <w:rPr>
          <w:color w:val="000000"/>
        </w:rPr>
        <w:t>a price-</w:t>
      </w:r>
      <w:proofErr w:type="gramEnd"/>
      <w:r>
        <w:rPr>
          <w:color w:val="000000"/>
        </w:rPr>
        <w:t>competitive positioning enabled by SAIC's battery supply chain. Geely Group has not yet entered the Indian passenger car market directly but is evaluating entry via its Volvo and Lotus brands at the luxury tier.</w:t>
      </w:r>
    </w:p>
    <w:p w14:paraId="757F3893" w14:textId="77777777" w:rsidR="00D272D7" w:rsidRDefault="00000000">
      <w:pPr>
        <w:spacing w:before="60" w:after="60"/>
      </w:pPr>
      <w:r>
        <w:rPr>
          <w:color w:val="000000"/>
        </w:rPr>
        <w:t xml:space="preserve">NIO and Li Auto have limited presence in India to date, focusing international expansion primarily on European markets where their premium positioning is more directly competitive. Both companies face identical import duty headwinds to </w:t>
      </w:r>
      <w:proofErr w:type="spellStart"/>
      <w:r>
        <w:rPr>
          <w:color w:val="000000"/>
        </w:rPr>
        <w:t>ChengAuto</w:t>
      </w:r>
      <w:proofErr w:type="spellEnd"/>
      <w:r>
        <w:rPr>
          <w:color w:val="000000"/>
        </w:rPr>
        <w:t xml:space="preserve"> and are unlikely to enter the Indian passenger car market below ₹40L before FY2028.</w:t>
      </w:r>
    </w:p>
    <w:p w14:paraId="2CAA5784" w14:textId="77777777" w:rsidR="00D272D7" w:rsidRDefault="00000000">
      <w:r>
        <w:br w:type="page"/>
      </w:r>
    </w:p>
    <w:p w14:paraId="0CE02454" w14:textId="77777777" w:rsidR="008C0DCC" w:rsidRDefault="008C0DCC" w:rsidP="008C0DCC">
      <w:pPr>
        <w:pStyle w:val="Heading1"/>
        <w:rPr>
          <w:color w:val="000000"/>
          <w:kern w:val="36"/>
          <w14:ligatures w14:val="standardContextual"/>
        </w:rPr>
      </w:pPr>
      <w:r>
        <w:rPr>
          <w:color w:val="000000"/>
        </w:rPr>
        <w:lastRenderedPageBreak/>
        <w:t>SECTION 3: SOUTHEAST ASIA EV LANDSCAPE</w:t>
      </w:r>
    </w:p>
    <w:p w14:paraId="6A8860D3" w14:textId="77777777" w:rsidR="008C0DCC" w:rsidRDefault="008C0DCC" w:rsidP="008C0DCC">
      <w:pPr>
        <w:pStyle w:val="Heading2"/>
        <w:rPr>
          <w:color w:val="000000"/>
          <w:kern w:val="2"/>
          <w14:ligatures w14:val="standardContextual"/>
        </w:rPr>
      </w:pPr>
      <w:r>
        <w:rPr>
          <w:color w:val="000000"/>
        </w:rPr>
        <w:t>3.1 Thailand</w:t>
      </w:r>
    </w:p>
    <w:p w14:paraId="520D04CE" w14:textId="77777777" w:rsidR="008C0DCC" w:rsidRDefault="008C0DCC">
      <w:pPr>
        <w:spacing w:before="60" w:after="60"/>
      </w:pPr>
      <w:r>
        <w:rPr>
          <w:color w:val="000000"/>
        </w:rPr>
        <w:t xml:space="preserve">Thailand's EV passenger car market reached 8.4% penetration in 2025, driven by the government's '30@30' policy target (30% of vehicles to be zero-emission by 2030) and aggressive pricing by Chinese OEMs including </w:t>
      </w:r>
      <w:proofErr w:type="spellStart"/>
      <w:r>
        <w:rPr>
          <w:color w:val="000000"/>
        </w:rPr>
        <w:t>ChengAuto</w:t>
      </w:r>
      <w:proofErr w:type="spellEnd"/>
      <w:r>
        <w:rPr>
          <w:color w:val="000000"/>
        </w:rPr>
        <w:t>, SAIC-MG, and Great Wall Motor's ORA brand. The Thai market is particularly relevant as a proxy for Chinese OEM international expansion strategies, given the established Chinese manufacturing presence at the Eastern Economic Corridor.</w:t>
      </w:r>
    </w:p>
    <w:p w14:paraId="24352D98" w14:textId="77777777" w:rsidR="00D272D7" w:rsidRDefault="00000000">
      <w:pPr>
        <w:spacing w:before="60" w:after="60"/>
      </w:pPr>
      <w:r>
        <w:rPr>
          <w:color w:val="000000"/>
        </w:rPr>
        <w:t xml:space="preserve">Total EV passenger car sales in Thailand reached approximately 91,000 units in 2025, up from 47,000 in 2024. </w:t>
      </w:r>
      <w:proofErr w:type="spellStart"/>
      <w:r>
        <w:rPr>
          <w:color w:val="000000"/>
        </w:rPr>
        <w:t>ChengAuto</w:t>
      </w:r>
      <w:proofErr w:type="spellEnd"/>
      <w:r>
        <w:rPr>
          <w:color w:val="000000"/>
        </w:rPr>
        <w:t xml:space="preserve"> held a leading 34% market share. The segment dynamics are dominated by the THB 700,000–1.5M price band (approximately ₹16L–₹34L at prevailing rates), directly comparable to India's ₹15L–₹40L target segment. However, Thailand's total passenger car market is approximately 900,000 units — materially smaller than India's — limiting direct comparability.</w:t>
      </w:r>
    </w:p>
    <w:p w14:paraId="3B8B91D8" w14:textId="77777777" w:rsidR="008C0DCC" w:rsidRDefault="008C0DCC" w:rsidP="008C0DCC">
      <w:pPr>
        <w:pStyle w:val="Heading2"/>
        <w:rPr>
          <w:color w:val="000000"/>
          <w:kern w:val="2"/>
          <w14:ligatures w14:val="standardContextual"/>
        </w:rPr>
      </w:pPr>
      <w:r>
        <w:rPr>
          <w:color w:val="000000"/>
        </w:rPr>
        <w:t>3.2 Vietnam</w:t>
      </w:r>
    </w:p>
    <w:p w14:paraId="0150809D" w14:textId="77777777" w:rsidR="00D272D7" w:rsidRDefault="00000000">
      <w:pPr>
        <w:spacing w:before="60" w:after="60"/>
      </w:pPr>
      <w:r>
        <w:rPr>
          <w:color w:val="000000"/>
        </w:rPr>
        <w:t>Vietnam's EV market is dominated by VinFast, the domestic OEM owned by Vingroup, which holds approximately 78% of domestic EV sales. VinFast's aggressive pricing (VND 458M–699M, approximately ₹15L–₹23L) has compressed the market for foreign entrants. Total EV passenger car sales in Vietnam reached approximately 68,000 units in 2025.</w:t>
      </w:r>
    </w:p>
    <w:p w14:paraId="4D2EEC29" w14:textId="77777777" w:rsidR="008C0DCC" w:rsidRDefault="008C0DCC" w:rsidP="008C0DCC">
      <w:pPr>
        <w:pStyle w:val="Heading2"/>
        <w:rPr>
          <w:color w:val="000000"/>
          <w:kern w:val="2"/>
          <w14:ligatures w14:val="standardContextual"/>
        </w:rPr>
      </w:pPr>
      <w:r>
        <w:rPr>
          <w:color w:val="000000"/>
        </w:rPr>
        <w:t>3.3 Indonesia</w:t>
      </w:r>
    </w:p>
    <w:p w14:paraId="4B9D67AA" w14:textId="77777777" w:rsidR="00D272D7" w:rsidRDefault="00000000">
      <w:pPr>
        <w:spacing w:before="60" w:after="60"/>
      </w:pPr>
      <w:r>
        <w:rPr>
          <w:color w:val="000000"/>
        </w:rPr>
        <w:t xml:space="preserve">Indonesia's EV market faces the most significant structural headwind in ASEAN in the form of TKDN (Tingkat </w:t>
      </w:r>
      <w:proofErr w:type="spellStart"/>
      <w:r>
        <w:rPr>
          <w:color w:val="000000"/>
        </w:rPr>
        <w:t>Komponen</w:t>
      </w:r>
      <w:proofErr w:type="spellEnd"/>
      <w:r>
        <w:rPr>
          <w:color w:val="000000"/>
        </w:rPr>
        <w:t xml:space="preserve"> </w:t>
      </w:r>
      <w:proofErr w:type="spellStart"/>
      <w:r>
        <w:rPr>
          <w:color w:val="000000"/>
        </w:rPr>
        <w:t>Dalam</w:t>
      </w:r>
      <w:proofErr w:type="spellEnd"/>
      <w:r>
        <w:rPr>
          <w:color w:val="000000"/>
        </w:rPr>
        <w:t xml:space="preserve"> Negeri) local content requirements. Under current regulations, EVs must incorporate a minimum 40% domestic content by value to qualify for the government purchase incentive </w:t>
      </w:r>
      <w:proofErr w:type="spellStart"/>
      <w:r>
        <w:rPr>
          <w:color w:val="000000"/>
        </w:rPr>
        <w:t>programme</w:t>
      </w:r>
      <w:proofErr w:type="spellEnd"/>
      <w:r>
        <w:rPr>
          <w:color w:val="000000"/>
        </w:rPr>
        <w:t xml:space="preserve">. This effectively requires OEMs to establish local manufacturing or battery assembly partnerships before accessing the </w:t>
      </w:r>
      <w:proofErr w:type="spellStart"/>
      <w:proofErr w:type="gramStart"/>
      <w:r>
        <w:rPr>
          <w:color w:val="000000"/>
        </w:rPr>
        <w:t>incentivised</w:t>
      </w:r>
      <w:proofErr w:type="spellEnd"/>
      <w:r>
        <w:rPr>
          <w:color w:val="000000"/>
        </w:rPr>
        <w:t xml:space="preserve"> market</w:t>
      </w:r>
      <w:proofErr w:type="gramEnd"/>
      <w:r>
        <w:rPr>
          <w:color w:val="000000"/>
        </w:rPr>
        <w:t>.</w:t>
      </w:r>
    </w:p>
    <w:p w14:paraId="709EB950" w14:textId="77777777" w:rsidR="00D272D7" w:rsidRDefault="00000000">
      <w:pPr>
        <w:spacing w:before="60" w:after="60"/>
      </w:pPr>
      <w:r>
        <w:rPr>
          <w:color w:val="000000"/>
        </w:rPr>
        <w:t xml:space="preserve">Total EV passenger car sales in Indonesia reached approximately 42,000 units in 2025, with penetration of 3.8%. Wuling Air EV remained the dominant model in volume terms. The government's EV incentive </w:t>
      </w:r>
      <w:proofErr w:type="spellStart"/>
      <w:r>
        <w:rPr>
          <w:color w:val="000000"/>
        </w:rPr>
        <w:t>programme</w:t>
      </w:r>
      <w:proofErr w:type="spellEnd"/>
      <w:r>
        <w:rPr>
          <w:color w:val="000000"/>
        </w:rPr>
        <w:t xml:space="preserve"> (removal of luxury goods tax for qualifying EVs) is contingent on TKDN compliance, creating a bifurcated market between </w:t>
      </w:r>
      <w:proofErr w:type="spellStart"/>
      <w:r>
        <w:rPr>
          <w:color w:val="000000"/>
        </w:rPr>
        <w:t>incentivised</w:t>
      </w:r>
      <w:proofErr w:type="spellEnd"/>
      <w:r>
        <w:rPr>
          <w:color w:val="000000"/>
        </w:rPr>
        <w:t xml:space="preserve"> local-content-compliant EVs and non-</w:t>
      </w:r>
      <w:proofErr w:type="spellStart"/>
      <w:r>
        <w:rPr>
          <w:color w:val="000000"/>
        </w:rPr>
        <w:t>incentivised</w:t>
      </w:r>
      <w:proofErr w:type="spellEnd"/>
      <w:r>
        <w:rPr>
          <w:color w:val="000000"/>
        </w:rPr>
        <w:t xml:space="preserve"> imports.</w:t>
      </w:r>
    </w:p>
    <w:p w14:paraId="14381E69" w14:textId="77777777" w:rsidR="00D272D7" w:rsidRDefault="00000000">
      <w:r>
        <w:br w:type="page"/>
      </w:r>
    </w:p>
    <w:p w14:paraId="71FAD968" w14:textId="77777777" w:rsidR="008C0DCC" w:rsidRDefault="008C0DCC" w:rsidP="008C0DCC">
      <w:pPr>
        <w:pStyle w:val="Heading1"/>
        <w:rPr>
          <w:kern w:val="36"/>
          <w14:ligatures w14:val="standardContextual"/>
        </w:rPr>
      </w:pPr>
      <w:r>
        <w:rPr>
          <w:color w:val="000000"/>
        </w:rPr>
        <w:lastRenderedPageBreak/>
        <w:t>SECTION 4: INDIA EV MARKET - 2-WHEELER &amp; INFRASTRUCTURE</w:t>
      </w:r>
    </w:p>
    <w:p w14:paraId="7E87FDDA" w14:textId="77777777" w:rsidR="008C0DCC" w:rsidRDefault="008C0DCC">
      <w:pPr>
        <w:spacing w:before="60" w:after="60"/>
        <w:rPr>
          <w:kern w:val="2"/>
          <w14:ligatures w14:val="standardContextual"/>
        </w:rPr>
      </w:pPr>
      <w:r>
        <w:rPr>
          <w:b/>
          <w:bCs/>
          <w:color w:val="000000"/>
          <w:sz w:val="17"/>
          <w:szCs w:val="17"/>
        </w:rPr>
        <w:t>SCOPE NOTE: This section covers the India EV 2-wheeler market and charging infrastructure. It does NOT cover the EV passenger car market</w:t>
      </w:r>
      <w:proofErr w:type="gramStart"/>
      <w:r>
        <w:rPr>
          <w:b/>
          <w:bCs/>
          <w:color w:val="000000"/>
          <w:sz w:val="17"/>
          <w:szCs w:val="17"/>
        </w:rPr>
        <w:t xml:space="preserve"> relevant</w:t>
      </w:r>
      <w:proofErr w:type="gramEnd"/>
      <w:r>
        <w:rPr>
          <w:b/>
          <w:bCs/>
          <w:color w:val="000000"/>
          <w:sz w:val="17"/>
          <w:szCs w:val="17"/>
        </w:rPr>
        <w:t xml:space="preserve"> to JV investment analysis. For passenger car data, refer to Section 5.</w:t>
      </w:r>
    </w:p>
    <w:p w14:paraId="55841059" w14:textId="77777777" w:rsidR="008C0DCC" w:rsidRDefault="008C0DCC" w:rsidP="008C0DCC">
      <w:pPr>
        <w:pStyle w:val="Heading2"/>
        <w:rPr>
          <w:color w:val="000000"/>
          <w:kern w:val="2"/>
          <w14:ligatures w14:val="standardContextual"/>
        </w:rPr>
      </w:pPr>
      <w:r>
        <w:rPr>
          <w:color w:val="000000"/>
        </w:rPr>
        <w:t>4.1 India EV 2-Wheeler Market</w:t>
      </w:r>
    </w:p>
    <w:p w14:paraId="330863D6" w14:textId="77777777" w:rsidR="00D272D7" w:rsidRDefault="00000000">
      <w:pPr>
        <w:spacing w:before="60" w:after="60"/>
      </w:pPr>
      <w:r>
        <w:rPr>
          <w:color w:val="000000"/>
        </w:rPr>
        <w:t xml:space="preserve">India's EV 2-wheeler market surpassed 4.2 million units in FY2025, making it the second largest EV two-wheeler market globally after China. Ola Electric retained market leadership with approximately 25% share, followed by TVS </w:t>
      </w:r>
      <w:proofErr w:type="spellStart"/>
      <w:r>
        <w:rPr>
          <w:color w:val="000000"/>
        </w:rPr>
        <w:t>iQube</w:t>
      </w:r>
      <w:proofErr w:type="spellEnd"/>
      <w:r>
        <w:rPr>
          <w:color w:val="000000"/>
        </w:rPr>
        <w:t xml:space="preserve"> (15%), Bajaj Chetak (10%), and Ather Energy (8%). The market is characterized by intense price competition in the ₹80,000–₹1.4L segment, which accounts for approximately 74% of volume.</w:t>
      </w:r>
    </w:p>
    <w:p w14:paraId="63EADA7D" w14:textId="77777777" w:rsidR="00D272D7" w:rsidRDefault="00000000">
      <w:pPr>
        <w:spacing w:before="60" w:after="60"/>
      </w:pPr>
      <w:r>
        <w:rPr>
          <w:color w:val="000000"/>
        </w:rPr>
        <w:t>Battery technology in the 2-wheeler segment is transitioning from 48V lithium-manganese to 60V LFP chemistry, driven by cost reductions and improved thermal safety. The government's PM E-Drive scheme provides a ₹10,000 per unit subsidy for 2-wheelers with battery capacity above 2 kWh, supporting volume growth in the mid-range segment.</w:t>
      </w:r>
    </w:p>
    <w:p w14:paraId="6AAF0B08" w14:textId="77777777" w:rsidR="008C0DCC" w:rsidRDefault="008C0DCC" w:rsidP="008C0DCC">
      <w:pPr>
        <w:pStyle w:val="Heading2"/>
        <w:rPr>
          <w:kern w:val="2"/>
          <w14:ligatures w14:val="standardContextual"/>
        </w:rPr>
      </w:pPr>
      <w:r>
        <w:rPr>
          <w:color w:val="000000"/>
        </w:rPr>
        <w:t>4.2 Charging Infrastructure - India Overview</w:t>
      </w:r>
    </w:p>
    <w:p w14:paraId="22FEC8AC" w14:textId="77777777" w:rsidR="00D272D7" w:rsidRDefault="00000000">
      <w:pPr>
        <w:spacing w:before="60" w:after="60"/>
      </w:pPr>
      <w:r>
        <w:rPr>
          <w:color w:val="000000"/>
        </w:rPr>
        <w:t xml:space="preserve">India's public EV charging infrastructure reached approximately 12,400 DC fast chargers and 48,000 AC slow chargers as of December 2025. This represents a 2.8x increase from FY2023 levels, driven by the FAME-II scheme's charging infrastructure component and private sector investment by Tata Power, EESL, and </w:t>
      </w:r>
      <w:proofErr w:type="spellStart"/>
      <w:r>
        <w:rPr>
          <w:color w:val="000000"/>
        </w:rPr>
        <w:t>ChargeZone</w:t>
      </w:r>
      <w:proofErr w:type="spellEnd"/>
      <w:r>
        <w:rPr>
          <w:color w:val="000000"/>
        </w:rPr>
        <w:t>.</w:t>
      </w:r>
    </w:p>
    <w:p w14:paraId="23653A9D" w14:textId="77777777" w:rsidR="00D272D7" w:rsidRDefault="00000000">
      <w:pPr>
        <w:spacing w:before="60" w:after="60"/>
      </w:pPr>
      <w:r>
        <w:rPr>
          <w:color w:val="000000"/>
        </w:rPr>
        <w:t>Despite this growth, infrastructure density remains a constraint for EV adoption beyond metro cities. The average inter-charger distance in Tier-2 cities is approximately 34 km, compared to 8 km in the top 6 metros. This asymmetry disproportionately impacts the range-constrained 2-wheeler segment versus the longer-range passenger car segment.</w:t>
      </w:r>
    </w:p>
    <w:p w14:paraId="7D86617D" w14:textId="77777777" w:rsidR="00D272D7" w:rsidRDefault="00000000">
      <w:r>
        <w:br w:type="page"/>
      </w:r>
    </w:p>
    <w:p w14:paraId="737D6D14" w14:textId="77777777" w:rsidR="008C0DCC" w:rsidRDefault="008C0DCC" w:rsidP="008C0DCC">
      <w:pPr>
        <w:pStyle w:val="Heading1"/>
        <w:rPr>
          <w:kern w:val="36"/>
          <w14:ligatures w14:val="standardContextual"/>
        </w:rPr>
      </w:pPr>
      <w:r>
        <w:rPr>
          <w:color w:val="000000"/>
        </w:rPr>
        <w:lastRenderedPageBreak/>
        <w:t>SECTION 5: INDIA EV PASSENGER CAR MARKET - ₹15L-₹40L SEGMENT</w:t>
      </w:r>
    </w:p>
    <w:p w14:paraId="210AF31B" w14:textId="77777777" w:rsidR="008C0DCC" w:rsidRDefault="008C0DCC" w:rsidP="008C0DCC">
      <w:pPr>
        <w:pStyle w:val="Heading2"/>
        <w:rPr>
          <w:color w:val="000000"/>
          <w:kern w:val="2"/>
          <w14:ligatures w14:val="standardContextual"/>
        </w:rPr>
      </w:pPr>
      <w:r>
        <w:rPr>
          <w:color w:val="000000"/>
        </w:rPr>
        <w:t>5.1 Market Overview and Sizing</w:t>
      </w:r>
    </w:p>
    <w:p w14:paraId="13DA3B26" w14:textId="77777777" w:rsidR="008C0DCC" w:rsidRDefault="008C0DCC">
      <w:pPr>
        <w:spacing w:before="60" w:after="60"/>
        <w:rPr>
          <w:kern w:val="2"/>
          <w14:ligatures w14:val="standardContextual"/>
        </w:rPr>
      </w:pPr>
      <w:r>
        <w:rPr>
          <w:color w:val="000000"/>
        </w:rPr>
        <w:t>The India EV passenger car market in the ₹15L-₹40L price band represents the strategically critical segment for new entrants - it combines sufficient volume scale with the margin structure needed to support technology investment. Total EV passenger car sales across all price bands reached approximately 261,000 units in FY2025 (5.8% penetration). The ₹15L-₹40L segment accounted for approximately 47.8% of this volume (~124,800 units).</w:t>
      </w:r>
    </w:p>
    <w:p w14:paraId="15407D11" w14:textId="77777777" w:rsidR="008C0DCC" w:rsidRDefault="008C0DCC">
      <w:pPr>
        <w:spacing w:before="60" w:after="60"/>
        <w:rPr>
          <w:kern w:val="2"/>
          <w14:ligatures w14:val="standardContextual"/>
        </w:rPr>
      </w:pPr>
      <w:r>
        <w:rPr>
          <w:color w:val="000000"/>
        </w:rPr>
        <w:t xml:space="preserve">Our base case forecast projects ₹15L-₹40L EV passenger car sales reaching 200,000 units in FY2027, at a weighted average ASP of ₹24 lakhs, yielding a total segment revenue of ₹48,000 Cr. This figure represents the total market demand, inclusive of all end-user types. A detailed breakdown of purchase channels - including commercial fleet operators - is provided in the accompanying market data file (India_EV_Passenger_Market_FY27.xlsx, </w:t>
      </w:r>
      <w:proofErr w:type="spellStart"/>
      <w:r>
        <w:rPr>
          <w:color w:val="000000"/>
        </w:rPr>
        <w:t>Vehicle_Category_Mix</w:t>
      </w:r>
      <w:proofErr w:type="spellEnd"/>
      <w:r>
        <w:rPr>
          <w:color w:val="000000"/>
        </w:rPr>
        <w:t xml:space="preserve"> tab, Section I).</w:t>
      </w:r>
    </w:p>
    <w:p w14:paraId="18DA442C" w14:textId="77777777" w:rsidR="008C0DCC" w:rsidRDefault="008C0DCC" w:rsidP="008C0DCC">
      <w:pPr>
        <w:pStyle w:val="Heading2"/>
        <w:rPr>
          <w:kern w:val="2"/>
          <w14:ligatures w14:val="standardContextual"/>
        </w:rPr>
      </w:pPr>
      <w:r>
        <w:rPr>
          <w:color w:val="000000"/>
        </w:rPr>
        <w:t>5.2 Competitive Landscape - Key OEMs</w:t>
      </w:r>
    </w:p>
    <w:tbl>
      <w:tblPr>
        <w:tblW w:w="9560" w:type="dxa"/>
        <w:tblCellSpacing w:w="15" w:type="dxa"/>
        <w:tblCellMar>
          <w:top w:w="15" w:type="dxa"/>
          <w:left w:w="15" w:type="dxa"/>
          <w:bottom w:w="15" w:type="dxa"/>
          <w:right w:w="15" w:type="dxa"/>
        </w:tblCellMar>
        <w:tblLook w:val="04A0" w:firstRow="1" w:lastRow="0" w:firstColumn="1" w:lastColumn="0" w:noHBand="0" w:noVBand="1"/>
      </w:tblPr>
      <w:tblGrid>
        <w:gridCol w:w="2203"/>
        <w:gridCol w:w="1601"/>
        <w:gridCol w:w="1792"/>
        <w:gridCol w:w="1792"/>
        <w:gridCol w:w="2172"/>
      </w:tblGrid>
      <w:tr w:rsidR="008C0DCC" w14:paraId="7F887814" w14:textId="77777777">
        <w:trPr>
          <w:tblCellSpacing w:w="15" w:type="dxa"/>
        </w:trPr>
        <w:tc>
          <w:tcPr>
            <w:tcW w:w="2200" w:type="dxa"/>
            <w:tcBorders>
              <w:top w:val="single" w:sz="8" w:space="0" w:color="CCCCCC"/>
              <w:left w:val="single" w:sz="8" w:space="0" w:color="CCCCCC"/>
              <w:bottom w:val="single" w:sz="8" w:space="0" w:color="CCCCCC"/>
              <w:right w:val="single" w:sz="8" w:space="0" w:color="CCCCCC"/>
            </w:tcBorders>
            <w:shd w:val="clear" w:color="auto" w:fill="1F3864"/>
            <w:tcMar>
              <w:top w:w="60" w:type="dxa"/>
              <w:left w:w="120" w:type="dxa"/>
              <w:bottom w:w="60" w:type="dxa"/>
              <w:right w:w="120" w:type="dxa"/>
            </w:tcMar>
            <w:vAlign w:val="center"/>
            <w:hideMark/>
          </w:tcPr>
          <w:p w14:paraId="4A6FB789" w14:textId="77777777" w:rsidR="008C0DCC" w:rsidRDefault="008C0DCC">
            <w:pPr>
              <w:rPr>
                <w:kern w:val="2"/>
                <w14:ligatures w14:val="standardContextual"/>
              </w:rPr>
            </w:pPr>
            <w:r>
              <w:rPr>
                <w:b/>
                <w:bCs/>
                <w:color w:val="000000"/>
              </w:rPr>
              <w:t>OEM</w:t>
            </w:r>
          </w:p>
        </w:tc>
        <w:tc>
          <w:tcPr>
            <w:tcW w:w="1600" w:type="dxa"/>
            <w:tcBorders>
              <w:top w:val="single" w:sz="8" w:space="0" w:color="CCCCCC"/>
              <w:left w:val="nil"/>
              <w:bottom w:val="single" w:sz="8" w:space="0" w:color="CCCCCC"/>
              <w:right w:val="single" w:sz="8" w:space="0" w:color="CCCCCC"/>
            </w:tcBorders>
            <w:shd w:val="clear" w:color="auto" w:fill="1F3864"/>
            <w:tcMar>
              <w:top w:w="60" w:type="dxa"/>
              <w:left w:w="120" w:type="dxa"/>
              <w:bottom w:w="60" w:type="dxa"/>
              <w:right w:w="120" w:type="dxa"/>
            </w:tcMar>
            <w:vAlign w:val="center"/>
            <w:hideMark/>
          </w:tcPr>
          <w:p w14:paraId="3AE0ED78" w14:textId="77777777" w:rsidR="008C0DCC" w:rsidRDefault="008C0DCC">
            <w:r>
              <w:rPr>
                <w:b/>
                <w:bCs/>
                <w:color w:val="000000"/>
              </w:rPr>
              <w:t>Key Models</w:t>
            </w:r>
          </w:p>
        </w:tc>
        <w:tc>
          <w:tcPr>
            <w:tcW w:w="1800" w:type="dxa"/>
            <w:tcBorders>
              <w:top w:val="single" w:sz="8" w:space="0" w:color="CCCCCC"/>
              <w:left w:val="nil"/>
              <w:bottom w:val="single" w:sz="8" w:space="0" w:color="CCCCCC"/>
              <w:right w:val="single" w:sz="8" w:space="0" w:color="CCCCCC"/>
            </w:tcBorders>
            <w:shd w:val="clear" w:color="auto" w:fill="1F3864"/>
            <w:tcMar>
              <w:top w:w="60" w:type="dxa"/>
              <w:left w:w="120" w:type="dxa"/>
              <w:bottom w:w="60" w:type="dxa"/>
              <w:right w:w="120" w:type="dxa"/>
            </w:tcMar>
            <w:vAlign w:val="center"/>
            <w:hideMark/>
          </w:tcPr>
          <w:p w14:paraId="6202E13E" w14:textId="77777777" w:rsidR="008C0DCC" w:rsidRDefault="008C0DCC">
            <w:r>
              <w:rPr>
                <w:b/>
                <w:bCs/>
                <w:color w:val="000000"/>
              </w:rPr>
              <w:t>FY25 Units</w:t>
            </w:r>
          </w:p>
        </w:tc>
        <w:tc>
          <w:tcPr>
            <w:tcW w:w="1800" w:type="dxa"/>
            <w:tcBorders>
              <w:top w:val="single" w:sz="8" w:space="0" w:color="CCCCCC"/>
              <w:left w:val="nil"/>
              <w:bottom w:val="single" w:sz="8" w:space="0" w:color="CCCCCC"/>
              <w:right w:val="single" w:sz="8" w:space="0" w:color="CCCCCC"/>
            </w:tcBorders>
            <w:shd w:val="clear" w:color="auto" w:fill="1F3864"/>
            <w:tcMar>
              <w:top w:w="60" w:type="dxa"/>
              <w:left w:w="120" w:type="dxa"/>
              <w:bottom w:w="60" w:type="dxa"/>
              <w:right w:w="120" w:type="dxa"/>
            </w:tcMar>
            <w:vAlign w:val="center"/>
            <w:hideMark/>
          </w:tcPr>
          <w:p w14:paraId="238800C2" w14:textId="77777777" w:rsidR="008C0DCC" w:rsidRDefault="008C0DCC">
            <w:r>
              <w:rPr>
                <w:b/>
                <w:bCs/>
                <w:color w:val="000000"/>
              </w:rPr>
              <w:t>FY27E Units</w:t>
            </w:r>
          </w:p>
        </w:tc>
        <w:tc>
          <w:tcPr>
            <w:tcW w:w="2160" w:type="dxa"/>
            <w:tcBorders>
              <w:top w:val="single" w:sz="8" w:space="0" w:color="CCCCCC"/>
              <w:left w:val="nil"/>
              <w:bottom w:val="single" w:sz="8" w:space="0" w:color="CCCCCC"/>
              <w:right w:val="single" w:sz="8" w:space="0" w:color="CCCCCC"/>
            </w:tcBorders>
            <w:shd w:val="clear" w:color="auto" w:fill="1F3864"/>
            <w:tcMar>
              <w:top w:w="60" w:type="dxa"/>
              <w:left w:w="120" w:type="dxa"/>
              <w:bottom w:w="60" w:type="dxa"/>
              <w:right w:w="120" w:type="dxa"/>
            </w:tcMar>
            <w:vAlign w:val="center"/>
            <w:hideMark/>
          </w:tcPr>
          <w:p w14:paraId="3391E845" w14:textId="77777777" w:rsidR="008C0DCC" w:rsidRDefault="008C0DCC">
            <w:r>
              <w:rPr>
                <w:b/>
                <w:bCs/>
                <w:color w:val="000000"/>
              </w:rPr>
              <w:t>Strategic Differentiator</w:t>
            </w:r>
          </w:p>
        </w:tc>
      </w:tr>
      <w:tr w:rsidR="008C0DCC" w14:paraId="6FA7EC92" w14:textId="77777777">
        <w:trPr>
          <w:tblCellSpacing w:w="15" w:type="dxa"/>
        </w:trPr>
        <w:tc>
          <w:tcPr>
            <w:tcW w:w="2200" w:type="dxa"/>
            <w:tcBorders>
              <w:top w:val="nil"/>
              <w:left w:val="single" w:sz="8" w:space="0" w:color="CCCCCC"/>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31738F60" w14:textId="77777777" w:rsidR="008C0DCC" w:rsidRDefault="008C0DCC">
            <w:r>
              <w:rPr>
                <w:color w:val="000000"/>
              </w:rPr>
              <w:t>Tata Motors</w:t>
            </w:r>
          </w:p>
        </w:tc>
        <w:tc>
          <w:tcPr>
            <w:tcW w:w="160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3950364F" w14:textId="77777777" w:rsidR="008C0DCC" w:rsidRDefault="008C0DCC">
            <w:r>
              <w:rPr>
                <w:color w:val="000000"/>
              </w:rPr>
              <w:t xml:space="preserve">Nexon EV, </w:t>
            </w:r>
            <w:proofErr w:type="spellStart"/>
            <w:r>
              <w:rPr>
                <w:color w:val="000000"/>
              </w:rPr>
              <w:t>Curvv</w:t>
            </w:r>
            <w:proofErr w:type="spellEnd"/>
            <w:r>
              <w:rPr>
                <w:color w:val="000000"/>
              </w:rPr>
              <w:t xml:space="preserve"> EV</w:t>
            </w:r>
          </w:p>
        </w:tc>
        <w:tc>
          <w:tcPr>
            <w:tcW w:w="180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554045C5" w14:textId="77777777" w:rsidR="008C0DCC" w:rsidRDefault="008C0DCC">
            <w:r>
              <w:rPr>
                <w:color w:val="000000"/>
              </w:rPr>
              <w:t>38,000</w:t>
            </w:r>
          </w:p>
        </w:tc>
        <w:tc>
          <w:tcPr>
            <w:tcW w:w="180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1DC184F0" w14:textId="77777777" w:rsidR="008C0DCC" w:rsidRDefault="008C0DCC">
            <w:r>
              <w:rPr>
                <w:color w:val="000000"/>
              </w:rPr>
              <w:t>60,000</w:t>
            </w:r>
          </w:p>
        </w:tc>
        <w:tc>
          <w:tcPr>
            <w:tcW w:w="216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2415B405" w14:textId="77777777" w:rsidR="008C0DCC" w:rsidRDefault="008C0DCC">
            <w:r>
              <w:rPr>
                <w:color w:val="000000"/>
              </w:rPr>
              <w:t>Volume leadership + service network</w:t>
            </w:r>
          </w:p>
        </w:tc>
      </w:tr>
      <w:tr w:rsidR="008C0DCC" w14:paraId="2861D92D" w14:textId="77777777">
        <w:trPr>
          <w:tblCellSpacing w:w="15" w:type="dxa"/>
        </w:trPr>
        <w:tc>
          <w:tcPr>
            <w:tcW w:w="2200" w:type="dxa"/>
            <w:tcBorders>
              <w:top w:val="nil"/>
              <w:left w:val="single" w:sz="8" w:space="0" w:color="CCCCCC"/>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182B8531" w14:textId="77777777" w:rsidR="008C0DCC" w:rsidRDefault="008C0DCC">
            <w:r>
              <w:rPr>
                <w:color w:val="000000"/>
              </w:rPr>
              <w:t>Mahindra</w:t>
            </w:r>
          </w:p>
        </w:tc>
        <w:tc>
          <w:tcPr>
            <w:tcW w:w="160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58A16EDC" w14:textId="77777777" w:rsidR="008C0DCC" w:rsidRDefault="008C0DCC">
            <w:r>
              <w:rPr>
                <w:color w:val="000000"/>
              </w:rPr>
              <w:t>BE.05, XEV 9e</w:t>
            </w:r>
          </w:p>
        </w:tc>
        <w:tc>
          <w:tcPr>
            <w:tcW w:w="180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4426C164" w14:textId="77777777" w:rsidR="008C0DCC" w:rsidRDefault="008C0DCC">
            <w:r>
              <w:rPr>
                <w:color w:val="000000"/>
              </w:rPr>
              <w:t>12,000</w:t>
            </w:r>
          </w:p>
        </w:tc>
        <w:tc>
          <w:tcPr>
            <w:tcW w:w="180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1DD60082" w14:textId="77777777" w:rsidR="008C0DCC" w:rsidRDefault="008C0DCC">
            <w:r>
              <w:rPr>
                <w:color w:val="000000"/>
              </w:rPr>
              <w:t>38,000</w:t>
            </w:r>
          </w:p>
        </w:tc>
        <w:tc>
          <w:tcPr>
            <w:tcW w:w="216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35DE3346" w14:textId="77777777" w:rsidR="008C0DCC" w:rsidRDefault="008C0DCC">
            <w:r>
              <w:rPr>
                <w:color w:val="000000"/>
              </w:rPr>
              <w:t>Platform scalability + design</w:t>
            </w:r>
          </w:p>
        </w:tc>
      </w:tr>
      <w:tr w:rsidR="008C0DCC" w14:paraId="664FC27B" w14:textId="77777777">
        <w:trPr>
          <w:tblCellSpacing w:w="15" w:type="dxa"/>
        </w:trPr>
        <w:tc>
          <w:tcPr>
            <w:tcW w:w="2200" w:type="dxa"/>
            <w:tcBorders>
              <w:top w:val="nil"/>
              <w:left w:val="single" w:sz="8" w:space="0" w:color="CCCCCC"/>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4CD55788" w14:textId="77777777" w:rsidR="008C0DCC" w:rsidRDefault="008C0DCC">
            <w:r>
              <w:rPr>
                <w:color w:val="000000"/>
              </w:rPr>
              <w:t>Hyundai-Kia</w:t>
            </w:r>
          </w:p>
        </w:tc>
        <w:tc>
          <w:tcPr>
            <w:tcW w:w="160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2F8BE17C" w14:textId="77777777" w:rsidR="008C0DCC" w:rsidRDefault="008C0DCC">
            <w:r>
              <w:rPr>
                <w:color w:val="000000"/>
              </w:rPr>
              <w:t>Creta EV, EV3</w:t>
            </w:r>
          </w:p>
        </w:tc>
        <w:tc>
          <w:tcPr>
            <w:tcW w:w="180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24562D29" w14:textId="77777777" w:rsidR="008C0DCC" w:rsidRDefault="008C0DCC">
            <w:r>
              <w:rPr>
                <w:color w:val="000000"/>
              </w:rPr>
              <w:t>13,000</w:t>
            </w:r>
          </w:p>
        </w:tc>
        <w:tc>
          <w:tcPr>
            <w:tcW w:w="180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190F52F1" w14:textId="77777777" w:rsidR="008C0DCC" w:rsidRDefault="008C0DCC">
            <w:r>
              <w:rPr>
                <w:color w:val="000000"/>
              </w:rPr>
              <w:t>42,000</w:t>
            </w:r>
          </w:p>
        </w:tc>
        <w:tc>
          <w:tcPr>
            <w:tcW w:w="216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7BEDA13E" w14:textId="77777777" w:rsidR="008C0DCC" w:rsidRDefault="008C0DCC">
            <w:r>
              <w:rPr>
                <w:color w:val="000000"/>
              </w:rPr>
              <w:t>Tech features + warranty</w:t>
            </w:r>
          </w:p>
        </w:tc>
      </w:tr>
      <w:tr w:rsidR="008C0DCC" w14:paraId="18406182" w14:textId="77777777">
        <w:trPr>
          <w:tblCellSpacing w:w="15" w:type="dxa"/>
        </w:trPr>
        <w:tc>
          <w:tcPr>
            <w:tcW w:w="2200" w:type="dxa"/>
            <w:tcBorders>
              <w:top w:val="nil"/>
              <w:left w:val="single" w:sz="8" w:space="0" w:color="CCCCCC"/>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1CE4C55F" w14:textId="77777777" w:rsidR="008C0DCC" w:rsidRDefault="008C0DCC">
            <w:r>
              <w:rPr>
                <w:color w:val="000000"/>
              </w:rPr>
              <w:t>MG Motor</w:t>
            </w:r>
          </w:p>
        </w:tc>
        <w:tc>
          <w:tcPr>
            <w:tcW w:w="160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0F749B71" w14:textId="77777777" w:rsidR="008C0DCC" w:rsidRDefault="008C0DCC">
            <w:r>
              <w:rPr>
                <w:color w:val="000000"/>
              </w:rPr>
              <w:t>ZS EV, Windsor</w:t>
            </w:r>
          </w:p>
        </w:tc>
        <w:tc>
          <w:tcPr>
            <w:tcW w:w="180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077BEDEF" w14:textId="77777777" w:rsidR="008C0DCC" w:rsidRDefault="008C0DCC">
            <w:r>
              <w:rPr>
                <w:color w:val="000000"/>
              </w:rPr>
              <w:t>14,000</w:t>
            </w:r>
          </w:p>
        </w:tc>
        <w:tc>
          <w:tcPr>
            <w:tcW w:w="180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38639FEC" w14:textId="77777777" w:rsidR="008C0DCC" w:rsidRDefault="008C0DCC">
            <w:r>
              <w:rPr>
                <w:color w:val="000000"/>
              </w:rPr>
              <w:t>24,000</w:t>
            </w:r>
          </w:p>
        </w:tc>
        <w:tc>
          <w:tcPr>
            <w:tcW w:w="216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60FB001E" w14:textId="77777777" w:rsidR="008C0DCC" w:rsidRDefault="008C0DCC">
            <w:r>
              <w:rPr>
                <w:color w:val="000000"/>
              </w:rPr>
              <w:t>Value pricing</w:t>
            </w:r>
          </w:p>
        </w:tc>
      </w:tr>
      <w:tr w:rsidR="008C0DCC" w14:paraId="4F7AB52E" w14:textId="77777777">
        <w:trPr>
          <w:tblCellSpacing w:w="15" w:type="dxa"/>
        </w:trPr>
        <w:tc>
          <w:tcPr>
            <w:tcW w:w="2200" w:type="dxa"/>
            <w:tcBorders>
              <w:top w:val="nil"/>
              <w:left w:val="single" w:sz="8" w:space="0" w:color="CCCCCC"/>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78E96D33" w14:textId="77777777" w:rsidR="008C0DCC" w:rsidRDefault="008C0DCC">
            <w:proofErr w:type="spellStart"/>
            <w:r>
              <w:rPr>
                <w:color w:val="000000"/>
              </w:rPr>
              <w:t>ChengAuto</w:t>
            </w:r>
            <w:proofErr w:type="spellEnd"/>
          </w:p>
        </w:tc>
        <w:tc>
          <w:tcPr>
            <w:tcW w:w="160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2E0F277A" w14:textId="77777777" w:rsidR="008C0DCC" w:rsidRDefault="008C0DCC">
            <w:r>
              <w:rPr>
                <w:color w:val="000000"/>
              </w:rPr>
              <w:t>Falcon EV, Arc</w:t>
            </w:r>
          </w:p>
        </w:tc>
        <w:tc>
          <w:tcPr>
            <w:tcW w:w="180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166A472B" w14:textId="77777777" w:rsidR="008C0DCC" w:rsidRDefault="008C0DCC">
            <w:r>
              <w:rPr>
                <w:color w:val="000000"/>
              </w:rPr>
              <w:t>3,500</w:t>
            </w:r>
          </w:p>
        </w:tc>
        <w:tc>
          <w:tcPr>
            <w:tcW w:w="180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0638F9EB" w14:textId="77777777" w:rsidR="008C0DCC" w:rsidRDefault="008C0DCC">
            <w:r>
              <w:rPr>
                <w:color w:val="000000"/>
              </w:rPr>
              <w:t>18,000</w:t>
            </w:r>
          </w:p>
        </w:tc>
        <w:tc>
          <w:tcPr>
            <w:tcW w:w="2160" w:type="dxa"/>
            <w:tcBorders>
              <w:top w:val="nil"/>
              <w:left w:val="nil"/>
              <w:bottom w:val="single" w:sz="8" w:space="0" w:color="CCCCCC"/>
              <w:right w:val="single" w:sz="8" w:space="0" w:color="CCCCCC"/>
            </w:tcBorders>
            <w:shd w:val="clear" w:color="auto" w:fill="F2F2F2"/>
            <w:tcMar>
              <w:top w:w="60" w:type="dxa"/>
              <w:left w:w="120" w:type="dxa"/>
              <w:bottom w:w="60" w:type="dxa"/>
              <w:right w:w="120" w:type="dxa"/>
            </w:tcMar>
            <w:vAlign w:val="center"/>
            <w:hideMark/>
          </w:tcPr>
          <w:p w14:paraId="52D84FD0" w14:textId="77777777" w:rsidR="008C0DCC" w:rsidRDefault="008C0DCC">
            <w:r>
              <w:rPr>
                <w:color w:val="000000"/>
              </w:rPr>
              <w:t>Vertical integration</w:t>
            </w:r>
          </w:p>
        </w:tc>
      </w:tr>
      <w:tr w:rsidR="008C0DCC" w14:paraId="59A973A9" w14:textId="77777777">
        <w:trPr>
          <w:tblCellSpacing w:w="15" w:type="dxa"/>
        </w:trPr>
        <w:tc>
          <w:tcPr>
            <w:tcW w:w="2200" w:type="dxa"/>
            <w:tcBorders>
              <w:top w:val="nil"/>
              <w:left w:val="single" w:sz="8" w:space="0" w:color="CCCCCC"/>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31857EA7" w14:textId="77777777" w:rsidR="008C0DCC" w:rsidRDefault="008C0DCC">
            <w:r>
              <w:rPr>
                <w:color w:val="000000"/>
              </w:rPr>
              <w:t>Others</w:t>
            </w:r>
          </w:p>
        </w:tc>
        <w:tc>
          <w:tcPr>
            <w:tcW w:w="160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69589772" w14:textId="77777777" w:rsidR="008C0DCC" w:rsidRDefault="008C0DCC">
            <w:r>
              <w:rPr>
                <w:color w:val="000000"/>
              </w:rPr>
              <w:t>Various</w:t>
            </w:r>
          </w:p>
        </w:tc>
        <w:tc>
          <w:tcPr>
            <w:tcW w:w="180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06B6D4E6" w14:textId="77777777" w:rsidR="008C0DCC" w:rsidRDefault="008C0DCC">
            <w:r>
              <w:rPr>
                <w:color w:val="000000"/>
              </w:rPr>
              <w:t>44,300</w:t>
            </w:r>
          </w:p>
        </w:tc>
        <w:tc>
          <w:tcPr>
            <w:tcW w:w="180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2F121EEC" w14:textId="77777777" w:rsidR="008C0DCC" w:rsidRDefault="008C0DCC">
            <w:r>
              <w:rPr>
                <w:color w:val="000000"/>
              </w:rPr>
              <w:t>18,000</w:t>
            </w:r>
          </w:p>
        </w:tc>
        <w:tc>
          <w:tcPr>
            <w:tcW w:w="2160" w:type="dxa"/>
            <w:tcBorders>
              <w:top w:val="nil"/>
              <w:left w:val="nil"/>
              <w:bottom w:val="single" w:sz="8" w:space="0" w:color="CCCCCC"/>
              <w:right w:val="single" w:sz="8" w:space="0" w:color="CCCCCC"/>
            </w:tcBorders>
            <w:shd w:val="clear" w:color="auto" w:fill="FFFFFF"/>
            <w:tcMar>
              <w:top w:w="60" w:type="dxa"/>
              <w:left w:w="120" w:type="dxa"/>
              <w:bottom w:w="60" w:type="dxa"/>
              <w:right w:w="120" w:type="dxa"/>
            </w:tcMar>
            <w:vAlign w:val="center"/>
            <w:hideMark/>
          </w:tcPr>
          <w:p w14:paraId="65391362" w14:textId="77777777" w:rsidR="008C0DCC" w:rsidRDefault="008C0DCC">
            <w:r>
              <w:rPr>
                <w:color w:val="000000"/>
              </w:rPr>
              <w:t>Niche positioning</w:t>
            </w:r>
          </w:p>
        </w:tc>
      </w:tr>
      <w:tr w:rsidR="008C0DCC" w14:paraId="2A3563C3" w14:textId="77777777">
        <w:trPr>
          <w:tblCellSpacing w:w="15" w:type="dxa"/>
        </w:trPr>
        <w:tc>
          <w:tcPr>
            <w:tcW w:w="2200" w:type="dxa"/>
            <w:tcBorders>
              <w:top w:val="nil"/>
              <w:left w:val="single" w:sz="8" w:space="0" w:color="CCCCCC"/>
              <w:bottom w:val="single" w:sz="8" w:space="0" w:color="CCCCCC"/>
              <w:right w:val="single" w:sz="8" w:space="0" w:color="CCCCCC"/>
            </w:tcBorders>
            <w:shd w:val="clear" w:color="auto" w:fill="BDD7EE"/>
            <w:tcMar>
              <w:top w:w="60" w:type="dxa"/>
              <w:left w:w="120" w:type="dxa"/>
              <w:bottom w:w="60" w:type="dxa"/>
              <w:right w:w="120" w:type="dxa"/>
            </w:tcMar>
            <w:vAlign w:val="center"/>
            <w:hideMark/>
          </w:tcPr>
          <w:p w14:paraId="54C70B29" w14:textId="77777777" w:rsidR="008C0DCC" w:rsidRDefault="008C0DCC">
            <w:r>
              <w:rPr>
                <w:b/>
                <w:bCs/>
                <w:color w:val="000000"/>
              </w:rPr>
              <w:t>TOTAL SEGMENT</w:t>
            </w:r>
          </w:p>
        </w:tc>
        <w:tc>
          <w:tcPr>
            <w:tcW w:w="1600" w:type="dxa"/>
            <w:tcBorders>
              <w:top w:val="nil"/>
              <w:left w:val="nil"/>
              <w:bottom w:val="single" w:sz="8" w:space="0" w:color="CCCCCC"/>
              <w:right w:val="single" w:sz="8" w:space="0" w:color="CCCCCC"/>
            </w:tcBorders>
            <w:shd w:val="clear" w:color="auto" w:fill="BDD7EE"/>
            <w:tcMar>
              <w:top w:w="60" w:type="dxa"/>
              <w:left w:w="120" w:type="dxa"/>
              <w:bottom w:w="60" w:type="dxa"/>
              <w:right w:w="120" w:type="dxa"/>
            </w:tcMar>
            <w:vAlign w:val="center"/>
            <w:hideMark/>
          </w:tcPr>
          <w:p w14:paraId="73040BE4" w14:textId="77777777" w:rsidR="008C0DCC" w:rsidRDefault="008C0DCC">
            <w:r>
              <w:t> </w:t>
            </w:r>
          </w:p>
        </w:tc>
        <w:tc>
          <w:tcPr>
            <w:tcW w:w="1800" w:type="dxa"/>
            <w:tcBorders>
              <w:top w:val="nil"/>
              <w:left w:val="nil"/>
              <w:bottom w:val="single" w:sz="8" w:space="0" w:color="CCCCCC"/>
              <w:right w:val="single" w:sz="8" w:space="0" w:color="CCCCCC"/>
            </w:tcBorders>
            <w:shd w:val="clear" w:color="auto" w:fill="BDD7EE"/>
            <w:tcMar>
              <w:top w:w="60" w:type="dxa"/>
              <w:left w:w="120" w:type="dxa"/>
              <w:bottom w:w="60" w:type="dxa"/>
              <w:right w:w="120" w:type="dxa"/>
            </w:tcMar>
            <w:vAlign w:val="center"/>
            <w:hideMark/>
          </w:tcPr>
          <w:p w14:paraId="7D492E86" w14:textId="77777777" w:rsidR="008C0DCC" w:rsidRDefault="008C0DCC">
            <w:r>
              <w:rPr>
                <w:b/>
                <w:bCs/>
                <w:color w:val="000000"/>
              </w:rPr>
              <w:t>124,800</w:t>
            </w:r>
          </w:p>
        </w:tc>
        <w:tc>
          <w:tcPr>
            <w:tcW w:w="1800" w:type="dxa"/>
            <w:tcBorders>
              <w:top w:val="nil"/>
              <w:left w:val="nil"/>
              <w:bottom w:val="single" w:sz="8" w:space="0" w:color="CCCCCC"/>
              <w:right w:val="single" w:sz="8" w:space="0" w:color="CCCCCC"/>
            </w:tcBorders>
            <w:shd w:val="clear" w:color="auto" w:fill="BDD7EE"/>
            <w:tcMar>
              <w:top w:w="60" w:type="dxa"/>
              <w:left w:w="120" w:type="dxa"/>
              <w:bottom w:w="60" w:type="dxa"/>
              <w:right w:w="120" w:type="dxa"/>
            </w:tcMar>
            <w:vAlign w:val="center"/>
            <w:hideMark/>
          </w:tcPr>
          <w:p w14:paraId="7B8ABEE4" w14:textId="77777777" w:rsidR="008C0DCC" w:rsidRDefault="008C0DCC">
            <w:r>
              <w:rPr>
                <w:b/>
                <w:bCs/>
                <w:color w:val="000000"/>
              </w:rPr>
              <w:t>200,000</w:t>
            </w:r>
          </w:p>
        </w:tc>
        <w:tc>
          <w:tcPr>
            <w:tcW w:w="2160" w:type="dxa"/>
            <w:tcBorders>
              <w:top w:val="nil"/>
              <w:left w:val="nil"/>
              <w:bottom w:val="single" w:sz="8" w:space="0" w:color="CCCCCC"/>
              <w:right w:val="single" w:sz="8" w:space="0" w:color="CCCCCC"/>
            </w:tcBorders>
            <w:shd w:val="clear" w:color="auto" w:fill="BDD7EE"/>
            <w:tcMar>
              <w:top w:w="60" w:type="dxa"/>
              <w:left w:w="120" w:type="dxa"/>
              <w:bottom w:w="60" w:type="dxa"/>
              <w:right w:w="120" w:type="dxa"/>
            </w:tcMar>
            <w:vAlign w:val="center"/>
            <w:hideMark/>
          </w:tcPr>
          <w:p w14:paraId="14CA268B" w14:textId="77777777" w:rsidR="008C0DCC" w:rsidRDefault="008C0DCC">
            <w:r>
              <w:t> </w:t>
            </w:r>
          </w:p>
        </w:tc>
      </w:tr>
    </w:tbl>
    <w:p w14:paraId="3E978E5F" w14:textId="77777777" w:rsidR="008C0DCC" w:rsidRDefault="008C0DCC">
      <w:pPr>
        <w:spacing w:before="40" w:after="80"/>
      </w:pPr>
      <w:r>
        <w:rPr>
          <w:color w:val="000000"/>
        </w:rPr>
        <w:t>Source: SIAM monthly sales data, OEM annual reports, primary research. FY27E = forecast.</w:t>
      </w:r>
    </w:p>
    <w:p w14:paraId="61735E01" w14:textId="77777777" w:rsidR="008C0DCC" w:rsidRDefault="008C0DCC" w:rsidP="008C0DCC">
      <w:pPr>
        <w:pStyle w:val="Heading2"/>
        <w:rPr>
          <w:color w:val="000000"/>
          <w:kern w:val="2"/>
          <w14:ligatures w14:val="standardContextual"/>
        </w:rPr>
      </w:pPr>
      <w:r>
        <w:rPr>
          <w:color w:val="000000"/>
        </w:rPr>
        <w:t>5.3 Key Market Drivers and Constraints</w:t>
      </w:r>
    </w:p>
    <w:p w14:paraId="5FE94CB1" w14:textId="77777777" w:rsidR="008C0DCC" w:rsidRDefault="008C0DCC">
      <w:pPr>
        <w:spacing w:before="60" w:after="60"/>
        <w:rPr>
          <w:kern w:val="2"/>
          <w14:ligatures w14:val="standardContextual"/>
        </w:rPr>
      </w:pPr>
      <w:r>
        <w:rPr>
          <w:color w:val="000000"/>
        </w:rPr>
        <w:t xml:space="preserve">Primary growth drivers include: (1) declining battery cost trajectory improving cost-of-ownership parity with ICE, now approaching parity at ₹20L and above ex-showroom; (2) expanding OEM model portfolio providing genuine consumer choice across the ₹15L-₹40L band; (3) government PLI scheme </w:t>
      </w:r>
      <w:proofErr w:type="spellStart"/>
      <w:r>
        <w:rPr>
          <w:color w:val="000000"/>
        </w:rPr>
        <w:t>incentivising</w:t>
      </w:r>
      <w:proofErr w:type="spellEnd"/>
      <w:r>
        <w:rPr>
          <w:color w:val="000000"/>
        </w:rPr>
        <w:t xml:space="preserve"> domestic battery manufacturing; and (4) rising urban fuel costs increasing TCO advantage for EVs.</w:t>
      </w:r>
    </w:p>
    <w:p w14:paraId="364E3372" w14:textId="77777777" w:rsidR="008C0DCC" w:rsidRDefault="008C0DCC">
      <w:pPr>
        <w:spacing w:before="60" w:after="60"/>
        <w:rPr>
          <w:kern w:val="2"/>
          <w14:ligatures w14:val="standardContextual"/>
        </w:rPr>
      </w:pPr>
      <w:r>
        <w:rPr>
          <w:color w:val="000000"/>
        </w:rPr>
        <w:t>Primary constraints include: (1) inadequate fast-charging density outside the top 10 cities, creating range anxiety for buyers without home-charging access; (2) limited availability of EVs below ₹15L restricting market base expansion; and (3) longer lead times for premium models (Mahindra BE.05 bookings extending 6 months and above in FY2025).</w:t>
      </w:r>
    </w:p>
    <w:p w14:paraId="6CC69FBF" w14:textId="77777777" w:rsidR="00D272D7" w:rsidRDefault="00000000">
      <w:r>
        <w:br w:type="page"/>
      </w:r>
    </w:p>
    <w:p w14:paraId="1ECFF30E" w14:textId="77777777" w:rsidR="008C0DCC" w:rsidRDefault="008C0DCC" w:rsidP="008C0DCC">
      <w:pPr>
        <w:pStyle w:val="Heading1"/>
        <w:rPr>
          <w:color w:val="000000"/>
          <w:kern w:val="36"/>
          <w14:ligatures w14:val="standardContextual"/>
        </w:rPr>
      </w:pPr>
      <w:r>
        <w:rPr>
          <w:color w:val="000000"/>
        </w:rPr>
        <w:lastRenderedPageBreak/>
        <w:t>SECTION 6: EUROPEAN EV REGULATORY FRAMEWORK</w:t>
      </w:r>
    </w:p>
    <w:p w14:paraId="15B49AEC" w14:textId="77777777" w:rsidR="008C0DCC" w:rsidRDefault="008C0DCC" w:rsidP="008C0DCC">
      <w:pPr>
        <w:pStyle w:val="Heading2"/>
        <w:rPr>
          <w:color w:val="000000"/>
          <w:kern w:val="2"/>
          <w14:ligatures w14:val="standardContextual"/>
        </w:rPr>
      </w:pPr>
      <w:r>
        <w:rPr>
          <w:color w:val="000000"/>
        </w:rPr>
        <w:t>6.1 EU Zero-Emission Vehicle Mandate</w:t>
      </w:r>
    </w:p>
    <w:p w14:paraId="2554B922" w14:textId="77777777" w:rsidR="00D272D7" w:rsidRDefault="00000000">
      <w:pPr>
        <w:spacing w:before="60" w:after="60"/>
      </w:pPr>
      <w:r>
        <w:rPr>
          <w:color w:val="000000"/>
        </w:rPr>
        <w:t>The European Union's revised CO2 standards for new passenger cars require a 55% reduction in fleet average CO2 emissions by 2030 and 100% zero-emission new car sales by 2035, subject to the 2026 review clause introduced under political pressure from Germany and Italy. The 2026 review will assess whether e-fuels should continue to receive an exemption pathway.</w:t>
      </w:r>
    </w:p>
    <w:p w14:paraId="62B31694" w14:textId="77777777" w:rsidR="008C0DCC" w:rsidRDefault="008C0DCC">
      <w:pPr>
        <w:spacing w:before="60" w:after="60"/>
        <w:rPr>
          <w:kern w:val="2"/>
          <w14:ligatures w14:val="standardContextual"/>
        </w:rPr>
      </w:pPr>
      <w:r>
        <w:rPr>
          <w:color w:val="000000"/>
        </w:rPr>
        <w:t>In practice, the mandate's 2030 milestone - requiring 80% EV sales - is the critical near-term driver for OEM strategy. Volkswagen Group, Stellantis, and Renault have each committed to achieving 70-80% EV share of European sales by 2030, requiring annual EV volume increases of 35-45% over the FY2025-FY2030 period.</w:t>
      </w:r>
    </w:p>
    <w:p w14:paraId="63FA8703" w14:textId="77777777" w:rsidR="008C0DCC" w:rsidRDefault="008C0DCC" w:rsidP="008C0DCC">
      <w:pPr>
        <w:pStyle w:val="Heading2"/>
        <w:rPr>
          <w:color w:val="000000"/>
          <w:kern w:val="2"/>
          <w14:ligatures w14:val="standardContextual"/>
        </w:rPr>
      </w:pPr>
      <w:r>
        <w:rPr>
          <w:color w:val="000000"/>
        </w:rPr>
        <w:t>6.2 EU Anti-Dumping Tariffs on Chinese EVs</w:t>
      </w:r>
    </w:p>
    <w:p w14:paraId="1228CE87" w14:textId="77777777" w:rsidR="00D272D7" w:rsidRDefault="00000000">
      <w:pPr>
        <w:spacing w:before="60" w:after="60"/>
      </w:pPr>
      <w:r>
        <w:rPr>
          <w:color w:val="000000"/>
        </w:rPr>
        <w:t xml:space="preserve">Following the European Commission's anti-subsidy investigation, additional tariffs on Chinese-manufactured EVs imported into the EU took effect in November 2024: </w:t>
      </w:r>
      <w:proofErr w:type="spellStart"/>
      <w:r>
        <w:rPr>
          <w:color w:val="000000"/>
        </w:rPr>
        <w:t>ChengAuto</w:t>
      </w:r>
      <w:proofErr w:type="spellEnd"/>
      <w:r>
        <w:rPr>
          <w:color w:val="000000"/>
        </w:rPr>
        <w:t xml:space="preserve"> (+19%), SAIC (+35.3%), and Geely (+18.8%). These tariffs are additive to the existing 10% general import duty, effectively making Chinese-manufactured EVs less competitive at price points below €35,000. This has accelerated Chinese OEM decisions to establish European manufacturing, with </w:t>
      </w:r>
      <w:proofErr w:type="spellStart"/>
      <w:r>
        <w:rPr>
          <w:color w:val="000000"/>
        </w:rPr>
        <w:t>ChengAuto</w:t>
      </w:r>
      <w:proofErr w:type="spellEnd"/>
      <w:r>
        <w:rPr>
          <w:color w:val="000000"/>
        </w:rPr>
        <w:t xml:space="preserve"> evaluating an Eastern European site (expected decision: 2026) and SAIC's evaluation of a European site.</w:t>
      </w:r>
    </w:p>
    <w:p w14:paraId="4287DCA5" w14:textId="77777777" w:rsidR="00D272D7" w:rsidRDefault="00000000">
      <w:r>
        <w:br w:type="page"/>
      </w:r>
    </w:p>
    <w:p w14:paraId="24D5B9A0" w14:textId="77777777" w:rsidR="008C0DCC" w:rsidRDefault="008C0DCC" w:rsidP="008C0DCC">
      <w:pPr>
        <w:pStyle w:val="Heading1"/>
        <w:rPr>
          <w:color w:val="000000"/>
          <w:kern w:val="36"/>
          <w14:ligatures w14:val="standardContextual"/>
        </w:rPr>
      </w:pPr>
      <w:r>
        <w:rPr>
          <w:color w:val="000000"/>
        </w:rPr>
        <w:lastRenderedPageBreak/>
        <w:t>APPENDIX A: RESEARCH METHODOLOGY</w:t>
      </w:r>
    </w:p>
    <w:p w14:paraId="3B503B18" w14:textId="77777777" w:rsidR="00D272D7" w:rsidRDefault="00000000">
      <w:pPr>
        <w:spacing w:before="60" w:after="60"/>
      </w:pPr>
      <w:r>
        <w:rPr>
          <w:color w:val="000000"/>
        </w:rPr>
        <w:t xml:space="preserve">This report is based on primary research, secondary data synthesis, and proprietary demand modelling. Primary research comprised 42 structured interviews with OEM strategy executives, Tier-1 supplier representatives, government officials, and fleet operators conducted between November 2025 and February 2026. Secondary data sources include SIAM monthly registration data, </w:t>
      </w:r>
      <w:proofErr w:type="spellStart"/>
      <w:r>
        <w:rPr>
          <w:color w:val="000000"/>
        </w:rPr>
        <w:t>BloombergNEF</w:t>
      </w:r>
      <w:proofErr w:type="spellEnd"/>
      <w:r>
        <w:rPr>
          <w:color w:val="000000"/>
        </w:rPr>
        <w:t xml:space="preserve"> EV Outlook 2025, NITI Aayog EV projections, and individual OEM annual reports and investor presentations.</w:t>
      </w:r>
    </w:p>
    <w:p w14:paraId="0FF7DB91" w14:textId="77777777" w:rsidR="00D272D7" w:rsidRDefault="00000000">
      <w:pPr>
        <w:spacing w:before="60" w:after="60"/>
      </w:pPr>
      <w:r>
        <w:rPr>
          <w:color w:val="000000"/>
        </w:rPr>
        <w:t>Market sizing for the India passenger car segment follows a bottom-up methodology: OEM-level model pipeline data is aggregated by price band, adjusted for historical SIAM registration data, and forward-projected using a demand model incorporating macroeconomic growth, price elasticity estimates, and EV penetration S-curve calibration against comparable markets (China FY2019–FY2022, Germany FY2020–FY2023).</w:t>
      </w:r>
    </w:p>
    <w:p w14:paraId="32AF06F8" w14:textId="77777777" w:rsidR="00D272D7" w:rsidRDefault="00000000">
      <w:pPr>
        <w:spacing w:before="60" w:after="60"/>
      </w:pPr>
      <w:r>
        <w:rPr>
          <w:color w:val="000000"/>
        </w:rPr>
        <w:t>Forecasts are presented in Base Case form unless otherwise noted. Bull Case assumes 20% higher battery cost reduction rate and 15% higher government incentive outlay. Bear Case assumes 30% delay in charging infrastructure rollout and 10% import duty increase on EV components.</w:t>
      </w:r>
    </w:p>
    <w:p w14:paraId="7FAB21E5" w14:textId="77777777" w:rsidR="00D272D7" w:rsidRDefault="00000000">
      <w:r>
        <w:br w:type="page"/>
      </w:r>
    </w:p>
    <w:p w14:paraId="13A743D1" w14:textId="77777777" w:rsidR="008C0DCC" w:rsidRDefault="008C0DCC" w:rsidP="008C0DCC">
      <w:pPr>
        <w:pStyle w:val="Heading1"/>
        <w:rPr>
          <w:color w:val="000000"/>
          <w:kern w:val="36"/>
          <w14:ligatures w14:val="standardContextual"/>
        </w:rPr>
      </w:pPr>
      <w:r>
        <w:rPr>
          <w:color w:val="000000"/>
        </w:rPr>
        <w:lastRenderedPageBreak/>
        <w:t>APPENDIX B: MARKET SIZING TECHNICAL NOTES</w:t>
      </w:r>
    </w:p>
    <w:p w14:paraId="5B71C6D5" w14:textId="77777777" w:rsidR="008C0DCC" w:rsidRDefault="008C0DCC" w:rsidP="008C0DCC">
      <w:pPr>
        <w:pStyle w:val="Heading2"/>
        <w:rPr>
          <w:color w:val="000000"/>
          <w:kern w:val="2"/>
          <w14:ligatures w14:val="standardContextual"/>
        </w:rPr>
      </w:pPr>
      <w:r>
        <w:rPr>
          <w:color w:val="000000"/>
        </w:rPr>
        <w:t>B.1 General Notes on SAM Figures</w:t>
      </w:r>
    </w:p>
    <w:p w14:paraId="2DB9E1E1" w14:textId="77777777" w:rsidR="00D272D7" w:rsidRDefault="00000000">
      <w:pPr>
        <w:spacing w:before="60" w:after="60"/>
      </w:pPr>
      <w:r>
        <w:rPr>
          <w:color w:val="000000"/>
        </w:rPr>
        <w:t>All SAM figures presented in this report and associated data files represent total market demand inclusive of all end-user types, unless explicitly qualified otherwise. The distinction between retail consumer demand and fleet/commercial operator demand is an investment mandate-level decision and is not applied uniformly across all sections of this report.</w:t>
      </w:r>
    </w:p>
    <w:p w14:paraId="4F1B32DA" w14:textId="77777777" w:rsidR="00D272D7" w:rsidRDefault="00000000">
      <w:pPr>
        <w:spacing w:before="60" w:after="60"/>
      </w:pPr>
      <w:r>
        <w:rPr>
          <w:color w:val="000000"/>
        </w:rPr>
        <w:t>Readers using these figures for investment sizing, JV feasibility assessments, or market entry analysis should carefully verify the applicable market scope definition per their investment mandate before applying any SAM figure from this report.</w:t>
      </w:r>
    </w:p>
    <w:p w14:paraId="3EBBBD2D" w14:textId="77777777" w:rsidR="008C0DCC" w:rsidRDefault="008C0DCC" w:rsidP="008C0DCC">
      <w:pPr>
        <w:pStyle w:val="Heading2"/>
        <w:rPr>
          <w:kern w:val="2"/>
          <w14:ligatures w14:val="standardContextual"/>
        </w:rPr>
      </w:pPr>
      <w:r>
        <w:rPr>
          <w:color w:val="000000"/>
        </w:rPr>
        <w:t>B.2 India Passenger Car - ₹15L-₹40L Segment: Scope Clarification</w:t>
      </w:r>
    </w:p>
    <w:p w14:paraId="3DEF7788" w14:textId="77777777" w:rsidR="00D272D7" w:rsidRDefault="00000000">
      <w:pPr>
        <w:spacing w:before="60" w:after="60"/>
      </w:pPr>
      <w:r>
        <w:rPr>
          <w:color w:val="000000"/>
        </w:rPr>
        <w:t>The FY2027 India EV passenger car SAM figure of ₹48,000 Cr presented in Section 5.1 and the accompanying India_EV_Passenger_Market_FY27.xlsx file (</w:t>
      </w:r>
      <w:proofErr w:type="spellStart"/>
      <w:r>
        <w:rPr>
          <w:color w:val="000000"/>
        </w:rPr>
        <w:t>Executive_Summary</w:t>
      </w:r>
      <w:proofErr w:type="spellEnd"/>
      <w:r>
        <w:rPr>
          <w:color w:val="000000"/>
        </w:rPr>
        <w:t xml:space="preserve"> tab) reflects the total demand for the ₹15L–₹40L segment inclusive of both retail consumer and fleet/commercial operator purchases.</w:t>
      </w:r>
    </w:p>
    <w:p w14:paraId="26C97978" w14:textId="77777777" w:rsidR="00D272D7" w:rsidRDefault="00000000">
      <w:pPr>
        <w:spacing w:before="60" w:after="60"/>
      </w:pPr>
      <w:r>
        <w:rPr>
          <w:color w:val="000000"/>
        </w:rPr>
        <w:t xml:space="preserve">This is the standard convention for total market </w:t>
      </w:r>
      <w:proofErr w:type="gramStart"/>
      <w:r>
        <w:rPr>
          <w:color w:val="000000"/>
        </w:rPr>
        <w:t>sizing</w:t>
      </w:r>
      <w:proofErr w:type="gramEnd"/>
      <w:r>
        <w:rPr>
          <w:color w:val="000000"/>
        </w:rPr>
        <w:t xml:space="preserve">. However, some investment mandates — particularly JV frameworks governing retail consumer-facing businesses — explicitly exclude commercial fleet operators, ride-hailing aggregators, and government fleet procurement </w:t>
      </w:r>
      <w:proofErr w:type="spellStart"/>
      <w:r>
        <w:rPr>
          <w:color w:val="000000"/>
        </w:rPr>
        <w:t>programmes</w:t>
      </w:r>
      <w:proofErr w:type="spellEnd"/>
      <w:r>
        <w:rPr>
          <w:color w:val="000000"/>
        </w:rPr>
        <w:t xml:space="preserve"> from their addressable market definition.</w:t>
      </w:r>
    </w:p>
    <w:p w14:paraId="7B39487D" w14:textId="77777777" w:rsidR="008C0DCC" w:rsidRDefault="008C0DCC">
      <w:pPr>
        <w:spacing w:before="120" w:after="60"/>
        <w:rPr>
          <w:kern w:val="2"/>
          <w14:ligatures w14:val="standardContextual"/>
        </w:rPr>
      </w:pPr>
      <w:r>
        <w:rPr>
          <w:b/>
          <w:bCs/>
          <w:color w:val="000000"/>
        </w:rPr>
        <w:t>Footnote 3 - Fleet/Commercial Purchase Adjustment for Retail-Only Investment Mandates</w:t>
      </w:r>
    </w:p>
    <w:p w14:paraId="7F074A9E" w14:textId="77777777" w:rsidR="008C0DCC" w:rsidRDefault="008C0DCC">
      <w:pPr>
        <w:shd w:val="clear" w:color="auto" w:fill="FFF9F7"/>
        <w:spacing w:before="80" w:after="80"/>
        <w:rPr>
          <w:kern w:val="2"/>
          <w14:ligatures w14:val="standardContextual"/>
        </w:rPr>
      </w:pPr>
      <w:r>
        <w:rPr>
          <w:b/>
          <w:bCs/>
          <w:color w:val="000000"/>
          <w:sz w:val="17"/>
          <w:szCs w:val="17"/>
        </w:rPr>
        <w:t xml:space="preserve">FOOTNOTE 3: </w:t>
      </w:r>
      <w:r>
        <w:rPr>
          <w:color w:val="000000"/>
          <w:sz w:val="17"/>
          <w:szCs w:val="17"/>
        </w:rPr>
        <w:t xml:space="preserve">The FY2027 SAM estimate of ₹48,000 Cr for the India EV passenger car ₹15L-₹40L segment presented in Section 5.1 and the </w:t>
      </w:r>
      <w:proofErr w:type="spellStart"/>
      <w:r>
        <w:rPr>
          <w:color w:val="000000"/>
          <w:sz w:val="17"/>
          <w:szCs w:val="17"/>
        </w:rPr>
        <w:t>Executive_Summary</w:t>
      </w:r>
      <w:proofErr w:type="spellEnd"/>
      <w:r>
        <w:rPr>
          <w:color w:val="000000"/>
          <w:sz w:val="17"/>
          <w:szCs w:val="17"/>
        </w:rPr>
        <w:t xml:space="preserve"> tab of India_EV_Passenger_Market_FY27.xlsx is a TOTAL market figure inclusive of commercial fleet and operator purchases. Internal data (corroborated by purchase channel analysis in </w:t>
      </w:r>
      <w:proofErr w:type="spellStart"/>
      <w:r>
        <w:rPr>
          <w:color w:val="000000"/>
          <w:sz w:val="17"/>
          <w:szCs w:val="17"/>
        </w:rPr>
        <w:t>Vehicle_Category_Mix</w:t>
      </w:r>
      <w:proofErr w:type="spellEnd"/>
      <w:r>
        <w:rPr>
          <w:color w:val="000000"/>
          <w:sz w:val="17"/>
          <w:szCs w:val="17"/>
        </w:rPr>
        <w:t xml:space="preserve"> tab, Section I of the accompanying data file) indicates that commercial fleet and operator purchases - comprising ride-hailing platform fleets, self-drive rental operators, and government fleet procurement - represent approximately 18% of projected FY2027 unit volumes in this segment. Average selling price for fleet channels (approximately ₹23.5L) is within 2.1% of the retail channel ASP (₹24.0L), and the two are therefore treated as ASP-equivalent for adjustment purposes. For investors or JV partners whose investment mandate excludes commercial fleet operators from the addressable market definition (e.g., retail consumer-facing JVs with explicit fleet exclusions per contractual mandate), the applicable retail-only SAM should be computed as follows: Retail-Only SAM = ₹48,000 Cr x (1 - 18%) = ₹39,360 Cr. This adjustment is material and changes the applicable SAM by approximately ₹8,640 Cr. Analysts are strongly advised to apply this adjustment where the investment mandate requires a retail-only market scope, and to cross-reference their investment mandate's market definition clause before using the headline ₹48,000 Cr figure for investment sizing or threshold comparisons.</w:t>
      </w:r>
    </w:p>
    <w:p w14:paraId="58A27DFA" w14:textId="77777777" w:rsidR="008C0DCC" w:rsidRDefault="008C0DCC">
      <w:pPr>
        <w:spacing w:before="80" w:after="80"/>
        <w:rPr>
          <w:kern w:val="2"/>
          <w14:ligatures w14:val="standardContextual"/>
        </w:rPr>
      </w:pPr>
      <w:r>
        <w:rPr>
          <w:i/>
          <w:iCs/>
          <w:color w:val="000000"/>
        </w:rPr>
        <w:t xml:space="preserve">This footnote applies specifically to Section 5.1 of this report and to the ₹48,000 Cr figure in the India_EV_Passenger_Market_FY27.xlsx </w:t>
      </w:r>
      <w:proofErr w:type="spellStart"/>
      <w:r>
        <w:rPr>
          <w:i/>
          <w:iCs/>
          <w:color w:val="000000"/>
        </w:rPr>
        <w:t>Executive_Summary</w:t>
      </w:r>
      <w:proofErr w:type="spellEnd"/>
      <w:r>
        <w:rPr>
          <w:i/>
          <w:iCs/>
          <w:color w:val="000000"/>
        </w:rPr>
        <w:t xml:space="preserve"> tab. It does NOT </w:t>
      </w:r>
      <w:proofErr w:type="gramStart"/>
      <w:r>
        <w:rPr>
          <w:i/>
          <w:iCs/>
          <w:color w:val="000000"/>
        </w:rPr>
        <w:t>apply to</w:t>
      </w:r>
      <w:proofErr w:type="gramEnd"/>
      <w:r>
        <w:rPr>
          <w:i/>
          <w:iCs/>
          <w:color w:val="000000"/>
        </w:rPr>
        <w:t xml:space="preserve"> SAM figures for the 2-wheeler, 3-wheeler, bus, or CV segments, which are not subject to meaningful fleet/retail distinctions in the same manner.</w:t>
      </w:r>
    </w:p>
    <w:p w14:paraId="234F90AA" w14:textId="77777777" w:rsidR="008C0DCC" w:rsidRDefault="008C0DCC" w:rsidP="008C0DCC">
      <w:pPr>
        <w:pStyle w:val="Heading2"/>
        <w:rPr>
          <w:kern w:val="2"/>
          <w14:ligatures w14:val="standardContextual"/>
        </w:rPr>
      </w:pPr>
      <w:r>
        <w:rPr>
          <w:color w:val="000000"/>
        </w:rPr>
        <w:t>B.3 Southeast Asia SAM Figures - Scope</w:t>
      </w:r>
    </w:p>
    <w:p w14:paraId="3FB3FCB1" w14:textId="77777777" w:rsidR="00D272D7" w:rsidRDefault="00000000">
      <w:pPr>
        <w:spacing w:before="60" w:after="60"/>
      </w:pPr>
      <w:r>
        <w:rPr>
          <w:color w:val="000000"/>
        </w:rPr>
        <w:t>SAM figures for Thailand, Vietnam, and Indonesia presented in Section 3 are total market estimates for those countries only and are NOT additive to India figures. They are provided for benchmarking and comparability purposes only. Any investment sizing for the India market must rely exclusively on India-specific data from Section 5 and the India_EV_Passenger_Market_FY27.xlsx file.</w:t>
      </w:r>
    </w:p>
    <w:p w14:paraId="7F3022E4" w14:textId="77777777" w:rsidR="008C0DCC" w:rsidRDefault="008C0DCC" w:rsidP="008C0DCC">
      <w:pPr>
        <w:pStyle w:val="Heading2"/>
        <w:rPr>
          <w:kern w:val="2"/>
          <w14:ligatures w14:val="standardContextual"/>
        </w:rPr>
      </w:pPr>
      <w:r>
        <w:rPr>
          <w:color w:val="000000"/>
        </w:rPr>
        <w:t>B.4 China Market Data - Exclusion from India Investment Analysis</w:t>
      </w:r>
    </w:p>
    <w:p w14:paraId="3AE5C846" w14:textId="77777777" w:rsidR="00D272D7" w:rsidRDefault="00000000">
      <w:pPr>
        <w:spacing w:before="60" w:after="60"/>
      </w:pPr>
      <w:proofErr w:type="spellStart"/>
      <w:r>
        <w:rPr>
          <w:color w:val="000000"/>
        </w:rPr>
        <w:t>ChengAuto's</w:t>
      </w:r>
      <w:proofErr w:type="spellEnd"/>
      <w:r>
        <w:rPr>
          <w:color w:val="000000"/>
        </w:rPr>
        <w:t xml:space="preserve"> China domestic financials, Chinese market share data, and China EV penetration statistics presented in Section 2 are provided for competitive intelligence purposes only. They should not be used as proxies for India market sizing, India-specific TAM/SAM calculations, or India investment returns forecasting, given the material structural differences between the two markets (regulatory environment, purchasing power, infrastructure maturity, OEM competitive dynamics).</w:t>
      </w:r>
    </w:p>
    <w:sectPr w:rsidR="00D272D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C6A19"/>
    <w:multiLevelType w:val="multilevel"/>
    <w:tmpl w:val="0780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66E2F"/>
    <w:multiLevelType w:val="multilevel"/>
    <w:tmpl w:val="870E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C35A2"/>
    <w:multiLevelType w:val="hybridMultilevel"/>
    <w:tmpl w:val="91F6FCAC"/>
    <w:lvl w:ilvl="0" w:tplc="1D14D1BC">
      <w:start w:val="1"/>
      <w:numFmt w:val="bullet"/>
      <w:lvlText w:val="●"/>
      <w:lvlJc w:val="left"/>
      <w:pPr>
        <w:ind w:left="720" w:hanging="360"/>
      </w:pPr>
    </w:lvl>
    <w:lvl w:ilvl="1" w:tplc="B3DEFD48">
      <w:start w:val="1"/>
      <w:numFmt w:val="bullet"/>
      <w:lvlText w:val="○"/>
      <w:lvlJc w:val="left"/>
      <w:pPr>
        <w:ind w:left="1440" w:hanging="360"/>
      </w:pPr>
    </w:lvl>
    <w:lvl w:ilvl="2" w:tplc="422E5BBC">
      <w:start w:val="1"/>
      <w:numFmt w:val="bullet"/>
      <w:lvlText w:val="■"/>
      <w:lvlJc w:val="left"/>
      <w:pPr>
        <w:ind w:left="2160" w:hanging="360"/>
      </w:pPr>
    </w:lvl>
    <w:lvl w:ilvl="3" w:tplc="C6D46448">
      <w:start w:val="1"/>
      <w:numFmt w:val="bullet"/>
      <w:lvlText w:val="●"/>
      <w:lvlJc w:val="left"/>
      <w:pPr>
        <w:ind w:left="2880" w:hanging="360"/>
      </w:pPr>
    </w:lvl>
    <w:lvl w:ilvl="4" w:tplc="B0F426DA">
      <w:start w:val="1"/>
      <w:numFmt w:val="bullet"/>
      <w:lvlText w:val="○"/>
      <w:lvlJc w:val="left"/>
      <w:pPr>
        <w:ind w:left="3600" w:hanging="360"/>
      </w:pPr>
    </w:lvl>
    <w:lvl w:ilvl="5" w:tplc="FE6AE8B6">
      <w:start w:val="1"/>
      <w:numFmt w:val="bullet"/>
      <w:lvlText w:val="■"/>
      <w:lvlJc w:val="left"/>
      <w:pPr>
        <w:ind w:left="4320" w:hanging="360"/>
      </w:pPr>
    </w:lvl>
    <w:lvl w:ilvl="6" w:tplc="0F242202">
      <w:start w:val="1"/>
      <w:numFmt w:val="bullet"/>
      <w:lvlText w:val="●"/>
      <w:lvlJc w:val="left"/>
      <w:pPr>
        <w:ind w:left="5040" w:hanging="360"/>
      </w:pPr>
    </w:lvl>
    <w:lvl w:ilvl="7" w:tplc="32E618E8">
      <w:start w:val="1"/>
      <w:numFmt w:val="bullet"/>
      <w:lvlText w:val="●"/>
      <w:lvlJc w:val="left"/>
      <w:pPr>
        <w:ind w:left="5760" w:hanging="360"/>
      </w:pPr>
    </w:lvl>
    <w:lvl w:ilvl="8" w:tplc="C3FE79B8">
      <w:start w:val="1"/>
      <w:numFmt w:val="bullet"/>
      <w:lvlText w:val="●"/>
      <w:lvlJc w:val="left"/>
      <w:pPr>
        <w:ind w:left="6480" w:hanging="360"/>
      </w:pPr>
    </w:lvl>
  </w:abstractNum>
  <w:num w:numId="1" w16cid:durableId="1416245505">
    <w:abstractNumId w:val="2"/>
    <w:lvlOverride w:ilvl="0">
      <w:startOverride w:val="1"/>
    </w:lvlOverride>
  </w:num>
  <w:num w:numId="2" w16cid:durableId="899171241">
    <w:abstractNumId w:val="1"/>
  </w:num>
  <w:num w:numId="3" w16cid:durableId="121033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2D7"/>
    <w:rsid w:val="0019570B"/>
    <w:rsid w:val="003A41E3"/>
    <w:rsid w:val="007C528A"/>
    <w:rsid w:val="008C0DCC"/>
    <w:rsid w:val="00C43CAF"/>
    <w:rsid w:val="00D272D7"/>
    <w:rsid w:val="00F86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D7DF5"/>
  <w15:docId w15:val="{A336EE89-2A2C-443B-9DF5-06A97F187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80" w:after="160"/>
      <w:outlineLvl w:val="0"/>
    </w:pPr>
    <w:rPr>
      <w:b/>
      <w:bCs/>
      <w:color w:val="1F3864"/>
      <w:sz w:val="28"/>
      <w:szCs w:val="28"/>
    </w:rPr>
  </w:style>
  <w:style w:type="paragraph" w:styleId="Heading2">
    <w:name w:val="heading 2"/>
    <w:link w:val="Heading2Char"/>
    <w:uiPriority w:val="9"/>
    <w:unhideWhenUsed/>
    <w:qFormat/>
    <w:pPr>
      <w:spacing w:before="200" w:after="12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C0DCC"/>
    <w:rPr>
      <w:b/>
      <w:bCs/>
      <w:color w:val="1F3864"/>
      <w:sz w:val="28"/>
      <w:szCs w:val="28"/>
    </w:rPr>
  </w:style>
  <w:style w:type="character" w:customStyle="1" w:styleId="Heading2Char">
    <w:name w:val="Heading 2 Char"/>
    <w:basedOn w:val="DefaultParagraphFont"/>
    <w:link w:val="Heading2"/>
    <w:uiPriority w:val="9"/>
    <w:rsid w:val="008C0DCC"/>
    <w:rPr>
      <w:b/>
      <w:bCs/>
      <w:color w:val="2E75B6"/>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9</Pages>
  <Words>2645</Words>
  <Characters>15876</Characters>
  <Application>Microsoft Office Word</Application>
  <DocSecurity>0</DocSecurity>
  <Lines>237</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Makhija, Kuldeep Kaur</cp:lastModifiedBy>
  <cp:revision>3</cp:revision>
  <dcterms:created xsi:type="dcterms:W3CDTF">2026-04-26T19:50:00Z</dcterms:created>
  <dcterms:modified xsi:type="dcterms:W3CDTF">2026-04-27T18:41:00Z</dcterms:modified>
</cp:coreProperties>
</file>