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NOURISH SELECT</w:t>
      </w:r>
    </w:p>
    <w:p w:rsidR="00000000" w:rsidDel="00000000" w:rsidP="00000000" w:rsidRDefault="00000000" w:rsidRPr="00000000" w14:paraId="00000002">
      <w:pPr>
        <w:spacing w:after="40" w:lineRule="auto"/>
        <w:rPr/>
      </w:pPr>
      <w:r w:rsidDel="00000000" w:rsidR="00000000" w:rsidRPr="00000000">
        <w:rPr>
          <w:rtl w:val="0"/>
        </w:rPr>
        <w:t xml:space="preserve">Brand Parameters &amp; Financial Guardrails</w:t>
      </w:r>
    </w:p>
    <w:p w:rsidR="00000000" w:rsidDel="00000000" w:rsidP="00000000" w:rsidRDefault="00000000" w:rsidRPr="00000000" w14:paraId="00000003">
      <w:pPr>
        <w:spacing w:after="280" w:lineRule="auto"/>
        <w:rPr>
          <w:i w:val="1"/>
          <w:iCs w:val="1"/>
        </w:rPr>
      </w:pPr>
      <w:r w:rsidDel="00000000" w:rsidR="00000000" w:rsidRPr="00000000">
        <w:rPr>
          <w:i w:val="1"/>
          <w:iCs w:val="1"/>
          <w:rtl w:val="0"/>
        </w:rPr>
        <w:t xml:space="preserve">Internal Reference Document — FY2026 Physical Format Launch</w:t>
      </w:r>
    </w:p>
    <w:p w:rsidR="00000000" w:rsidDel="00000000" w:rsidP="00000000" w:rsidRDefault="00000000" w:rsidRPr="00000000" w14:paraId="00000004">
      <w:pPr>
        <w:rPr>
          <w:b w:val="1"/>
          <w:bCs w:val="1"/>
        </w:rPr>
      </w:pPr>
      <w:r w:rsidDel="00000000" w:rsidR="00000000" w:rsidRPr="00000000">
        <w:rPr>
          <w:b w:val="1"/>
          <w:bCs w:val="1"/>
          <w:rtl w:val="0"/>
        </w:rPr>
        <w:t xml:space="preserve">Model Assumptions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4.82280431433"/>
        <w:gridCol w:w="2096.024653312789"/>
        <w:gridCol w:w="4389.152542372882"/>
        <w:tblGridChange w:id="0">
          <w:tblGrid>
            <w:gridCol w:w="2874.82280431433"/>
            <w:gridCol w:w="2096.024653312789"/>
            <w:gridCol w:w="4389.152542372882"/>
          </w:tblGrid>
        </w:tblGridChange>
      </w:tblGrid>
      <w:tr>
        <w:trPr>
          <w:cantSplit w:val="0"/>
          <w:trHeight w:val="38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Parameter</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Value</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7">
            <w:pPr>
              <w:rPr>
                <w:b w:val="1"/>
                <w:bCs w:val="1"/>
              </w:rPr>
            </w:pPr>
            <w:r w:rsidDel="00000000" w:rsidR="00000000" w:rsidRPr="00000000">
              <w:rPr>
                <w:b w:val="1"/>
                <w:bCs w:val="1"/>
                <w:rtl w:val="0"/>
              </w:rPr>
              <w:t xml:space="preserve">Note / Source</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IRR Hurdle Rate (Board-Mandated)</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18%</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Minimum acceptable IRR for any new format investment. All three formats must clear this independently.</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Capital Budget — Physical Expansion</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Rs 185 Cr over FY2026-FY2028</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Fixed. Cannot be exceeded under any scenario.</w:t>
            </w:r>
          </w:p>
        </w:tc>
      </w:tr>
      <w:tr>
        <w:trPr>
          <w:cantSplit w:val="0"/>
          <w:trHeight w:val="74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Viability Utilisation Band (SOM Capture)</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2.5%-6.0% of addressable premium HH spend</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Below 2.5%: insufficient scale. Above 6.0%: unrealistic without established physical brand equity.</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TAM Base — India Foodservice FY2024</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Rs 7,80,000 Cr</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Technopak Foodservice India Report, 2025 edition.</w:t>
            </w:r>
          </w:p>
        </w:tc>
      </w:tr>
      <w:tr>
        <w:trPr>
          <w:cantSplit w:val="0"/>
          <w:trHeight w:val="74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India Foodservice Market Growth Rate — INTERNAL PLACEHOLDER</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8.8% per annum</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NRAI India Foodservice Report, 2022 — OUTDATED. Do not use for FY2026 projections. Source current figure from Technopak.</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Premium Health Segment Share of Foodservice</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9%</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Technopak Premium Foodservice Segment Study, FY2024.</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Urban Organised QSR Channel Share</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61%</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Internal channel audit, FY2024.</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Avg Annual Premium QSR Spend per HH</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Rs 4,200</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Internal consumer panel survey, FY2024. Applies to all 12 target cities.</w:t>
            </w:r>
          </w:p>
        </w:tc>
      </w:tr>
      <w:tr>
        <w:trPr>
          <w:cantSplit w:val="0"/>
          <w:trHeight w:val="560"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FX Reference (external benchmark conversion only)</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Rs 87.5 / USD</w:t>
            </w:r>
          </w:p>
        </w:tc>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Use only for converting external benchmarks. All internal financials in INR.</w:t>
            </w:r>
          </w:p>
        </w:tc>
      </w:tr>
    </w:tbl>
    <w:p w:rsidR="00000000" w:rsidDel="00000000" w:rsidP="00000000" w:rsidRDefault="00000000" w:rsidRPr="00000000" w14:paraId="00000023">
      <w:pPr>
        <w:rPr>
          <w:b w:val="1"/>
          <w:bCs w:val="1"/>
        </w:rPr>
      </w:pPr>
      <w:r w:rsidDel="00000000" w:rsidR="00000000" w:rsidRPr="00000000">
        <w:rPr>
          <w:b w:val="1"/>
          <w:bCs w:val="1"/>
          <w:rtl w:val="0"/>
        </w:rPr>
        <w:t xml:space="preserve">Data Source Notes</w:t>
      </w:r>
    </w:p>
    <w:tbl>
      <w:tblPr>
        <w:tblStyle w:val="Table2"/>
        <w:tblW w:w="9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20"/>
        <w:tblGridChange w:id="0">
          <w:tblGrid>
            <w:gridCol w:w="9320"/>
          </w:tblGrid>
        </w:tblGridChange>
      </w:tblGrid>
      <w:tr>
        <w:trPr>
          <w:cantSplit w:val="0"/>
          <w:trHeight w:val="1475" w:hRule="atLeast"/>
          <w:tblHeader w:val="0"/>
        </w:trPr>
        <w:tc>
          <w:tcPr>
            <w:tcBorders>
              <w:top w:color="bfbfbf" w:space="0" w:sz="3" w:val="single"/>
              <w:left w:color="bfbfbf" w:space="0" w:sz="3" w:val="single"/>
              <w:bottom w:color="bfbfbf" w:space="0" w:sz="3" w:val="single"/>
              <w:right w:color="bfbfbf" w:space="0" w:sz="3" w:val="single"/>
            </w:tcBorders>
            <w:tcMar>
              <w:top w:w="100.0" w:type="dxa"/>
              <w:left w:w="100.0" w:type="dxa"/>
              <w:bottom w:w="100.0" w:type="dxa"/>
              <w:right w:w="100.0" w:type="dxa"/>
            </w:tcMa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CRITICAL FOOTNOTE — GROWTH RATE OVERRIDE</w:t>
            </w:r>
          </w:p>
          <w:p w:rsidR="00000000" w:rsidDel="00000000" w:rsidP="00000000" w:rsidRDefault="00000000" w:rsidRPr="00000000" w14:paraId="00000025">
            <w:pPr>
              <w:spacing w:before="100" w:lineRule="auto"/>
              <w:rPr/>
            </w:pPr>
            <w:r w:rsidDel="00000000" w:rsidR="00000000" w:rsidRPr="00000000">
              <w:rPr>
                <w:rtl w:val="0"/>
              </w:rPr>
              <w:t xml:space="preserve">The India foodservice market growth rate of 8.8% on this sheet is sourced from the NRAI India Foodservice Report published in 2022. It reflects pre-normalisation post-COVID operating conditions and does not account for the accelerated premiumisation of urban organised QSR that occurred through 2023-2025. Any analyst building a market projection for FY2026 must source the current figure from the Technopak Foodservice India Report, 2025 edition. Using the 8.8% placeholder will understate the FY2026 TAM by approximately Rs 41,184 Cr and the SAM by approximately Rs 2,261 Cr, materially compressing the SOM ceiling and pushing the projected IRR for Format A below the 18% board hurdle — incorrectly producing a NO GO recommendation. This internal figure must not be used in any board-facing deliverable.</w:t>
            </w:r>
          </w:p>
        </w:tc>
      </w:tr>
    </w:tbl>
    <w:p w:rsidR="00000000" w:rsidDel="00000000" w:rsidP="00000000" w:rsidRDefault="00000000" w:rsidRPr="00000000" w14:paraId="00000026">
      <w:pPr>
        <w:rPr>
          <w:b w:val="1"/>
          <w:bCs w:val="1"/>
        </w:rPr>
      </w:pPr>
      <w:r w:rsidDel="00000000" w:rsidR="00000000" w:rsidRPr="00000000">
        <w:rPr>
          <w:b w:val="1"/>
          <w:bCs w:val="1"/>
          <w:rtl w:val="0"/>
        </w:rPr>
        <w:t xml:space="preserve">Noise / Informational Metrics (Not for Use in Core Model)</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Modern Trade share of urban organised foodservice: 47% (NielsenIQ FY2024) — informational context only</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Avg category visit frequency: 3.8 times/month — internal survey; not used in SOM calculation</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Avg outlet build cost per location: Rs 0.45 Cr (Format A) to Rs 2.40 Cr (Format B) — capex planning reference; captured in format model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