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HydraPure Labor and Inventory Cost Reference Document</w:t>
      </w:r>
    </w:p>
    <w:p w:rsidR="00000000" w:rsidDel="00000000" w:rsidP="00000000" w:rsidRDefault="00000000" w:rsidRPr="00000000" w14:paraId="00000002">
      <w:pPr>
        <w:rPr/>
      </w:pPr>
      <w:r w:rsidDel="00000000" w:rsidR="00000000" w:rsidRPr="00000000">
        <w:rPr>
          <w:rtl w:val="0"/>
        </w:rPr>
        <w:t xml:space="preserve">This document records the standardized labor rate structure and inventory holding cost parameters applicable to HydraPure manufacturing operations as of 1 January 2025. The purpose of this reference document is to formally preserve internal cost assumptions used across operational analysis, financial modeling, throughput evaluation, and production planning exercises. All values included below reflect approved internal benchmarks and are presented without modification to ensure consistency across analytical applications.</w:t>
      </w:r>
    </w:p>
    <w:p w:rsidR="00000000" w:rsidDel="00000000" w:rsidP="00000000" w:rsidRDefault="00000000" w:rsidRPr="00000000" w14:paraId="00000003">
      <w:pPr>
        <w:pStyle w:val="Heading2"/>
        <w:rPr/>
      </w:pPr>
      <w:r w:rsidDel="00000000" w:rsidR="00000000" w:rsidRPr="00000000">
        <w:rPr>
          <w:rtl w:val="0"/>
        </w:rPr>
        <w:t xml:space="preserve">Labor Rate Structure (Effective 1 January 2025)</w:t>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Role</w:t>
            </w:r>
          </w:p>
        </w:tc>
        <w:tc>
          <w:tcPr/>
          <w:p w:rsidR="00000000" w:rsidDel="00000000" w:rsidP="00000000" w:rsidRDefault="00000000" w:rsidRPr="00000000" w14:paraId="00000005">
            <w:pPr>
              <w:rPr/>
            </w:pPr>
            <w:r w:rsidDel="00000000" w:rsidR="00000000" w:rsidRPr="00000000">
              <w:rPr>
                <w:rtl w:val="0"/>
              </w:rPr>
              <w:t xml:space="preserve">Hourly Labor Rate (USD)</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Assembly Technician</w:t>
            </w:r>
          </w:p>
        </w:tc>
        <w:tc>
          <w:tcPr/>
          <w:p w:rsidR="00000000" w:rsidDel="00000000" w:rsidP="00000000" w:rsidRDefault="00000000" w:rsidRPr="00000000" w14:paraId="00000007">
            <w:pPr>
              <w:rPr/>
            </w:pPr>
            <w:r w:rsidDel="00000000" w:rsidR="00000000" w:rsidRPr="00000000">
              <w:rPr>
                <w:rtl w:val="0"/>
              </w:rPr>
              <w:t xml:space="preserve">28.50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Testing Specialist</w:t>
            </w:r>
          </w:p>
        </w:tc>
        <w:tc>
          <w:tcPr/>
          <w:p w:rsidR="00000000" w:rsidDel="00000000" w:rsidP="00000000" w:rsidRDefault="00000000" w:rsidRPr="00000000" w14:paraId="00000009">
            <w:pPr>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Packaging Operator</w:t>
            </w:r>
          </w:p>
        </w:tc>
        <w:tc>
          <w:tcPr/>
          <w:p w:rsidR="00000000" w:rsidDel="00000000" w:rsidP="00000000" w:rsidRDefault="00000000" w:rsidRPr="00000000" w14:paraId="0000000B">
            <w:pPr>
              <w:rPr/>
            </w:pPr>
            <w:r w:rsidDel="00000000" w:rsidR="00000000" w:rsidRPr="00000000">
              <w:rPr>
                <w:rtl w:val="0"/>
              </w:rPr>
              <w:t xml:space="preserve">22.00</w:t>
            </w:r>
          </w:p>
        </w:tc>
      </w:tr>
    </w:tbl>
    <w:p w:rsidR="00000000" w:rsidDel="00000000" w:rsidP="00000000" w:rsidRDefault="00000000" w:rsidRPr="00000000" w14:paraId="0000000C">
      <w:pPr>
        <w:pStyle w:val="Heading2"/>
        <w:rPr/>
      </w:pPr>
      <w:r w:rsidDel="00000000" w:rsidR="00000000" w:rsidRPr="00000000">
        <w:rPr>
          <w:rtl w:val="0"/>
        </w:rPr>
        <w:t xml:space="preserve">Labor Cost Interpretation</w:t>
      </w:r>
    </w:p>
    <w:p w:rsidR="00000000" w:rsidDel="00000000" w:rsidP="00000000" w:rsidRDefault="00000000" w:rsidRPr="00000000" w14:paraId="0000000D">
      <w:pPr>
        <w:rPr/>
      </w:pPr>
      <w:r w:rsidDel="00000000" w:rsidR="00000000" w:rsidRPr="00000000">
        <w:rPr>
          <w:rtl w:val="0"/>
        </w:rPr>
        <w:t xml:space="preserve">The labor rate structure represents the operational workforce categories supporting core manufacturing activities. Assembly Technicians are responsible for structural preparation and component integration tasks, Testing Specialists perform verification and quality assurance procedures, while Packaging Operators manage final handling and shipment preparation processes. Maintaining differentiated labor benchmarks allows management to accurately evaluate staffing decisions, productivity improvements, and cost optimization initiatives.</w:t>
      </w:r>
    </w:p>
    <w:p w:rsidR="00000000" w:rsidDel="00000000" w:rsidP="00000000" w:rsidRDefault="00000000" w:rsidRPr="00000000" w14:paraId="0000000E">
      <w:pPr>
        <w:rPr/>
      </w:pPr>
      <w:r w:rsidDel="00000000" w:rsidR="00000000" w:rsidRPr="00000000">
        <w:rPr>
          <w:rtl w:val="0"/>
        </w:rPr>
        <w:t xml:space="preserve">Labor cost inputs are frequently incorporated into capacity expansion analysis, workforce planning, and automation investment evaluation models. Consistent documentation ensures alignment between operations teams and financial planning functions when estimating incremental production costs or evaluating return on investment scenarios.</w:t>
      </w:r>
    </w:p>
    <w:p w:rsidR="00000000" w:rsidDel="00000000" w:rsidP="00000000" w:rsidRDefault="00000000" w:rsidRPr="00000000" w14:paraId="0000000F">
      <w:pPr>
        <w:pStyle w:val="Heading2"/>
        <w:rPr/>
      </w:pPr>
      <w:r w:rsidDel="00000000" w:rsidR="00000000" w:rsidRPr="00000000">
        <w:rPr>
          <w:rtl w:val="0"/>
        </w:rPr>
        <w:t xml:space="preserve">Operational Significance of Inventory Holding Costs</w:t>
      </w:r>
    </w:p>
    <w:p w:rsidR="00000000" w:rsidDel="00000000" w:rsidP="00000000" w:rsidRDefault="00000000" w:rsidRPr="00000000" w14:paraId="00000010">
      <w:pPr>
        <w:rPr/>
      </w:pPr>
      <w:r w:rsidDel="00000000" w:rsidR="00000000" w:rsidRPr="00000000">
        <w:rPr>
          <w:rtl w:val="0"/>
        </w:rPr>
        <w:t xml:space="preserve">Inventory holding cost reflects the financial impact associated with units waiting within the production system prior to completion. Work-in-progress inventory accumulates when processing speeds differ across manufacturing stages, leading to temporary storage, capital lock-in, and handling overhead. Establishing a standardized holding cost enables quantitative evaluation of production delays and supports identification of economically justified operational improvements.</w:t>
      </w:r>
    </w:p>
    <w:p w:rsidR="00000000" w:rsidDel="00000000" w:rsidP="00000000" w:rsidRDefault="00000000" w:rsidRPr="00000000" w14:paraId="00000011">
      <w:pPr>
        <w:rPr/>
      </w:pPr>
      <w:r w:rsidDel="00000000" w:rsidR="00000000" w:rsidRPr="00000000">
        <w:rPr>
          <w:rtl w:val="0"/>
        </w:rPr>
        <w:t xml:space="preserve">In throughput-oriented manufacturing environments, inventory holding costs play a critical role in assessing bottleneck severity and prioritizing corrective investments. Accurate representation of these costs allows leadership teams to measure indirect efficiency gains resulting from reduced queue time, smoother workflow synchronization, and improved utilization of production resources.</w:t>
      </w:r>
    </w:p>
    <w:p w:rsidR="00000000" w:rsidDel="00000000" w:rsidP="00000000" w:rsidRDefault="00000000" w:rsidRPr="00000000" w14:paraId="00000012">
      <w:pPr>
        <w:pStyle w:val="Heading2"/>
        <w:rPr/>
      </w:pPr>
      <w:r w:rsidDel="00000000" w:rsidR="00000000" w:rsidRPr="00000000">
        <w:rPr>
          <w:rtl w:val="0"/>
        </w:rPr>
        <w:t xml:space="preserve">Documentation Purpose and Governance</w:t>
      </w:r>
    </w:p>
    <w:p w:rsidR="00000000" w:rsidDel="00000000" w:rsidP="00000000" w:rsidRDefault="00000000" w:rsidRPr="00000000" w14:paraId="00000013">
      <w:pPr>
        <w:rPr/>
      </w:pPr>
      <w:r w:rsidDel="00000000" w:rsidR="00000000" w:rsidRPr="00000000">
        <w:rPr>
          <w:rtl w:val="0"/>
        </w:rPr>
        <w:t xml:space="preserve">This reference document serves as an official internal cost baseline supporting operational decision-making frameworks across HydraPure. Standardized cost assumptions improve analytical transparency, enable repeatable modeling outcomes, and strengthen governance practices related to capital allocation and performance evaluation. Future revisions should be formally documented to maintain version control and organizational alignment.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XArdgr/iGHx+faAgDC7/R6eaQ==">CgMxLjA4AHIhMVRBM0tNY1FXbExseVc3ci1rZ3RqODZBRFNZZTVXMUoz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