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HydraPure Production Line Throughput Analysis Report</w:t>
      </w:r>
    </w:p>
    <w:p>
      <w:r>
        <w:t>This document presents an operational review of the HydraPure industrial water-filter manufacturing production line using internally collected time study data. The objective of this report is to analyze stage-wise processing duration across Frame Assembly, Membrane Fitting, Testing, and Packaging operations. The dataset represents observed cycle times recorded across multiple production units and serves as the baseline for identifying operational constraints, throughput limitations, and efficiency opportunities within the manufacturing workflow. The analysis framework follows standard industrial engineering and operations management principles focusing on bottleneck identification and system-wide productivity.</w:t>
      </w:r>
    </w:p>
    <w:p>
      <w:pPr>
        <w:pStyle w:val="Heading2"/>
      </w:pPr>
      <w:r>
        <w:t>Production Time Study Dataset</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Unit_ID</w:t>
            </w:r>
          </w:p>
        </w:tc>
        <w:tc>
          <w:tcPr>
            <w:tcW w:type="dxa" w:w="1728"/>
          </w:tcPr>
          <w:p>
            <w:r>
              <w:t>Frame_Assembly (min)</w:t>
            </w:r>
          </w:p>
        </w:tc>
        <w:tc>
          <w:tcPr>
            <w:tcW w:type="dxa" w:w="1728"/>
          </w:tcPr>
          <w:p>
            <w:r>
              <w:t>Membrane_Fitting (min)</w:t>
            </w:r>
          </w:p>
        </w:tc>
        <w:tc>
          <w:tcPr>
            <w:tcW w:type="dxa" w:w="1728"/>
          </w:tcPr>
          <w:p>
            <w:r>
              <w:t>Testing (min)</w:t>
            </w:r>
          </w:p>
        </w:tc>
        <w:tc>
          <w:tcPr>
            <w:tcW w:type="dxa" w:w="1728"/>
          </w:tcPr>
          <w:p>
            <w:r>
              <w:t>Packaging (min)</w:t>
            </w:r>
          </w:p>
        </w:tc>
      </w:tr>
      <w:tr>
        <w:tc>
          <w:tcPr>
            <w:tcW w:type="dxa" w:w="1728"/>
          </w:tcPr>
          <w:p>
            <w:r>
              <w:t>HP-001</w:t>
            </w:r>
          </w:p>
        </w:tc>
        <w:tc>
          <w:tcPr>
            <w:tcW w:type="dxa" w:w="1728"/>
          </w:tcPr>
          <w:p>
            <w:r>
              <w:t>12</w:t>
            </w:r>
          </w:p>
        </w:tc>
        <w:tc>
          <w:tcPr>
            <w:tcW w:type="dxa" w:w="1728"/>
          </w:tcPr>
          <w:p>
            <w:r>
              <w:t>15</w:t>
            </w:r>
          </w:p>
        </w:tc>
        <w:tc>
          <w:tcPr>
            <w:tcW w:type="dxa" w:w="1728"/>
          </w:tcPr>
          <w:p>
            <w:r>
              <w:t>22</w:t>
            </w:r>
          </w:p>
        </w:tc>
        <w:tc>
          <w:tcPr>
            <w:tcW w:type="dxa" w:w="1728"/>
          </w:tcPr>
          <w:p>
            <w:r>
              <w:t>8</w:t>
            </w:r>
          </w:p>
        </w:tc>
      </w:tr>
      <w:tr>
        <w:tc>
          <w:tcPr>
            <w:tcW w:type="dxa" w:w="1728"/>
          </w:tcPr>
          <w:p>
            <w:r>
              <w:t>HP-002</w:t>
            </w:r>
          </w:p>
        </w:tc>
        <w:tc>
          <w:tcPr>
            <w:tcW w:type="dxa" w:w="1728"/>
          </w:tcPr>
          <w:p>
            <w:r>
              <w:t>11</w:t>
            </w:r>
          </w:p>
        </w:tc>
        <w:tc>
          <w:tcPr>
            <w:tcW w:type="dxa" w:w="1728"/>
          </w:tcPr>
          <w:p>
            <w:r>
              <w:t>14</w:t>
            </w:r>
          </w:p>
        </w:tc>
        <w:tc>
          <w:tcPr>
            <w:tcW w:type="dxa" w:w="1728"/>
          </w:tcPr>
          <w:p>
            <w:r>
              <w:t>20</w:t>
            </w:r>
          </w:p>
        </w:tc>
        <w:tc>
          <w:tcPr>
            <w:tcW w:type="dxa" w:w="1728"/>
          </w:tcPr>
          <w:p>
            <w:r>
              <w:t>7</w:t>
            </w:r>
          </w:p>
        </w:tc>
      </w:tr>
      <w:tr>
        <w:tc>
          <w:tcPr>
            <w:tcW w:type="dxa" w:w="1728"/>
          </w:tcPr>
          <w:p>
            <w:r>
              <w:t>HP-003</w:t>
            </w:r>
          </w:p>
        </w:tc>
        <w:tc>
          <w:tcPr>
            <w:tcW w:type="dxa" w:w="1728"/>
          </w:tcPr>
          <w:p>
            <w:r>
              <w:t>13</w:t>
            </w:r>
          </w:p>
        </w:tc>
        <w:tc>
          <w:tcPr>
            <w:tcW w:type="dxa" w:w="1728"/>
          </w:tcPr>
          <w:p>
            <w:r>
              <w:t>16</w:t>
            </w:r>
          </w:p>
        </w:tc>
        <w:tc>
          <w:tcPr>
            <w:tcW w:type="dxa" w:w="1728"/>
          </w:tcPr>
          <w:p>
            <w:r>
              <w:t>25</w:t>
            </w:r>
          </w:p>
        </w:tc>
        <w:tc>
          <w:tcPr>
            <w:tcW w:type="dxa" w:w="1728"/>
          </w:tcPr>
          <w:p>
            <w:r>
              <w:t>9</w:t>
            </w:r>
          </w:p>
        </w:tc>
      </w:tr>
      <w:tr>
        <w:tc>
          <w:tcPr>
            <w:tcW w:type="dxa" w:w="1728"/>
          </w:tcPr>
          <w:p>
            <w:r>
              <w:t>HP-004</w:t>
            </w:r>
          </w:p>
        </w:tc>
        <w:tc>
          <w:tcPr>
            <w:tcW w:type="dxa" w:w="1728"/>
          </w:tcPr>
          <w:p>
            <w:r>
              <w:t>10</w:t>
            </w:r>
          </w:p>
        </w:tc>
        <w:tc>
          <w:tcPr>
            <w:tcW w:type="dxa" w:w="1728"/>
          </w:tcPr>
          <w:p>
            <w:r>
              <w:t>14</w:t>
            </w:r>
          </w:p>
        </w:tc>
        <w:tc>
          <w:tcPr>
            <w:tcW w:type="dxa" w:w="1728"/>
          </w:tcPr>
          <w:p>
            <w:r>
              <w:t>21</w:t>
            </w:r>
          </w:p>
        </w:tc>
        <w:tc>
          <w:tcPr>
            <w:tcW w:type="dxa" w:w="1728"/>
          </w:tcPr>
          <w:p>
            <w:r>
              <w:t>8</w:t>
            </w:r>
          </w:p>
        </w:tc>
      </w:tr>
      <w:tr>
        <w:tc>
          <w:tcPr>
            <w:tcW w:type="dxa" w:w="1728"/>
          </w:tcPr>
          <w:p>
            <w:r>
              <w:t>HP-005</w:t>
            </w:r>
          </w:p>
        </w:tc>
        <w:tc>
          <w:tcPr>
            <w:tcW w:type="dxa" w:w="1728"/>
          </w:tcPr>
          <w:p>
            <w:r>
              <w:t>12</w:t>
            </w:r>
          </w:p>
        </w:tc>
        <w:tc>
          <w:tcPr>
            <w:tcW w:type="dxa" w:w="1728"/>
          </w:tcPr>
          <w:p>
            <w:r>
              <w:t>15</w:t>
            </w:r>
          </w:p>
        </w:tc>
        <w:tc>
          <w:tcPr>
            <w:tcW w:type="dxa" w:w="1728"/>
          </w:tcPr>
          <w:p>
            <w:r>
              <w:t>19</w:t>
            </w:r>
          </w:p>
        </w:tc>
        <w:tc>
          <w:tcPr>
            <w:tcW w:type="dxa" w:w="1728"/>
          </w:tcPr>
          <w:p>
            <w:r>
              <w:t>7</w:t>
            </w:r>
          </w:p>
        </w:tc>
      </w:tr>
    </w:tbl>
    <w:p>
      <w:pPr>
        <w:pStyle w:val="Heading2"/>
      </w:pPr>
      <w:r>
        <w:t>Analytical Methodology</w:t>
      </w:r>
    </w:p>
    <w:p>
      <w:r>
        <w:t>The analytical methodology applied in this assessment evaluates each manufacturing stage based on average processing time per unit. System throughput is governed by the slowest operational stage, commonly referred to as the production bottleneck. Cycle time measurements were examined collectively to understand workload distribution, operational balance between stations, and potential accumulation of work-in-progress inventory. This structured evaluation enables management to interpret performance constraints without altering the underlying operational dataset.</w:t>
      </w:r>
    </w:p>
    <w:p>
      <w:r>
        <w:t>The analysis further considers practical shop-floor implications such as operator utilization, resource synchronization, and inter-stage dependency. Manufacturing systems operate as integrated flows rather than independent workstations; therefore, improvements at non-constrained stages may not translate into overall productivity gains. Emphasis is placed on understanding systemic efficiency rather than isolated performance metrics.</w:t>
      </w:r>
    </w:p>
    <w:p>
      <w:pPr>
        <w:pStyle w:val="Heading2"/>
      </w:pPr>
      <w:r>
        <w:t>Operational Observations</w:t>
      </w:r>
    </w:p>
    <w:p>
      <w:r>
        <w:t>Initial observation of the dataset indicates variation in processing durations across production stages. Frame Assembly and Packaging demonstrate comparatively lower cycle times, suggesting relatively higher processing capacity. Membrane Fitting shows moderate processing duration consistency across units, while Testing exhibits the highest recorded processing time values among all stages. Such differences typically indicate potential throughput constraints that influence upstream inventory accumulation and downstream idle capacity.</w:t>
      </w:r>
    </w:p>
    <w:p>
      <w:r>
        <w:t>Variability across individual unit measurements also highlights operational realities such as equipment handling differences, technician interaction time, inspection complexity, and quality verification requirements. These factors contribute to real-world manufacturing fluctuations and must be considered during operational planning and investment evaluation exercises.</w:t>
      </w:r>
    </w:p>
    <w:p>
      <w:pPr>
        <w:pStyle w:val="Heading2"/>
      </w:pPr>
      <w:r>
        <w:t>Interpretation and Managerial Context</w:t>
      </w:r>
    </w:p>
    <w:p>
      <w:r>
        <w:t>From a managerial perspective, structured documentation of production timing enables leadership teams to align capital allocation decisions with measurable operational constraints. Maintaining accurate baseline datasets ensures that future improvement initiatives remain traceable and analytically justified. The presented dataset forms a foundational reference for evaluating workforce expansion, automation investments, and workflow redesign initiatives.</w:t>
      </w:r>
    </w:p>
    <w:p>
      <w:r>
        <w:t>Comprehensive reporting also supports cross-functional coordination among operations, finance, and engineering teams. By preserving original measurement integrity while expanding analytical interpretation, organizations can ensure transparent decision-making processes supported by quantitative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