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Arial" w:cs="Arial" w:eastAsia="Arial" w:hAnsi="Arial"/>
          <w:sz w:val="36"/>
          <w:szCs w:val="36"/>
          <w:rtl w:val="0"/>
        </w:rPr>
        <w:t xml:space="preserve">Internal Sustainability &amp; EU Expansion Assessment</w:t>
      </w: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Fonts w:ascii="Arial" w:cs="Arial" w:eastAsia="Arial" w:hAnsi="Arial"/>
          <w:sz w:val="22"/>
          <w:szCs w:val="22"/>
          <w:rtl w:val="0"/>
        </w:rPr>
        <w:t xml:space="preserve">Internal Working Document — Not for External Circulation</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Fonts w:ascii="Arial" w:cs="Arial" w:eastAsia="Arial" w:hAnsi="Arial"/>
          <w:sz w:val="22"/>
          <w:szCs w:val="22"/>
          <w:rtl w:val="0"/>
        </w:rPr>
        <w:t xml:space="preserve">Strategy &amp; Operations Team  |  Confidential Draft  |  FY 2025</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120" w:before="240" w:lineRule="auto"/>
        <w:rPr/>
      </w:pPr>
      <w:r w:rsidDel="00000000" w:rsidR="00000000" w:rsidRPr="00000000">
        <w:rPr>
          <w:rFonts w:ascii="Arial" w:cs="Arial" w:eastAsia="Arial" w:hAnsi="Arial"/>
          <w:sz w:val="28"/>
          <w:szCs w:val="28"/>
          <w:rtl w:val="0"/>
        </w:rPr>
        <w:t xml:space="preserve">1. Company Overview</w:t>
      </w:r>
      <w:r w:rsidDel="00000000" w:rsidR="00000000" w:rsidRPr="00000000">
        <w:rPr>
          <w:rtl w:val="0"/>
        </w:rPr>
      </w:r>
    </w:p>
    <w:p w:rsidR="00000000" w:rsidDel="00000000" w:rsidP="00000000" w:rsidRDefault="00000000" w:rsidRPr="00000000" w14:paraId="00000006">
      <w:pPr>
        <w:spacing w:after="140" w:lineRule="auto"/>
        <w:rPr/>
      </w:pPr>
      <w:r w:rsidDel="00000000" w:rsidR="00000000" w:rsidRPr="00000000">
        <w:rPr>
          <w:rFonts w:ascii="Arial" w:cs="Arial" w:eastAsia="Arial" w:hAnsi="Arial"/>
          <w:sz w:val="22"/>
          <w:szCs w:val="22"/>
          <w:rtl w:val="0"/>
        </w:rPr>
        <w:t xml:space="preserve">The company is an India-based mid-sized manufacturer specialising in biodegradable food-packaging products, including disposable plates, takeaway containers, and flexible food wraps. The company primarily serves domestic food-service clients such as quick-service restaurants, catering companies, and institutional buyers. Operations are centralised in a single manufacturing facility located in India, which currently supports all production and fulfilment activities.</w:t>
      </w:r>
      <w:r w:rsidDel="00000000" w:rsidR="00000000" w:rsidRPr="00000000">
        <w:rPr>
          <w:rtl w:val="0"/>
        </w:rPr>
      </w:r>
    </w:p>
    <w:p w:rsidR="00000000" w:rsidDel="00000000" w:rsidP="00000000" w:rsidRDefault="00000000" w:rsidRPr="00000000" w14:paraId="00000007">
      <w:pPr>
        <w:spacing w:after="140" w:lineRule="auto"/>
        <w:rPr/>
      </w:pPr>
      <w:r w:rsidDel="00000000" w:rsidR="00000000" w:rsidRPr="00000000">
        <w:rPr>
          <w:rFonts w:ascii="Arial" w:cs="Arial" w:eastAsia="Arial" w:hAnsi="Arial"/>
          <w:sz w:val="22"/>
          <w:szCs w:val="22"/>
          <w:rtl w:val="0"/>
        </w:rPr>
        <w:t xml:space="preserve">The company’s competitive positioning in the domestic market is built around sustainability compliance, cost-efficient manufacturing, and reliable supply consistency. Over the past three years, the company has seen steady domestic demand growth driven by increased awareness of environmental impact and regulatory pressure on single-use plastic products.</w:t>
      </w:r>
      <w:r w:rsidDel="00000000" w:rsidR="00000000" w:rsidRPr="00000000">
        <w:rPr>
          <w:rtl w:val="0"/>
        </w:rPr>
      </w:r>
    </w:p>
    <w:p w:rsidR="00000000" w:rsidDel="00000000" w:rsidP="00000000" w:rsidRDefault="00000000" w:rsidRPr="00000000" w14:paraId="00000008">
      <w:pPr>
        <w:spacing w:after="120" w:before="240" w:lineRule="auto"/>
        <w:rPr/>
      </w:pPr>
      <w:r w:rsidDel="00000000" w:rsidR="00000000" w:rsidRPr="00000000">
        <w:rPr>
          <w:rFonts w:ascii="Arial" w:cs="Arial" w:eastAsia="Arial" w:hAnsi="Arial"/>
          <w:sz w:val="28"/>
          <w:szCs w:val="28"/>
          <w:rtl w:val="0"/>
        </w:rPr>
        <w:t xml:space="preserve">2. Manufacturing Footprint &amp; Capacity Constraints</w:t>
      </w:r>
      <w:r w:rsidDel="00000000" w:rsidR="00000000" w:rsidRPr="00000000">
        <w:rPr>
          <w:rtl w:val="0"/>
        </w:rPr>
      </w:r>
    </w:p>
    <w:p w:rsidR="00000000" w:rsidDel="00000000" w:rsidP="00000000" w:rsidRDefault="00000000" w:rsidRPr="00000000" w14:paraId="00000009">
      <w:pPr>
        <w:spacing w:after="140" w:lineRule="auto"/>
        <w:rPr/>
      </w:pPr>
      <w:r w:rsidDel="00000000" w:rsidR="00000000" w:rsidRPr="00000000">
        <w:rPr>
          <w:rFonts w:ascii="Arial" w:cs="Arial" w:eastAsia="Arial" w:hAnsi="Arial"/>
          <w:sz w:val="22"/>
          <w:szCs w:val="22"/>
          <w:rtl w:val="0"/>
        </w:rPr>
        <w:t xml:space="preserve">The company operates a single production facility with finite annual output capacity. Manufacturing output is constrained by machine availability, shift utilisation, and preventive maintenance schedules. Current operations prioritise stable throughput and quality consistency over aggressive volume expansion.</w:t>
      </w:r>
      <w:r w:rsidDel="00000000" w:rsidR="00000000" w:rsidRPr="00000000">
        <w:rPr>
          <w:rtl w:val="0"/>
        </w:rPr>
      </w:r>
    </w:p>
    <w:p w:rsidR="00000000" w:rsidDel="00000000" w:rsidP="00000000" w:rsidRDefault="00000000" w:rsidRPr="00000000" w14:paraId="0000000A">
      <w:pPr>
        <w:spacing w:after="140" w:lineRule="auto"/>
        <w:rPr/>
      </w:pPr>
      <w:r w:rsidDel="00000000" w:rsidR="00000000" w:rsidRPr="00000000">
        <w:rPr>
          <w:rFonts w:ascii="Arial" w:cs="Arial" w:eastAsia="Arial" w:hAnsi="Arial"/>
          <w:sz w:val="22"/>
          <w:szCs w:val="22"/>
          <w:rtl w:val="0"/>
        </w:rPr>
        <w:t xml:space="preserve">Management has indicated that any international expansion in the near term must rely on existing production capacity, as capital expenditure approvals for new plants or major capacity expansion are not planned for the 2025–2026 period.</w:t>
      </w:r>
      <w:r w:rsidDel="00000000" w:rsidR="00000000" w:rsidRPr="00000000">
        <w:rPr>
          <w:rtl w:val="0"/>
        </w:rPr>
      </w:r>
    </w:p>
    <w:p w:rsidR="00000000" w:rsidDel="00000000" w:rsidP="00000000" w:rsidRDefault="00000000" w:rsidRPr="00000000" w14:paraId="0000000B">
      <w:pPr>
        <w:spacing w:after="140" w:lineRule="auto"/>
        <w:rPr/>
      </w:pPr>
      <w:r w:rsidDel="00000000" w:rsidR="00000000" w:rsidRPr="00000000">
        <w:rPr>
          <w:rFonts w:ascii="Arial" w:cs="Arial" w:eastAsia="Arial" w:hAnsi="Arial"/>
          <w:sz w:val="22"/>
          <w:szCs w:val="22"/>
          <w:rtl w:val="0"/>
        </w:rPr>
        <w:t xml:space="preserve">Critical constraint: </w:t>
      </w:r>
      <w:r w:rsidDel="00000000" w:rsidR="00000000" w:rsidRPr="00000000">
        <w:rPr>
          <w:rFonts w:ascii="Arial" w:cs="Arial" w:eastAsia="Arial" w:hAnsi="Arial"/>
          <w:sz w:val="22"/>
          <w:szCs w:val="22"/>
          <w:rtl w:val="0"/>
        </w:rPr>
        <w:t xml:space="preserve">A portion of annual production capacity is contractually committed to Indian quick-service restaurant chains under long-term domestic supply agreements. Any export plan must therefore consider only the production capacity that remains after domestic contractual commitments have been fulfilled. The relevant figure is labelled “Net Export Capacity” in the Manufacturing Capacity and Cost Model.</w:t>
      </w:r>
      <w:r w:rsidDel="00000000" w:rsidR="00000000" w:rsidRPr="00000000">
        <w:rPr>
          <w:rtl w:val="0"/>
        </w:rPr>
      </w:r>
    </w:p>
    <w:p w:rsidR="00000000" w:rsidDel="00000000" w:rsidP="00000000" w:rsidRDefault="00000000" w:rsidRPr="00000000" w14:paraId="0000000C">
      <w:pPr>
        <w:spacing w:after="120" w:before="240" w:lineRule="auto"/>
        <w:rPr/>
      </w:pPr>
      <w:r w:rsidDel="00000000" w:rsidR="00000000" w:rsidRPr="00000000">
        <w:rPr>
          <w:rFonts w:ascii="Arial" w:cs="Arial" w:eastAsia="Arial" w:hAnsi="Arial"/>
          <w:sz w:val="28"/>
          <w:szCs w:val="28"/>
          <w:rtl w:val="0"/>
        </w:rPr>
        <w:t xml:space="preserve">3. Cost Structure &amp; Margin Sensitivity</w:t>
      </w:r>
      <w:r w:rsidDel="00000000" w:rsidR="00000000" w:rsidRPr="00000000">
        <w:rPr>
          <w:rtl w:val="0"/>
        </w:rPr>
      </w:r>
    </w:p>
    <w:p w:rsidR="00000000" w:rsidDel="00000000" w:rsidP="00000000" w:rsidRDefault="00000000" w:rsidRPr="00000000" w14:paraId="0000000D">
      <w:pPr>
        <w:spacing w:after="140" w:lineRule="auto"/>
        <w:rPr/>
      </w:pPr>
      <w:r w:rsidDel="00000000" w:rsidR="00000000" w:rsidRPr="00000000">
        <w:rPr>
          <w:rFonts w:ascii="Arial" w:cs="Arial" w:eastAsia="Arial" w:hAnsi="Arial"/>
          <w:sz w:val="22"/>
          <w:szCs w:val="22"/>
          <w:rtl w:val="0"/>
        </w:rPr>
        <w:t xml:space="preserve">The company’s unit economics are influenced by raw material procurement costs, energy consumption, labour, and logistics. While domestic logistics costs are predictable, international shipping, customs handling, and regulatory compliance costs introduce additional margin variability for export-led models.</w:t>
      </w:r>
      <w:r w:rsidDel="00000000" w:rsidR="00000000" w:rsidRPr="00000000">
        <w:rPr>
          <w:rtl w:val="0"/>
        </w:rPr>
      </w:r>
    </w:p>
    <w:p w:rsidR="00000000" w:rsidDel="00000000" w:rsidP="00000000" w:rsidRDefault="00000000" w:rsidRPr="00000000" w14:paraId="0000000E">
      <w:pPr>
        <w:spacing w:after="140" w:lineRule="auto"/>
        <w:rPr/>
      </w:pPr>
      <w:r w:rsidDel="00000000" w:rsidR="00000000" w:rsidRPr="00000000">
        <w:rPr>
          <w:rFonts w:ascii="Arial" w:cs="Arial" w:eastAsia="Arial" w:hAnsi="Arial"/>
          <w:sz w:val="22"/>
          <w:szCs w:val="22"/>
          <w:rtl w:val="0"/>
        </w:rPr>
        <w:t xml:space="preserve">Export pricing assumption: </w:t>
      </w:r>
      <w:r w:rsidDel="00000000" w:rsidR="00000000" w:rsidRPr="00000000">
        <w:rPr>
          <w:rFonts w:ascii="Arial" w:cs="Arial" w:eastAsia="Arial" w:hAnsi="Arial"/>
          <w:sz w:val="22"/>
          <w:szCs w:val="22"/>
          <w:rtl w:val="0"/>
        </w:rPr>
        <w:t xml:space="preserve">EU export selling prices must be derived from domestic ASP using the following formula. The FX rate and export markup are defined as labelled assumption cells in the Annual Summary tab of the Manufacturing Capacity and Cost Model:</w:t>
      </w:r>
      <w:r w:rsidDel="00000000" w:rsidR="00000000" w:rsidRPr="00000000">
        <w:rPr>
          <w:rtl w:val="0"/>
        </w:rPr>
      </w:r>
    </w:p>
    <w:p w:rsidR="00000000" w:rsidDel="00000000" w:rsidP="00000000" w:rsidRDefault="00000000" w:rsidRPr="00000000" w14:paraId="0000000F">
      <w:pPr>
        <w:pBdr>
          <w:left w:color="1f4e79" w:space="10" w:sz="6" w:val="single"/>
        </w:pBdr>
        <w:shd w:fill="ebf3fb" w:val="clear"/>
        <w:spacing w:after="120" w:before="120" w:lineRule="auto"/>
        <w:ind w:left="360" w:firstLine="0"/>
        <w:rPr/>
      </w:pPr>
      <w:r w:rsidDel="00000000" w:rsidR="00000000" w:rsidRPr="00000000">
        <w:rPr>
          <w:rFonts w:ascii="Courier New" w:cs="Courier New" w:eastAsia="Courier New" w:hAnsi="Courier New"/>
          <w:sz w:val="22"/>
          <w:szCs w:val="22"/>
          <w:rtl w:val="0"/>
        </w:rPr>
        <w:t xml:space="preserve">EU ASP (€) = (Domestic Price ₹ × 1.15 Export Markup) ÷ FX Rate (INR/EUR)</w:t>
      </w:r>
      <w:r w:rsidDel="00000000" w:rsidR="00000000" w:rsidRPr="00000000">
        <w:rPr>
          <w:rtl w:val="0"/>
        </w:rPr>
      </w:r>
    </w:p>
    <w:p w:rsidR="00000000" w:rsidDel="00000000" w:rsidP="00000000" w:rsidRDefault="00000000" w:rsidRPr="00000000" w14:paraId="00000010">
      <w:pPr>
        <w:spacing w:after="140" w:lineRule="auto"/>
        <w:rPr/>
      </w:pPr>
      <w:r w:rsidDel="00000000" w:rsidR="00000000" w:rsidRPr="00000000">
        <w:rPr>
          <w:rFonts w:ascii="Arial" w:cs="Arial" w:eastAsia="Arial" w:hAnsi="Arial"/>
          <w:sz w:val="22"/>
          <w:szCs w:val="22"/>
          <w:rtl w:val="0"/>
        </w:rPr>
        <w:t xml:space="preserve">The FX rate (INR per EUR = 90) and export markup percentage (15%) are maintained as labelled fields in the Annual Summary tab. These values must be used in all financial calculations. Do not substitute live market exchange rates.</w:t>
      </w:r>
      <w:r w:rsidDel="00000000" w:rsidR="00000000" w:rsidRPr="00000000">
        <w:rPr>
          <w:rtl w:val="0"/>
        </w:rPr>
      </w:r>
    </w:p>
    <w:p w:rsidR="00000000" w:rsidDel="00000000" w:rsidP="00000000" w:rsidRDefault="00000000" w:rsidRPr="00000000" w14:paraId="00000011">
      <w:pPr>
        <w:spacing w:after="120" w:before="240" w:lineRule="auto"/>
        <w:rPr/>
      </w:pPr>
      <w:r w:rsidDel="00000000" w:rsidR="00000000" w:rsidRPr="00000000">
        <w:rPr>
          <w:rFonts w:ascii="Arial" w:cs="Arial" w:eastAsia="Arial" w:hAnsi="Arial"/>
          <w:sz w:val="28"/>
          <w:szCs w:val="28"/>
          <w:rtl w:val="0"/>
        </w:rPr>
        <w:t xml:space="preserve">4. Sustainability Positioning &amp; Regulatory Readiness</w:t>
      </w:r>
      <w:r w:rsidDel="00000000" w:rsidR="00000000" w:rsidRPr="00000000">
        <w:rPr>
          <w:rtl w:val="0"/>
        </w:rPr>
      </w:r>
    </w:p>
    <w:p w:rsidR="00000000" w:rsidDel="00000000" w:rsidP="00000000" w:rsidRDefault="00000000" w:rsidRPr="00000000" w14:paraId="00000012">
      <w:pPr>
        <w:spacing w:after="140" w:lineRule="auto"/>
        <w:rPr/>
      </w:pPr>
      <w:r w:rsidDel="00000000" w:rsidR="00000000" w:rsidRPr="00000000">
        <w:rPr>
          <w:rFonts w:ascii="Arial" w:cs="Arial" w:eastAsia="Arial" w:hAnsi="Arial"/>
          <w:sz w:val="22"/>
          <w:szCs w:val="22"/>
          <w:rtl w:val="0"/>
        </w:rPr>
        <w:t xml:space="preserve">The company’s product portfolio aligns with sustainability-driven demand, as all core products are manufactured using biodegradable raw materials compliant with current Indian environmental standards. Internal assessments suggest partial alignment with European sustainability and packaging directives; however, country-level regulatory interpretations, certification requirements, and enforcement intensity vary across EU member states.</w:t>
      </w:r>
      <w:r w:rsidDel="00000000" w:rsidR="00000000" w:rsidRPr="00000000">
        <w:rPr>
          <w:rtl w:val="0"/>
        </w:rPr>
      </w:r>
    </w:p>
    <w:p w:rsidR="00000000" w:rsidDel="00000000" w:rsidP="00000000" w:rsidRDefault="00000000" w:rsidRPr="00000000" w14:paraId="00000013">
      <w:pPr>
        <w:spacing w:after="140" w:lineRule="auto"/>
        <w:rPr/>
      </w:pPr>
      <w:r w:rsidDel="00000000" w:rsidR="00000000" w:rsidRPr="00000000">
        <w:rPr>
          <w:rFonts w:ascii="Arial" w:cs="Arial" w:eastAsia="Arial" w:hAnsi="Arial"/>
          <w:sz w:val="22"/>
          <w:szCs w:val="22"/>
          <w:rtl w:val="0"/>
        </w:rPr>
        <w:t xml:space="preserve">At present, the company does not maintain centralised documentation covering EU country-specific packaging regulations, certification pathways, or compliance timelines. These factors are expected to materially influence market entry feasibility and must be assessed externally on a country-by-country basis.</w:t>
      </w:r>
      <w:r w:rsidDel="00000000" w:rsidR="00000000" w:rsidRPr="00000000">
        <w:rPr>
          <w:rtl w:val="0"/>
        </w:rPr>
      </w:r>
    </w:p>
    <w:p w:rsidR="00000000" w:rsidDel="00000000" w:rsidP="00000000" w:rsidRDefault="00000000" w:rsidRPr="00000000" w14:paraId="00000014">
      <w:pPr>
        <w:spacing w:after="120" w:before="240" w:lineRule="auto"/>
        <w:rPr/>
      </w:pPr>
      <w:r w:rsidDel="00000000" w:rsidR="00000000" w:rsidRPr="00000000">
        <w:rPr>
          <w:rFonts w:ascii="Arial" w:cs="Arial" w:eastAsia="Arial" w:hAnsi="Arial"/>
          <w:sz w:val="28"/>
          <w:szCs w:val="28"/>
          <w:rtl w:val="0"/>
        </w:rPr>
        <w:t xml:space="preserve">5. Preliminary Internal Market Reference (Unvalidated)</w:t>
      </w:r>
      <w:r w:rsidDel="00000000" w:rsidR="00000000" w:rsidRPr="00000000">
        <w:rPr>
          <w:rtl w:val="0"/>
        </w:rPr>
      </w:r>
    </w:p>
    <w:p w:rsidR="00000000" w:rsidDel="00000000" w:rsidP="00000000" w:rsidRDefault="00000000" w:rsidRPr="00000000" w14:paraId="00000015">
      <w:pPr>
        <w:pBdr>
          <w:left w:color="c00000" w:space="12" w:sz="8" w:val="single"/>
        </w:pBdr>
        <w:shd w:fill="fff2cc" w:val="clear"/>
        <w:spacing w:after="160" w:before="160" w:lineRule="auto"/>
        <w:ind w:left="360" w:firstLine="0"/>
        <w:rPr/>
      </w:pPr>
      <w:r w:rsidDel="00000000" w:rsidR="00000000" w:rsidRPr="00000000">
        <w:rPr>
          <w:rFonts w:ascii="Arial" w:cs="Arial" w:eastAsia="Arial" w:hAnsi="Arial"/>
          <w:sz w:val="22"/>
          <w:szCs w:val="22"/>
          <w:rtl w:val="0"/>
        </w:rPr>
        <w:t xml:space="preserve">⚠ Internal Brainstorming Figure — Do Not Use: </w:t>
      </w:r>
      <w:r w:rsidDel="00000000" w:rsidR="00000000" w:rsidRPr="00000000">
        <w:rPr>
          <w:rFonts w:ascii="Arial" w:cs="Arial" w:eastAsia="Arial" w:hAnsi="Arial"/>
          <w:sz w:val="22"/>
          <w:szCs w:val="22"/>
          <w:rtl w:val="0"/>
        </w:rPr>
        <w:t xml:space="preserve">A preliminary internal slide referenced the EU biodegradable packaging market at approximately €3.1 billion. This figure was included only for early internal brainstorming and may not reflect the most recent publicly available market estimates. It has not been validated against any authoritative external source.</w:t>
      </w:r>
      <w:r w:rsidDel="00000000" w:rsidR="00000000" w:rsidRPr="00000000">
        <w:rPr>
          <w:rtl w:val="0"/>
        </w:rPr>
      </w:r>
    </w:p>
    <w:p w:rsidR="00000000" w:rsidDel="00000000" w:rsidP="00000000" w:rsidRDefault="00000000" w:rsidRPr="00000000" w14:paraId="00000016">
      <w:pPr>
        <w:pBdr>
          <w:left w:color="c55a11" w:space="12" w:sz="8" w:val="single"/>
        </w:pBdr>
        <w:shd w:fill="fff2cc" w:val="clear"/>
        <w:spacing w:after="160" w:before="160" w:lineRule="auto"/>
        <w:ind w:left="360" w:firstLine="0"/>
        <w:rPr/>
      </w:pPr>
      <w:r w:rsidDel="00000000" w:rsidR="00000000" w:rsidRPr="00000000">
        <w:rPr>
          <w:rFonts w:ascii="Arial Unicode MS" w:cs="Arial Unicode MS" w:eastAsia="Arial Unicode MS" w:hAnsi="Arial Unicode MS"/>
          <w:sz w:val="22"/>
          <w:szCs w:val="22"/>
          <w:rtl w:val="0"/>
        </w:rPr>
        <w:t xml:space="preserve">→ Analyst Instruction: </w:t>
      </w:r>
      <w:r w:rsidDel="00000000" w:rsidR="00000000" w:rsidRPr="00000000">
        <w:rPr>
          <w:rFonts w:ascii="Arial" w:cs="Arial" w:eastAsia="Arial" w:hAnsi="Arial"/>
          <w:sz w:val="22"/>
          <w:szCs w:val="22"/>
          <w:rtl w:val="0"/>
        </w:rPr>
        <w:t xml:space="preserve">Before any investment decision is made, the strategy team must validate current market size, growth trajectory, and the competitive landscape using authoritative external sources. The €3.1B figure must NOT be used in any financial model, capacity utilisation calculation, or final recommendation.</w:t>
      </w:r>
      <w:r w:rsidDel="00000000" w:rsidR="00000000" w:rsidRPr="00000000">
        <w:rPr>
          <w:rtl w:val="0"/>
        </w:rPr>
      </w:r>
    </w:p>
    <w:p w:rsidR="00000000" w:rsidDel="00000000" w:rsidP="00000000" w:rsidRDefault="00000000" w:rsidRPr="00000000" w14:paraId="00000017">
      <w:pPr>
        <w:spacing w:after="120" w:before="240" w:lineRule="auto"/>
        <w:rPr/>
      </w:pPr>
      <w:r w:rsidDel="00000000" w:rsidR="00000000" w:rsidRPr="00000000">
        <w:rPr>
          <w:rFonts w:ascii="Arial" w:cs="Arial" w:eastAsia="Arial" w:hAnsi="Arial"/>
          <w:sz w:val="28"/>
          <w:szCs w:val="28"/>
          <w:rtl w:val="0"/>
        </w:rPr>
        <w:t xml:space="preserve">6. Market Entry Objective &amp; Open Questions</w:t>
      </w:r>
      <w:r w:rsidDel="00000000" w:rsidR="00000000" w:rsidRPr="00000000">
        <w:rPr>
          <w:rtl w:val="0"/>
        </w:rPr>
      </w:r>
    </w:p>
    <w:p w:rsidR="00000000" w:rsidDel="00000000" w:rsidP="00000000" w:rsidRDefault="00000000" w:rsidRPr="00000000" w14:paraId="00000018">
      <w:pPr>
        <w:spacing w:after="140" w:lineRule="auto"/>
        <w:rPr/>
      </w:pPr>
      <w:r w:rsidDel="00000000" w:rsidR="00000000" w:rsidRPr="00000000">
        <w:rPr>
          <w:rFonts w:ascii="Arial" w:cs="Arial" w:eastAsia="Arial" w:hAnsi="Arial"/>
          <w:sz w:val="22"/>
          <w:szCs w:val="22"/>
          <w:rtl w:val="0"/>
        </w:rPr>
        <w:t xml:space="preserve">The strategic objective of EU expansion is to establish a limited initial market presence in a single EU country in 2025, serving as a learning platform for broader regional expansion over the medium term. Management has emphasised the importance of minimising execution risk during the initial entry phase.</w:t>
      </w:r>
      <w:r w:rsidDel="00000000" w:rsidR="00000000" w:rsidRPr="00000000">
        <w:rPr>
          <w:rtl w:val="0"/>
        </w:rPr>
      </w:r>
    </w:p>
    <w:p w:rsidR="00000000" w:rsidDel="00000000" w:rsidP="00000000" w:rsidRDefault="00000000" w:rsidRPr="00000000" w14:paraId="00000019">
      <w:pPr>
        <w:spacing w:after="100" w:before="200" w:lineRule="auto"/>
        <w:rPr/>
      </w:pPr>
      <w:r w:rsidDel="00000000" w:rsidR="00000000" w:rsidRPr="00000000">
        <w:rPr>
          <w:rFonts w:ascii="Arial" w:cs="Arial" w:eastAsia="Arial" w:hAnsi="Arial"/>
          <w:sz w:val="24"/>
          <w:szCs w:val="24"/>
          <w:rtl w:val="0"/>
        </w:rPr>
        <w:t xml:space="preserve">Key questions requiring external validation: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Which EU country offers the most attractive balance between market size, growth potential, and regulatory complexity?</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Can existing net export production capacity support initial EU demand without exceeding safe utilisation limits (50–85%)?</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Which entry mode best balances control, speed, and risk under current operational constraints?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What are the current market size and CAGR for biodegradable food packaging in the target EU country, sourced from authoritative public data with URL citations?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Who are the two largest competitors in biodegradable food packaging operating in the target market?</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rtl w:val="0"/>
        </w:rPr>
      </w:r>
    </w:p>
    <w:p w:rsidR="00000000" w:rsidDel="00000000" w:rsidP="00000000" w:rsidRDefault="00000000" w:rsidRPr="00000000" w14:paraId="00000020">
      <w:pPr>
        <w:spacing w:after="140" w:lineRule="auto"/>
        <w:rPr/>
      </w:pPr>
      <w:r w:rsidDel="00000000" w:rsidR="00000000" w:rsidRPr="00000000">
        <w:rPr>
          <w:rFonts w:ascii="Arial" w:cs="Arial" w:eastAsia="Arial" w:hAnsi="Arial"/>
          <w:sz w:val="22"/>
          <w:szCs w:val="22"/>
          <w:rtl w:val="0"/>
        </w:rPr>
        <w:t xml:space="preserve">Internal data alone is insufficient to resolve these questions. External validation of market size, growth rates, competitive landscape, and regulatory stringency is required to support a final recommendation.</w:t>
      </w:r>
      <w:r w:rsidDel="00000000" w:rsidR="00000000" w:rsidRPr="00000000">
        <w:rPr>
          <w:rtl w:val="0"/>
        </w:rPr>
      </w:r>
    </w:p>
    <w:p w:rsidR="00000000" w:rsidDel="00000000" w:rsidP="00000000" w:rsidRDefault="00000000" w:rsidRPr="00000000" w14:paraId="00000021">
      <w:pPr>
        <w:spacing w:after="120" w:before="240" w:lineRule="auto"/>
        <w:rPr/>
      </w:pPr>
      <w:r w:rsidDel="00000000" w:rsidR="00000000" w:rsidRPr="00000000">
        <w:rPr>
          <w:rFonts w:ascii="Arial" w:cs="Arial" w:eastAsia="Arial" w:hAnsi="Arial"/>
          <w:sz w:val="28"/>
          <w:szCs w:val="28"/>
          <w:rtl w:val="0"/>
        </w:rPr>
        <w:t xml:space="preserve">7. Decision-Making Guardrails</w:t>
      </w:r>
      <w:r w:rsidDel="00000000" w:rsidR="00000000" w:rsidRPr="00000000">
        <w:rPr>
          <w:rtl w:val="0"/>
        </w:rPr>
      </w:r>
    </w:p>
    <w:p w:rsidR="00000000" w:rsidDel="00000000" w:rsidP="00000000" w:rsidRDefault="00000000" w:rsidRPr="00000000" w14:paraId="00000022">
      <w:pPr>
        <w:spacing w:after="140" w:lineRule="auto"/>
        <w:rPr/>
      </w:pPr>
      <w:r w:rsidDel="00000000" w:rsidR="00000000" w:rsidRPr="00000000">
        <w:rPr>
          <w:rFonts w:ascii="Arial" w:cs="Arial" w:eastAsia="Arial" w:hAnsi="Arial"/>
          <w:sz w:val="22"/>
          <w:szCs w:val="22"/>
          <w:rtl w:val="0"/>
        </w:rPr>
        <w:t xml:space="preserve">Any recommendation for EU market entry must: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Be grounded in externally validated market data retrieved from authoritative public sources — exact numeric values and source URLs are required for all external figures.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Align with existing net manufacturing capacity after subtracting domestic contractual commitments (use Net Export Capacity from the internal model).</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Avoid any assumptions of near-term capital expansion or new plant construction.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Use only the FX rate and export markup defined in the internal data files for all euro-denominated calculations.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Clearly articulate one regulatory risk, one operational risk, and one market risk within the specified output structure.</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