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C00000"/>
          <w:sz w:val="18"/>
          <w:szCs w:val="18"/>
        </w:rPr>
        <w:t xml:space="preserve">STRICTLY CONFIDENTIAL — DRAFT v2.1</w:t>
      </w:r>
    </w:p>
    <w:p>
      <w:pPr>
        <w:spacing w:after="240" w:before="0"/>
      </w:pPr>
      <w:r>
        <w:rPr>
          <w:rFonts w:ascii="Arial" w:cs="Arial" w:eastAsia="Arial" w:hAnsi="Arial"/>
          <w:b/>
          <w:bCs/>
          <w:color w:val="1F3864"/>
          <w:sz w:val="48"/>
          <w:szCs w:val="48"/>
        </w:rPr>
        <w:t xml:space="preserve">JOINT VENTURE TERM SHEET</w:t>
      </w:r>
    </w:p>
    <w:p>
      <w:pPr>
        <w:spacing w:after="120" w:before="0"/>
      </w:pPr>
      <w:r>
        <w:rPr>
          <w:rFonts w:ascii="Arial" w:cs="Arial" w:eastAsia="Arial" w:hAnsi="Arial"/>
          <w:b/>
          <w:bCs/>
          <w:color w:val="2E75B6"/>
          <w:sz w:val="28"/>
          <w:szCs w:val="28"/>
        </w:rPr>
        <w:t xml:space="preserve">EnerDrive Technologies Pte. Ltd.</w:t>
      </w:r>
    </w:p>
    <w:p>
      <w:pPr>
        <w:spacing w:after="60" w:before="0"/>
      </w:pPr>
      <w:r>
        <w:rPr>
          <w:rFonts w:ascii="Arial" w:cs="Arial" w:eastAsia="Arial" w:hAnsi="Arial"/>
          <w:color w:val="595959"/>
          <w:sz w:val="22"/>
          <w:szCs w:val="22"/>
        </w:rPr>
        <w:t xml:space="preserve">— and —</w:t>
      </w:r>
    </w:p>
    <w:p>
      <w:pPr>
        <w:spacing w:after="240" w:before="0"/>
      </w:pPr>
      <w:r>
        <w:rPr>
          <w:rFonts w:ascii="Arial" w:cs="Arial" w:eastAsia="Arial" w:hAnsi="Arial"/>
          <w:b/>
          <w:bCs/>
          <w:color w:val="2E75B6"/>
          <w:sz w:val="28"/>
          <w:szCs w:val="28"/>
        </w:rPr>
        <w:t xml:space="preserve">IndraMotors Limited</w:t>
      </w:r>
    </w:p>
    <w:p>
      <w:pPr>
        <w:spacing w:after="120" w:before="0"/>
      </w:pPr>
      <w:r>
        <w:rPr>
          <w:rFonts w:ascii="Arial" w:cs="Arial" w:eastAsia="Arial" w:hAnsi="Arial"/>
          <w:color w:val="595959"/>
          <w:sz w:val="20"/>
          <w:szCs w:val="20"/>
        </w:rPr>
        <w:t xml:space="preserve">India EV Passenger Car Joint Venture — Retail Consumer Market</w:t>
      </w:r>
    </w:p>
    <w:p>
      <w:pPr>
        <w:spacing w:after="400" w:before="0"/>
      </w:pPr>
      <w:r>
        <w:rPr>
          <w:rFonts w:ascii="Arial" w:cs="Arial" w:eastAsia="Arial" w:hAnsi="Arial"/>
          <w:color w:val="7F7F7F"/>
          <w:sz w:val="16"/>
          <w:szCs w:val="16"/>
        </w:rPr>
        <w:t xml:space="preserve">Date: March 14, 2026  |  Prepared by: Shardul Amarchand Mangaldas (Legal Counsel, EnerDrive)</w:t>
      </w:r>
    </w:p>
    <w:p>
      <w:pPr>
        <w:spacing w:after="80" w:before="0"/>
      </w:pPr>
      <w:r>
        <w:rPr>
          <w:rFonts w:ascii="Arial" w:cs="Arial" w:eastAsia="Arial" w:hAnsi="Arial"/>
          <w:color w:val="595959"/>
          <w:sz w:val="16"/>
          <w:szCs w:val="16"/>
        </w:rPr>
        <w:t xml:space="preserve">This term sheet is non-binding except as specifically set forth herein. It is intended to outline the principal terms under which EnerDrive Technologies Pte. Ltd. ('EnerDrive') and IndraMotors Limited ('IndraMotors') intend to establish a joint venture company ('JVCo') for the purpose of manufacturing, assembling, marketing, and selling electric passenger vehicles in India. All terms are subject to completion of definitive agreements, regulatory approvals, and satisfactory completion of due diligence.</w:t>
      </w:r>
    </w:p>
    <w:p>
      <w:r>
        <w:br w:type="page"/>
      </w:r>
    </w:p>
    <w:p>
      <w:pPr>
        <w:pStyle w:val="Heading1"/>
        <w:spacing w:after="120" w:before="280"/>
      </w:pPr>
      <w:r>
        <w:rPr>
          <w:rFonts w:ascii="Arial" w:cs="Arial" w:eastAsia="Arial" w:hAnsi="Arial"/>
          <w:b/>
          <w:bCs/>
          <w:color w:val="1F3864"/>
          <w:sz w:val="26"/>
          <w:szCs w:val="26"/>
        </w:rPr>
        <w:t xml:space="preserve">TABLE OF CONTENTS</w:t>
      </w:r>
    </w:p>
    <w:p>
      <w:pPr>
        <w:spacing w:after="30" w:before="30"/>
        <w:ind w:left="360"/>
      </w:pPr>
      <w:r>
        <w:rPr>
          <w:rFonts w:ascii="Arial" w:cs="Arial" w:eastAsia="Arial" w:hAnsi="Arial"/>
          <w:b w:val="false"/>
          <w:bCs w:val="false"/>
          <w:i w:val="false"/>
          <w:iCs w:val="false"/>
          <w:color w:val="000000"/>
          <w:sz w:val="17"/>
          <w:szCs w:val="17"/>
        </w:rPr>
        <w:t xml:space="preserve">1.  Parties, Definitions, and Background</w:t>
      </w:r>
    </w:p>
    <w:p>
      <w:pPr>
        <w:spacing w:after="30" w:before="30"/>
        <w:ind w:left="360"/>
      </w:pPr>
      <w:r>
        <w:rPr>
          <w:rFonts w:ascii="Arial" w:cs="Arial" w:eastAsia="Arial" w:hAnsi="Arial"/>
          <w:b w:val="false"/>
          <w:bCs w:val="false"/>
          <w:i w:val="false"/>
          <w:iCs w:val="false"/>
          <w:color w:val="000000"/>
          <w:sz w:val="17"/>
          <w:szCs w:val="17"/>
        </w:rPr>
        <w:t xml:space="preserve">2.  Joint Venture Structure &amp; Equity</w:t>
      </w:r>
    </w:p>
    <w:p>
      <w:pPr>
        <w:spacing w:after="30" w:before="30"/>
        <w:ind w:left="360"/>
      </w:pPr>
      <w:r>
        <w:rPr>
          <w:rFonts w:ascii="Arial" w:cs="Arial" w:eastAsia="Arial" w:hAnsi="Arial"/>
          <w:b w:val="false"/>
          <w:bCs w:val="false"/>
          <w:i w:val="false"/>
          <w:iCs w:val="false"/>
          <w:color w:val="000000"/>
          <w:sz w:val="17"/>
          <w:szCs w:val="17"/>
        </w:rPr>
        <w:t xml:space="preserve">3.  Investment Terms and Minimum Market Conditions</w:t>
      </w:r>
    </w:p>
    <w:p>
      <w:pPr>
        <w:spacing w:after="30" w:before="30"/>
        <w:ind w:left="360"/>
      </w:pPr>
      <w:r>
        <w:rPr>
          <w:rFonts w:ascii="Arial" w:cs="Arial" w:eastAsia="Arial" w:hAnsi="Arial"/>
          <w:b w:val="false"/>
          <w:bCs w:val="false"/>
          <w:i w:val="false"/>
          <w:iCs w:val="false"/>
          <w:color w:val="000000"/>
          <w:sz w:val="17"/>
          <w:szCs w:val="17"/>
        </w:rPr>
        <w:t xml:space="preserve">4.  Addressable Market Definition and Scope</w:t>
      </w:r>
    </w:p>
    <w:p>
      <w:pPr>
        <w:spacing w:after="30" w:before="30"/>
        <w:ind w:left="360"/>
      </w:pPr>
      <w:r>
        <w:rPr>
          <w:rFonts w:ascii="Arial" w:cs="Arial" w:eastAsia="Arial" w:hAnsi="Arial"/>
          <w:b w:val="false"/>
          <w:bCs w:val="false"/>
          <w:i w:val="false"/>
          <w:iCs w:val="false"/>
          <w:color w:val="000000"/>
          <w:sz w:val="17"/>
          <w:szCs w:val="17"/>
        </w:rPr>
        <w:t xml:space="preserve">5.  Technology Transfer and Licensing</w:t>
      </w:r>
    </w:p>
    <w:p>
      <w:pPr>
        <w:spacing w:after="30" w:before="30"/>
        <w:ind w:left="360"/>
      </w:pPr>
      <w:r>
        <w:rPr>
          <w:rFonts w:ascii="Arial" w:cs="Arial" w:eastAsia="Arial" w:hAnsi="Arial"/>
          <w:b w:val="false"/>
          <w:bCs w:val="false"/>
          <w:i w:val="false"/>
          <w:iCs w:val="false"/>
          <w:color w:val="000000"/>
          <w:sz w:val="17"/>
          <w:szCs w:val="17"/>
        </w:rPr>
        <w:t xml:space="preserve">6.  Governance and Board Composition</w:t>
      </w:r>
    </w:p>
    <w:p>
      <w:pPr>
        <w:spacing w:after="30" w:before="30"/>
        <w:ind w:left="360"/>
      </w:pPr>
      <w:r>
        <w:rPr>
          <w:rFonts w:ascii="Arial" w:cs="Arial" w:eastAsia="Arial" w:hAnsi="Arial"/>
          <w:b w:val="false"/>
          <w:bCs w:val="false"/>
          <w:i w:val="false"/>
          <w:iCs w:val="false"/>
          <w:color w:val="000000"/>
          <w:sz w:val="17"/>
          <w:szCs w:val="17"/>
        </w:rPr>
        <w:t xml:space="preserve">7.  Financial Projections and Reporting</w:t>
      </w:r>
    </w:p>
    <w:p>
      <w:pPr>
        <w:spacing w:after="30" w:before="30"/>
        <w:ind w:left="360"/>
      </w:pPr>
      <w:r>
        <w:rPr>
          <w:rFonts w:ascii="Arial" w:cs="Arial" w:eastAsia="Arial" w:hAnsi="Arial"/>
          <w:b w:val="false"/>
          <w:bCs w:val="false"/>
          <w:i w:val="false"/>
          <w:iCs w:val="false"/>
          <w:color w:val="000000"/>
          <w:sz w:val="17"/>
          <w:szCs w:val="17"/>
        </w:rPr>
        <w:t xml:space="preserve">8.  Exit Provisions and Drag/Tag-Along Rights</w:t>
      </w:r>
    </w:p>
    <w:p>
      <w:pPr>
        <w:spacing w:after="30" w:before="30"/>
        <w:ind w:left="360"/>
      </w:pPr>
      <w:r>
        <w:rPr>
          <w:rFonts w:ascii="Arial" w:cs="Arial" w:eastAsia="Arial" w:hAnsi="Arial"/>
          <w:b w:val="false"/>
          <w:bCs w:val="false"/>
          <w:i w:val="false"/>
          <w:iCs w:val="false"/>
          <w:color w:val="000000"/>
          <w:sz w:val="17"/>
          <w:szCs w:val="17"/>
        </w:rPr>
        <w:t xml:space="preserve">9.  Representations, Warranties, and Indemnities</w:t>
      </w:r>
    </w:p>
    <w:p>
      <w:pPr>
        <w:spacing w:after="30" w:before="30"/>
        <w:ind w:left="360"/>
      </w:pPr>
      <w:r>
        <w:rPr>
          <w:rFonts w:ascii="Arial" w:cs="Arial" w:eastAsia="Arial" w:hAnsi="Arial"/>
          <w:b w:val="false"/>
          <w:bCs w:val="false"/>
          <w:i w:val="false"/>
          <w:iCs w:val="false"/>
          <w:color w:val="000000"/>
          <w:sz w:val="17"/>
          <w:szCs w:val="17"/>
        </w:rPr>
        <w:t xml:space="preserve">10. Dispute Resolution</w:t>
      </w:r>
    </w:p>
    <w:p>
      <w:pPr>
        <w:spacing w:after="30" w:before="30"/>
        <w:ind w:left="360"/>
      </w:pPr>
      <w:r>
        <w:rPr>
          <w:rFonts w:ascii="Arial" w:cs="Arial" w:eastAsia="Arial" w:hAnsi="Arial"/>
          <w:b w:val="false"/>
          <w:bCs w:val="false"/>
          <w:i w:val="false"/>
          <w:iCs w:val="false"/>
          <w:color w:val="000000"/>
          <w:sz w:val="17"/>
          <w:szCs w:val="17"/>
        </w:rPr>
        <w:t xml:space="preserve">11. Conditions Precedent</w:t>
      </w:r>
    </w:p>
    <w:p>
      <w:pPr>
        <w:spacing w:after="30" w:before="30"/>
        <w:ind w:left="360"/>
      </w:pPr>
      <w:r>
        <w:rPr>
          <w:rFonts w:ascii="Arial" w:cs="Arial" w:eastAsia="Arial" w:hAnsi="Arial"/>
          <w:b w:val="false"/>
          <w:bCs w:val="false"/>
          <w:i w:val="false"/>
          <w:iCs w:val="false"/>
          <w:color w:val="000000"/>
          <w:sz w:val="17"/>
          <w:szCs w:val="17"/>
        </w:rPr>
        <w:t xml:space="preserve">Schedule 1: Defined Terms</w:t>
      </w:r>
    </w:p>
    <w:p>
      <w:r>
        <w:br w:type="page"/>
      </w:r>
    </w:p>
    <w:p>
      <w:pPr>
        <w:pStyle w:val="Heading1"/>
        <w:spacing w:after="120" w:before="280"/>
      </w:pPr>
      <w:r>
        <w:rPr>
          <w:rFonts w:ascii="Arial" w:cs="Arial" w:eastAsia="Arial" w:hAnsi="Arial"/>
          <w:b/>
          <w:bCs/>
          <w:color w:val="1F3864"/>
          <w:sz w:val="26"/>
          <w:szCs w:val="26"/>
        </w:rPr>
        <w:t xml:space="preserve">SECTION 1: PARTIES, DEFINITIONS, AND BACKGROUND</w:t>
      </w:r>
    </w:p>
    <w:p>
      <w:pPr>
        <w:spacing w:after="80" w:before="160"/>
      </w:pPr>
      <w:r>
        <w:rPr>
          <w:rFonts w:ascii="Arial" w:cs="Arial" w:eastAsia="Arial" w:hAnsi="Arial"/>
          <w:b/>
          <w:bCs/>
          <w:color w:val="000000"/>
          <w:sz w:val="19"/>
          <w:szCs w:val="19"/>
        </w:rPr>
        <w:t xml:space="preserve">Clause 1.1 — Party A: EnerDrive Technologies Pte. Ltd.</w:t>
      </w:r>
    </w:p>
    <w:p>
      <w:pPr>
        <w:spacing w:after="60" w:before="60"/>
        <w:ind w:left="0"/>
      </w:pPr>
      <w:r>
        <w:rPr>
          <w:rFonts w:ascii="Arial" w:cs="Arial" w:eastAsia="Arial" w:hAnsi="Arial"/>
          <w:b w:val="false"/>
          <w:bCs w:val="false"/>
          <w:i w:val="false"/>
          <w:iCs w:val="false"/>
          <w:color w:val="000000"/>
          <w:sz w:val="17"/>
          <w:szCs w:val="17"/>
        </w:rPr>
        <w:t xml:space="preserve">EnerDrive Technologies Pte. Ltd., a company incorporated in Singapore (Company Registration No. 202412345E), with its registered office at 1 Marina Boulevard, #28-00, Singapore 018989 ('EnerDrive'). EnerDrive is a wholly-owned subsidiary of EnerDrive Group Holdings, a battery technology and powertrain company incorporated in the British Virgin Islands, with operating facilities in Guangzhou, Changsha, and Pune.</w:t>
      </w:r>
    </w:p>
    <w:p>
      <w:pPr>
        <w:spacing w:after="80" w:before="160"/>
      </w:pPr>
      <w:r>
        <w:rPr>
          <w:rFonts w:ascii="Arial" w:cs="Arial" w:eastAsia="Arial" w:hAnsi="Arial"/>
          <w:b/>
          <w:bCs/>
          <w:color w:val="000000"/>
          <w:sz w:val="19"/>
          <w:szCs w:val="19"/>
        </w:rPr>
        <w:t xml:space="preserve">Clause 1.2 — Party B: IndraMotors Limited</w:t>
      </w:r>
    </w:p>
    <w:p>
      <w:pPr>
        <w:spacing w:after="60" w:before="60"/>
        <w:ind w:left="0"/>
      </w:pPr>
      <w:r>
        <w:rPr>
          <w:rFonts w:ascii="Arial" w:cs="Arial" w:eastAsia="Arial" w:hAnsi="Arial"/>
          <w:b w:val="false"/>
          <w:bCs w:val="false"/>
          <w:i w:val="false"/>
          <w:iCs w:val="false"/>
          <w:color w:val="000000"/>
          <w:sz w:val="17"/>
          <w:szCs w:val="17"/>
        </w:rPr>
        <w:t xml:space="preserve">IndraMotors Limited, a company incorporated under the Companies Act, 2013 (CIN: L35910MH1987PLC042XXX), with its registered office at Indra House, Bandra-Kurla Complex, Mumbai 400 051 ('IndraMotors'). IndraMotors is a listed entity on BSE and NSE with a market capitalisation of approximately ₹28,400 Cr as of February 2026. Its core business is automobile distribution, after-sales services, and vehicle financing in India.</w:t>
      </w:r>
    </w:p>
    <w:p>
      <w:pPr>
        <w:spacing w:after="80" w:before="160"/>
      </w:pPr>
      <w:r>
        <w:rPr>
          <w:rFonts w:ascii="Arial" w:cs="Arial" w:eastAsia="Arial" w:hAnsi="Arial"/>
          <w:b/>
          <w:bCs/>
          <w:color w:val="000000"/>
          <w:sz w:val="19"/>
          <w:szCs w:val="19"/>
        </w:rPr>
        <w:t xml:space="preserve">Clause 1.3 — Background and Strategic Rationale</w:t>
      </w:r>
    </w:p>
    <w:p>
      <w:pPr>
        <w:spacing w:after="60" w:before="60"/>
        <w:ind w:left="0"/>
      </w:pPr>
      <w:r>
        <w:rPr>
          <w:rFonts w:ascii="Arial" w:cs="Arial" w:eastAsia="Arial" w:hAnsi="Arial"/>
          <w:b w:val="false"/>
          <w:bCs w:val="false"/>
          <w:i w:val="false"/>
          <w:iCs w:val="false"/>
          <w:color w:val="000000"/>
          <w:sz w:val="17"/>
          <w:szCs w:val="17"/>
        </w:rPr>
        <w:t xml:space="preserve">EnerDrive seeks to access the Indian retail EV passenger car market leveraging its proprietary solid-state battery precursor technology and EV powertrain platform. IndraMotors brings an established dealership network (320 outlets across 180 cities), after-sales infrastructure, and deep relationships with Indian retail consumers and financing institutions. The parties intend to combine these complementary capabilities through JVCo.</w:t>
      </w:r>
    </w:p>
    <w:p>
      <w:pPr>
        <w:spacing w:after="80" w:before="160"/>
      </w:pPr>
      <w:r>
        <w:rPr>
          <w:rFonts w:ascii="Arial" w:cs="Arial" w:eastAsia="Arial" w:hAnsi="Arial"/>
          <w:b/>
          <w:bCs/>
          <w:color w:val="000000"/>
          <w:sz w:val="19"/>
          <w:szCs w:val="19"/>
        </w:rPr>
        <w:t xml:space="preserve">Clause 1.4 — Defined Terms</w:t>
      </w:r>
    </w:p>
    <w:p>
      <w:pPr>
        <w:spacing w:after="60" w:before="60"/>
        <w:ind w:left="0"/>
      </w:pPr>
      <w:r>
        <w:rPr>
          <w:rFonts w:ascii="Arial" w:cs="Arial" w:eastAsia="Arial" w:hAnsi="Arial"/>
          <w:b w:val="false"/>
          <w:bCs w:val="false"/>
          <w:i w:val="false"/>
          <w:iCs w:val="false"/>
          <w:color w:val="000000"/>
          <w:sz w:val="17"/>
          <w:szCs w:val="17"/>
        </w:rPr>
        <w:t xml:space="preserve">Terms used but not defined in the body of this Term Sheet have the meanings ascribed to them in Schedule 1 (Defined Terms) appended hereto. For the avoidance of doubt, 'Retail Consumer' means a natural person or nuclear family purchasing a vehicle for personal use, and expressly excludes any commercial operator, fleet manager, ride-hailing aggregator, vehicle rental operator, or government procurement agency.</w:t>
      </w:r>
    </w:p>
    <w:p>
      <w:r>
        <w:br w:type="page"/>
      </w:r>
    </w:p>
    <w:p>
      <w:pPr>
        <w:pStyle w:val="Heading1"/>
        <w:spacing w:after="120" w:before="280"/>
      </w:pPr>
      <w:r>
        <w:rPr>
          <w:rFonts w:ascii="Arial" w:cs="Arial" w:eastAsia="Arial" w:hAnsi="Arial"/>
          <w:b/>
          <w:bCs/>
          <w:color w:val="1F3864"/>
          <w:sz w:val="26"/>
          <w:szCs w:val="26"/>
        </w:rPr>
        <w:t xml:space="preserve">SECTION 2: JOINT VENTURE STRUCTURE &amp; EQUITY</w:t>
      </w:r>
    </w:p>
    <w:p>
      <w:pPr>
        <w:spacing w:after="60" w:before="140"/>
      </w:pPr>
      <w:r>
        <w:rPr>
          <w:rFonts w:ascii="Arial" w:cs="Arial" w:eastAsia="Arial" w:hAnsi="Arial"/>
          <w:b/>
          <w:bCs/>
          <w:color w:val="1F3864"/>
          <w:sz w:val="18"/>
          <w:szCs w:val="18"/>
        </w:rPr>
        <w:t xml:space="preserve">Clause 2.1  JVCo Incorporation</w:t>
      </w:r>
    </w:p>
    <w:p>
      <w:pPr>
        <w:spacing w:after="40" w:before="40"/>
        <w:ind w:left="360"/>
      </w:pPr>
      <w:r>
        <w:rPr>
          <w:rFonts w:ascii="Arial" w:cs="Arial" w:eastAsia="Arial" w:hAnsi="Arial"/>
          <w:b w:val="false"/>
          <w:bCs w:val="false"/>
          <w:i w:val="false"/>
          <w:iCs w:val="false"/>
          <w:color w:val="000000"/>
          <w:sz w:val="17"/>
          <w:szCs w:val="17"/>
        </w:rPr>
        <w:t xml:space="preserve">JVCo shall be incorporated as a private limited company under the Companies Act, 2013, in the State of Pune, Maharashtra. The proposed name is 'EnerIndra Mobility Private Limited', subject to MCA name availability.</w:t>
      </w:r>
    </w:p>
    <w:p>
      <w:pPr>
        <w:spacing w:after="40" w:before="40"/>
        <w:ind w:left="360"/>
      </w:pPr>
      <w:r>
        <w:rPr>
          <w:rFonts w:ascii="Arial" w:cs="Arial" w:eastAsia="Arial" w:hAnsi="Arial"/>
          <w:b w:val="false"/>
          <w:bCs w:val="false"/>
          <w:i w:val="false"/>
          <w:iCs w:val="false"/>
          <w:color w:val="000000"/>
          <w:sz w:val="17"/>
          <w:szCs w:val="17"/>
        </w:rPr>
        <w:t xml:space="preserve">JVCo shall have its registered office at IndraMotors' Pune facility and its principal manufacturing facility at MIDC Chakan, Pune, where IndraMotors holds a long-term industrial land lease.</w:t>
      </w:r>
    </w:p>
    <w:p>
      <w:pPr>
        <w:spacing w:after="60" w:before="140"/>
      </w:pPr>
      <w:r>
        <w:rPr>
          <w:rFonts w:ascii="Arial" w:cs="Arial" w:eastAsia="Arial" w:hAnsi="Arial"/>
          <w:b/>
          <w:bCs/>
          <w:color w:val="1F3864"/>
          <w:sz w:val="18"/>
          <w:szCs w:val="18"/>
        </w:rPr>
        <w:t xml:space="preserve">Clause 2.2  Equity Shareholding</w:t>
      </w:r>
    </w:p>
    <w:p>
      <w:pPr>
        <w:spacing w:after="40" w:before="40"/>
        <w:ind w:left="360"/>
      </w:pPr>
      <w:r>
        <w:rPr>
          <w:rFonts w:ascii="Arial" w:cs="Arial" w:eastAsia="Arial" w:hAnsi="Arial"/>
          <w:b w:val="false"/>
          <w:bCs w:val="false"/>
          <w:i w:val="false"/>
          <w:iCs w:val="false"/>
          <w:color w:val="000000"/>
          <w:sz w:val="17"/>
          <w:szCs w:val="17"/>
        </w:rPr>
        <w:t xml:space="preserve">EnerDrive: 51% | IndraMotors: 49%. Shareholding pattern is subject to FDI policy under the Automatic Route for the automobile sector (100% FDI permitted). Anti-dilution protections apply to both parties on a pro-rata basis.</w:t>
      </w:r>
    </w:p>
    <w:p>
      <w:pPr>
        <w:spacing w:after="40" w:before="40"/>
        <w:ind w:left="360"/>
      </w:pPr>
      <w:r>
        <w:rPr>
          <w:rFonts w:ascii="Arial" w:cs="Arial" w:eastAsia="Arial" w:hAnsi="Arial"/>
          <w:b w:val="false"/>
          <w:bCs w:val="false"/>
          <w:i w:val="false"/>
          <w:iCs w:val="false"/>
          <w:color w:val="000000"/>
          <w:sz w:val="17"/>
          <w:szCs w:val="17"/>
        </w:rPr>
        <w:t xml:space="preserve">Both parties shall contribute their respective equity portions in cash. No in-kind contribution of existing assets is contemplated at this stage, though land use rights held by IndraMotors shall be subject to a separate operating lease agreement at a nominal rental of ₹1 per year for 20 years.</w:t>
      </w:r>
    </w:p>
    <w:p>
      <w:pPr>
        <w:spacing w:after="60" w:before="140"/>
      </w:pPr>
      <w:r>
        <w:rPr>
          <w:rFonts w:ascii="Arial" w:cs="Arial" w:eastAsia="Arial" w:hAnsi="Arial"/>
          <w:b/>
          <w:bCs/>
          <w:color w:val="1F3864"/>
          <w:sz w:val="18"/>
          <w:szCs w:val="18"/>
        </w:rPr>
        <w:t xml:space="preserve">Clause 2.3  Reserved Matters</w:t>
      </w:r>
    </w:p>
    <w:p>
      <w:pPr>
        <w:spacing w:after="40" w:before="40"/>
        <w:ind w:left="360"/>
      </w:pPr>
      <w:r>
        <w:rPr>
          <w:rFonts w:ascii="Arial" w:cs="Arial" w:eastAsia="Arial" w:hAnsi="Arial"/>
          <w:b w:val="false"/>
          <w:bCs w:val="false"/>
          <w:i w:val="false"/>
          <w:iCs w:val="false"/>
          <w:color w:val="000000"/>
          <w:sz w:val="17"/>
          <w:szCs w:val="17"/>
        </w:rPr>
        <w:t xml:space="preserve">The following matters require unanimous board approval: (a) amendment of JVCo's MOA/AOA; (b) issuance of new shares or convertible instruments; (c) any acquisition above ₹500 Cr; (d) commencement of a new business line outside the Approved Business Plan; (e) appointment or removal of the MD/CEO; (f) entry into related-party transactions above ₹50 Cr.</w:t>
      </w:r>
    </w:p>
    <w:p>
      <w:pPr>
        <w:spacing w:after="40" w:before="40"/>
        <w:ind w:left="360"/>
      </w:pPr>
      <w:r>
        <w:rPr>
          <w:rFonts w:ascii="Arial" w:cs="Arial" w:eastAsia="Arial" w:hAnsi="Arial"/>
          <w:b w:val="false"/>
          <w:bCs w:val="false"/>
          <w:i w:val="false"/>
          <w:iCs w:val="false"/>
          <w:color w:val="000000"/>
          <w:sz w:val="17"/>
          <w:szCs w:val="17"/>
        </w:rPr>
        <w:t xml:space="preserve">Operating decisions within the Approved Business Plan shall be made by simple majority of the Board.</w:t>
      </w:r>
    </w:p>
    <w:p>
      <w:r>
        <w:br w:type="page"/>
      </w:r>
    </w:p>
    <w:p>
      <w:pPr>
        <w:pStyle w:val="Heading1"/>
        <w:spacing w:after="120" w:before="280"/>
      </w:pPr>
      <w:r>
        <w:rPr>
          <w:rFonts w:ascii="Arial" w:cs="Arial" w:eastAsia="Arial" w:hAnsi="Arial"/>
          <w:b/>
          <w:bCs/>
          <w:color w:val="1F3864"/>
          <w:sz w:val="26"/>
          <w:szCs w:val="26"/>
        </w:rPr>
        <w:t xml:space="preserve">SECTION 3: INVESTMENT TERMS AND MINIMUM MARKET CONDITIONS</w:t>
      </w:r>
    </w:p>
    <w:p>
      <w:pPr>
        <w:spacing w:after="60" w:before="140"/>
      </w:pPr>
      <w:r>
        <w:rPr>
          <w:rFonts w:ascii="Arial" w:cs="Arial" w:eastAsia="Arial" w:hAnsi="Arial"/>
          <w:b/>
          <w:bCs/>
          <w:color w:val="1F3864"/>
          <w:sz w:val="18"/>
          <w:szCs w:val="18"/>
        </w:rPr>
        <w:t xml:space="preserve">Clause 3.0  Total Capital Commitment</w:t>
      </w:r>
    </w:p>
    <w:p>
      <w:pPr>
        <w:spacing w:after="40" w:before="40"/>
        <w:ind w:left="360"/>
      </w:pPr>
      <w:r>
        <w:rPr>
          <w:rFonts w:ascii="Arial" w:cs="Arial" w:eastAsia="Arial" w:hAnsi="Arial"/>
          <w:b w:val="false"/>
          <w:bCs w:val="false"/>
          <w:i w:val="false"/>
          <w:iCs w:val="false"/>
          <w:color w:val="000000"/>
          <w:sz w:val="17"/>
          <w:szCs w:val="17"/>
        </w:rPr>
        <w:t xml:space="preserve">The parties jointly commit a total of USD 120 million (approximately ₹10,200 Cr at a reference exchange rate of ₹85.0 per USD, subject to prevailing RBI reference rate at disbursement date) as initial equity capital in JVCo to be deployed over FY2026–FY2028. EnerDrive's 51% share: USD 61.2M. IndraMotors' 49% share: USD 58.8M.</w:t>
      </w:r>
    </w:p>
    <w:p>
      <w:pPr>
        <w:spacing w:after="40" w:before="40"/>
        <w:ind w:left="360"/>
      </w:pPr>
      <w:r>
        <w:rPr>
          <w:rFonts w:ascii="Arial" w:cs="Arial" w:eastAsia="Arial" w:hAnsi="Arial"/>
          <w:b w:val="false"/>
          <w:bCs w:val="false"/>
          <w:i w:val="false"/>
          <w:iCs w:val="false"/>
          <w:color w:val="000000"/>
          <w:sz w:val="17"/>
          <w:szCs w:val="17"/>
        </w:rPr>
        <w:t xml:space="preserve">Capital shall be deployed in three tranches: (i) USD 40M at financial close; (ii) USD 45M upon commencement of commercial production; (iii) USD 35M upon achievement of Year 2 volume targets.</w:t>
      </w:r>
    </w:p>
    <w:p>
      <w:pPr>
        <w:pBdr>
          <w:left w:val="single" w:color="7F3B00" w:sz="12"/>
        </w:pBdr>
        <w:spacing w:after="60" w:before="140"/>
        <w:ind w:left="240"/>
      </w:pPr>
      <w:r>
        <w:rPr>
          <w:rFonts w:ascii="Arial" w:cs="Arial" w:eastAsia="Arial" w:hAnsi="Arial"/>
          <w:b/>
          <w:bCs/>
          <w:color w:val="7F3B00"/>
          <w:sz w:val="18"/>
          <w:szCs w:val="18"/>
        </w:rPr>
        <w:t xml:space="preserve">Clause 3.1  Minimum Market Size Condition — Retail SAM Threshold  ★</w:t>
      </w:r>
    </w:p>
    <w:p>
      <w:pPr>
        <w:shd w:fill="FFF9F7" w:val="clear"/>
        <w:spacing w:after="40" w:before="40"/>
        <w:ind w:left="600" w:right="360"/>
      </w:pPr>
      <w:r>
        <w:rPr>
          <w:rFonts w:ascii="Arial" w:cs="Arial" w:eastAsia="Arial" w:hAnsi="Arial"/>
          <w:color w:val="000000"/>
          <w:sz w:val="17"/>
          <w:szCs w:val="17"/>
        </w:rPr>
        <w:t xml:space="preserve">THE PARTIES AGREE THAT THE JV SHALL ONLY PROCEED TO FINANCIAL CLOSE IF THE FOLLOWING MARKET SIZE CONDITION IS SATISFIED:</w:t>
      </w:r>
    </w:p>
    <w:p>
      <w:pPr>
        <w:shd w:fill="FFF9F7" w:val="clear"/>
        <w:spacing w:after="40" w:before="40"/>
        <w:ind w:left="600" w:right="360"/>
      </w:pPr>
      <w:r>
        <w:rPr>
          <w:rFonts w:ascii="Arial" w:cs="Arial" w:eastAsia="Arial" w:hAnsi="Arial"/>
          <w:color w:val="000000"/>
          <w:sz w:val="17"/>
          <w:szCs w:val="17"/>
        </w:rPr>
        <w:t xml:space="preserve">The Certified Retail SAM (as defined in Clause 4.2) for the Target Segment in the Target Projection Year must equal or exceed ₹40,000 Crore (Rupees Forty Thousand Crore) as determined by the Strategy Advisor's Certified Market Report submitted no later than 30 days prior to the Longstop Date.</w:t>
      </w:r>
    </w:p>
    <w:p>
      <w:pPr>
        <w:shd w:fill="FFF9F7" w:val="clear"/>
        <w:spacing w:after="40" w:before="40"/>
        <w:ind w:left="600" w:right="360"/>
      </w:pPr>
      <w:r>
        <w:rPr>
          <w:rFonts w:ascii="Arial" w:cs="Arial" w:eastAsia="Arial" w:hAnsi="Arial"/>
          <w:color w:val="000000"/>
          <w:sz w:val="17"/>
          <w:szCs w:val="17"/>
        </w:rPr>
        <w:t xml:space="preserve">For the purposes of this Clause 3.1: (a) 'Target Segment' means EV passenger cars in the ₹15L–₹40L retail price band in India; (b) 'Target Projection Year' means FY2027; (c) 'Certified Retail SAM' means the SAM computed strictly in accordance with the Addressable Market Definition set out in Clause 4.2, excluding all non-retail end-users.</w:t>
      </w:r>
    </w:p>
    <w:p>
      <w:pPr>
        <w:shd w:fill="FFF9F7" w:val="clear"/>
        <w:spacing w:after="40" w:before="40"/>
        <w:ind w:left="600" w:right="360"/>
      </w:pPr>
      <w:r>
        <w:rPr>
          <w:rFonts w:ascii="Arial" w:cs="Arial" w:eastAsia="Arial" w:hAnsi="Arial"/>
          <w:color w:val="000000"/>
          <w:sz w:val="17"/>
          <w:szCs w:val="17"/>
        </w:rPr>
        <w:t xml:space="preserve">If the Certified Retail SAM is below ₹40,000 Crore, either party may elect to terminate this Term Sheet by written notice within 10 Business Days of receipt of the Certified Market Report, without liability to the other. The ₹40,000 Crore threshold is non-negotiable and shall not be subject to waiver by either party.</w:t>
      </w:r>
    </w:p>
    <w:p>
      <w:pPr>
        <w:shd w:fill="FFF9F7" w:val="clear"/>
        <w:spacing w:after="40" w:before="40"/>
        <w:ind w:left="600" w:right="360"/>
      </w:pPr>
      <w:r>
        <w:rPr>
          <w:rFonts w:ascii="Arial" w:cs="Arial" w:eastAsia="Arial" w:hAnsi="Arial"/>
          <w:color w:val="000000"/>
          <w:sz w:val="17"/>
          <w:szCs w:val="17"/>
        </w:rPr>
        <w:t xml:space="preserve">For the avoidance of doubt, the Certified Retail SAM shall NOT be based on or derived from any total market SAM figure that includes commercial fleet or non-retail operator volumes. Use of an unadjusted total market SAM figure to satisfy this threshold condition shall render the Certified Market Report non-compliant.</w:t>
      </w:r>
    </w:p>
    <w:p>
      <w:pPr>
        <w:spacing w:after="60" w:before="140"/>
      </w:pPr>
      <w:r>
        <w:rPr>
          <w:rFonts w:ascii="Arial" w:cs="Arial" w:eastAsia="Arial" w:hAnsi="Arial"/>
          <w:b/>
          <w:bCs/>
          <w:color w:val="1F3864"/>
          <w:sz w:val="18"/>
          <w:szCs w:val="18"/>
        </w:rPr>
        <w:t xml:space="preserve">Clause 3.2  IRR Hurdle and Return Targets</w:t>
      </w:r>
    </w:p>
    <w:p>
      <w:pPr>
        <w:spacing w:after="40" w:before="40"/>
        <w:ind w:left="360"/>
      </w:pPr>
      <w:r>
        <w:rPr>
          <w:rFonts w:ascii="Arial" w:cs="Arial" w:eastAsia="Arial" w:hAnsi="Arial"/>
          <w:b w:val="false"/>
          <w:bCs w:val="false"/>
          <w:i w:val="false"/>
          <w:iCs w:val="false"/>
          <w:color w:val="000000"/>
          <w:sz w:val="17"/>
          <w:szCs w:val="17"/>
        </w:rPr>
        <w:t xml:space="preserve">The parties agree that the minimum acceptable unlevered IRR on JVCo's invested capital over a 7-year horizon is 14%. Financial projections submitted to the Investment Committee of each party shall demonstrate achievement of this hurdle under the Base Case assumptions.</w:t>
      </w:r>
    </w:p>
    <w:p>
      <w:pPr>
        <w:spacing w:after="40" w:before="40"/>
        <w:ind w:left="360"/>
      </w:pPr>
      <w:r>
        <w:rPr>
          <w:rFonts w:ascii="Arial" w:cs="Arial" w:eastAsia="Arial" w:hAnsi="Arial"/>
          <w:b w:val="false"/>
          <w:bCs w:val="false"/>
          <w:i w:val="false"/>
          <w:iCs w:val="false"/>
          <w:color w:val="000000"/>
          <w:sz w:val="17"/>
          <w:szCs w:val="17"/>
        </w:rPr>
        <w:t xml:space="preserve">IRR calculations shall assume: (a) total equity deployment of USD 120M as per Clause 3.0; (b) 10-year terminal value at 8x EV/EBITDA; (c) no working capital adjustments in terminal value. Sensitivity analysis shall demonstrate the IRR impact of ±20% variation in the Certified Retail SAM.</w:t>
      </w:r>
    </w:p>
    <w:p>
      <w:pPr>
        <w:spacing w:after="60" w:before="140"/>
      </w:pPr>
      <w:r>
        <w:rPr>
          <w:rFonts w:ascii="Arial" w:cs="Arial" w:eastAsia="Arial" w:hAnsi="Arial"/>
          <w:b/>
          <w:bCs/>
          <w:color w:val="1F3864"/>
          <w:sz w:val="18"/>
          <w:szCs w:val="18"/>
        </w:rPr>
        <w:t xml:space="preserve">Clause 3.3  Longstop Date</w:t>
      </w:r>
    </w:p>
    <w:p>
      <w:pPr>
        <w:spacing w:after="40" w:before="40"/>
        <w:ind w:left="360"/>
      </w:pPr>
      <w:r>
        <w:rPr>
          <w:rFonts w:ascii="Arial" w:cs="Arial" w:eastAsia="Arial" w:hAnsi="Arial"/>
          <w:b w:val="false"/>
          <w:bCs w:val="false"/>
          <w:i w:val="false"/>
          <w:iCs w:val="false"/>
          <w:color w:val="000000"/>
          <w:sz w:val="17"/>
          <w:szCs w:val="17"/>
        </w:rPr>
        <w:t xml:space="preserve">The 'Longstop Date' for satisfaction of all conditions precedent (including the Clause 3.1 market condition) is September 30, 2026. If conditions precedent remain unsatisfied on the Longstop Date, this Term Sheet lapses automatically and neither party shall have any liability to the other, save in respect of any binding confidentiality obligations.</w:t>
      </w:r>
    </w:p>
    <w:p>
      <w:r>
        <w:br w:type="page"/>
      </w:r>
    </w:p>
    <w:p>
      <w:pPr>
        <w:pStyle w:val="Heading1"/>
        <w:spacing w:after="120" w:before="280"/>
      </w:pPr>
      <w:r>
        <w:rPr>
          <w:rFonts w:ascii="Arial" w:cs="Arial" w:eastAsia="Arial" w:hAnsi="Arial"/>
          <w:b/>
          <w:bCs/>
          <w:color w:val="1F3864"/>
          <w:sz w:val="26"/>
          <w:szCs w:val="26"/>
        </w:rPr>
        <w:t xml:space="preserve">SECTION 4: ADDRESSABLE MARKET DEFINITION AND SCOPE</w:t>
      </w:r>
    </w:p>
    <w:p>
      <w:pPr>
        <w:spacing w:after="60" w:before="140"/>
      </w:pPr>
      <w:r>
        <w:rPr>
          <w:rFonts w:ascii="Arial" w:cs="Arial" w:eastAsia="Arial" w:hAnsi="Arial"/>
          <w:b/>
          <w:bCs/>
          <w:color w:val="1F3864"/>
          <w:sz w:val="18"/>
          <w:szCs w:val="18"/>
        </w:rPr>
        <w:t xml:space="preserve">Clause 4.1  Approved Business Scope</w:t>
      </w:r>
    </w:p>
    <w:p>
      <w:pPr>
        <w:spacing w:after="40" w:before="40"/>
        <w:ind w:left="360"/>
      </w:pPr>
      <w:r>
        <w:rPr>
          <w:rFonts w:ascii="Arial" w:cs="Arial" w:eastAsia="Arial" w:hAnsi="Arial"/>
          <w:b w:val="false"/>
          <w:bCs w:val="false"/>
          <w:i w:val="false"/>
          <w:iCs w:val="false"/>
          <w:color w:val="000000"/>
          <w:sz w:val="17"/>
          <w:szCs w:val="17"/>
        </w:rPr>
        <w:t xml:space="preserve">JVCo's Approved Business Scope is limited to: (a) assembly, marketing, sales, and after-sales servicing of battery electric passenger vehicles in the retail consumer market in India; (b) wholesale supply of EV powertrain components to third-party OEMs in India (subject to Board approval); and (c) export of India-assembled EVs to South Asian markets (Bangladesh, Sri Lanka, Nepal) subject to separate board approval.</w:t>
      </w:r>
    </w:p>
    <w:p>
      <w:pPr>
        <w:spacing w:after="40" w:before="40"/>
        <w:ind w:left="360"/>
      </w:pPr>
      <w:r>
        <w:rPr>
          <w:rFonts w:ascii="Arial" w:cs="Arial" w:eastAsia="Arial" w:hAnsi="Arial"/>
          <w:b w:val="false"/>
          <w:bCs w:val="false"/>
          <w:i w:val="false"/>
          <w:iCs w:val="false"/>
          <w:color w:val="000000"/>
          <w:sz w:val="17"/>
          <w:szCs w:val="17"/>
        </w:rPr>
        <w:t xml:space="preserve">For the avoidance of doubt, JVCo shall NOT target commercial fleet operators, ride-hailing platforms, vehicle rental businesses, government fleet procurement, or any B2B bulk purchaser of vehicles. Any deviation from the retail consumer focus shall require unanimous Board approval and amendment of this Term Sheet.</w:t>
      </w:r>
    </w:p>
    <w:p>
      <w:pPr>
        <w:pBdr>
          <w:left w:val="single" w:color="7F3B00" w:sz="12"/>
        </w:pBdr>
        <w:spacing w:after="60" w:before="140"/>
        <w:ind w:left="240"/>
      </w:pPr>
      <w:r>
        <w:rPr>
          <w:rFonts w:ascii="Arial" w:cs="Arial" w:eastAsia="Arial" w:hAnsi="Arial"/>
          <w:b/>
          <w:bCs/>
          <w:color w:val="7F3B00"/>
          <w:sz w:val="18"/>
          <w:szCs w:val="18"/>
        </w:rPr>
        <w:t xml:space="preserve">Clause 4.2  Addressable Market Definition — Retail Consumer Only  ★</w:t>
      </w:r>
    </w:p>
    <w:p>
      <w:pPr>
        <w:shd w:fill="FFF9F7" w:val="clear"/>
        <w:spacing w:after="40" w:before="40"/>
        <w:ind w:left="600" w:right="360"/>
      </w:pPr>
      <w:r>
        <w:rPr>
          <w:rFonts w:ascii="Arial" w:cs="Arial" w:eastAsia="Arial" w:hAnsi="Arial"/>
          <w:color w:val="000000"/>
          <w:sz w:val="17"/>
          <w:szCs w:val="17"/>
        </w:rPr>
        <w:t xml:space="preserve">For all purposes of this Term Sheet and all documents executed pursuant hereto — including investment sizing presented to the Investment Committee, financial projections, business plans, and the Certified Market Report required under Clause 3.1 — the 'Addressable Market' and 'Certified Retail SAM' shall be defined as follows:</w:t>
      </w:r>
    </w:p>
    <w:p>
      <w:pPr>
        <w:shd w:fill="FFF9F7" w:val="clear"/>
        <w:spacing w:after="40" w:before="40"/>
        <w:ind w:left="600" w:right="360"/>
      </w:pPr>
      <w:r>
        <w:rPr>
          <w:rFonts w:ascii="Arial" w:cs="Arial" w:eastAsia="Arial" w:hAnsi="Arial"/>
          <w:color w:val="000000"/>
          <w:sz w:val="17"/>
          <w:szCs w:val="17"/>
        </w:rPr>
        <w:t xml:space="preserve">'ADDRESSABLE MARKET' means the total demand for EV passenger cars in the Target Segment from RETAIL CONSUMERS only, being natural persons or families purchasing vehicles for personal, non-commercial use.</w:t>
      </w:r>
    </w:p>
    <w:p>
      <w:pPr>
        <w:shd w:fill="FFF9F7" w:val="clear"/>
        <w:spacing w:after="40" w:before="40"/>
        <w:ind w:left="600" w:right="360"/>
      </w:pPr>
      <w:r>
        <w:rPr>
          <w:rFonts w:ascii="Arial" w:cs="Arial" w:eastAsia="Arial" w:hAnsi="Arial"/>
          <w:color w:val="000000"/>
          <w:sz w:val="17"/>
          <w:szCs w:val="17"/>
        </w:rPr>
        <w:t xml:space="preserve">THE FOLLOWING CATEGORIES ARE EXPLICITLY EXCLUDED from the Addressable Market definition and shall not be counted toward any SAM figure for the purposes of this Term Sheet:</w:t>
      </w:r>
    </w:p>
    <w:p>
      <w:pPr>
        <w:shd w:fill="FFF9F7" w:val="clear"/>
        <w:spacing w:after="40" w:before="40"/>
        <w:ind w:left="600" w:right="360"/>
      </w:pPr>
      <w:r>
        <w:rPr>
          <w:rFonts w:ascii="Arial" w:cs="Arial" w:eastAsia="Arial" w:hAnsi="Arial"/>
          <w:color w:val="000000"/>
          <w:sz w:val="17"/>
          <w:szCs w:val="17"/>
        </w:rPr>
        <w:t xml:space="preserve">(i)  Commercial fleet operators of any kind, including but not limited to ride-hailing aggregators (Ola, Uber, Rapido, BluSmart, and similar platforms) and their driver-partners purchasing vehicles for commercial operations;</w:t>
      </w:r>
    </w:p>
    <w:p>
      <w:pPr>
        <w:shd w:fill="FFF9F7" w:val="clear"/>
        <w:spacing w:after="40" w:before="40"/>
        <w:ind w:left="600" w:right="360"/>
      </w:pPr>
      <w:r>
        <w:rPr>
          <w:rFonts w:ascii="Arial" w:cs="Arial" w:eastAsia="Arial" w:hAnsi="Arial"/>
          <w:color w:val="000000"/>
          <w:sz w:val="17"/>
          <w:szCs w:val="17"/>
        </w:rPr>
        <w:t xml:space="preserve">(ii)  Self-drive vehicle rental operators (Zoomcar, Revv, and similar platforms);</w:t>
      </w:r>
    </w:p>
    <w:p>
      <w:pPr>
        <w:shd w:fill="FFF9F7" w:val="clear"/>
        <w:spacing w:after="40" w:before="40"/>
        <w:ind w:left="600" w:right="360"/>
      </w:pPr>
      <w:r>
        <w:rPr>
          <w:rFonts w:ascii="Arial" w:cs="Arial" w:eastAsia="Arial" w:hAnsi="Arial"/>
          <w:color w:val="000000"/>
          <w:sz w:val="17"/>
          <w:szCs w:val="17"/>
        </w:rPr>
        <w:t xml:space="preserve">(iii)  Any government ministry, department, public sector undertaking, state government agency, or defence establishment purchasing vehicles for official, fleet, or programme use;</w:t>
      </w:r>
    </w:p>
    <w:p>
      <w:pPr>
        <w:shd w:fill="FFF9F7" w:val="clear"/>
        <w:spacing w:after="40" w:before="40"/>
        <w:ind w:left="600" w:right="360"/>
      </w:pPr>
      <w:r>
        <w:rPr>
          <w:rFonts w:ascii="Arial" w:cs="Arial" w:eastAsia="Arial" w:hAnsi="Arial"/>
          <w:color w:val="000000"/>
          <w:sz w:val="17"/>
          <w:szCs w:val="17"/>
        </w:rPr>
        <w:t xml:space="preserve">(iv)  Corporate fleet managers purchasing vehicles for company pool fleets or employee mobility programmes regardless of whether the legal purchaser is an individual employee or the corporate entity;</w:t>
      </w:r>
    </w:p>
    <w:p>
      <w:pPr>
        <w:shd w:fill="FFF9F7" w:val="clear"/>
        <w:spacing w:after="40" w:before="40"/>
        <w:ind w:left="600" w:right="360"/>
      </w:pPr>
      <w:r>
        <w:rPr>
          <w:rFonts w:ascii="Arial" w:cs="Arial" w:eastAsia="Arial" w:hAnsi="Arial"/>
          <w:color w:val="000000"/>
          <w:sz w:val="17"/>
          <w:szCs w:val="17"/>
        </w:rPr>
        <w:t xml:space="preserve">(v)  Any other commercial operator purchasing vehicles primarily for revenue generation purposes.</w:t>
      </w:r>
    </w:p>
    <w:p>
      <w:pPr>
        <w:shd w:fill="FFF9F7" w:val="clear"/>
        <w:spacing w:after="40" w:before="40"/>
        <w:ind w:left="600" w:right="360"/>
      </w:pPr>
      <w:r>
        <w:rPr>
          <w:rFonts w:ascii="Arial" w:cs="Arial" w:eastAsia="Arial" w:hAnsi="Arial"/>
          <w:color w:val="000000"/>
          <w:sz w:val="17"/>
          <w:szCs w:val="17"/>
        </w:rPr>
        <w:t xml:space="preserve">The Strategy Advisor preparing the Certified Market Report under Clause 3.1 shall: (a) explicitly identify the source and methodology for fleet volume estimation; (b) deduct fleet volumes from the total market figure before computing the Certified Retail SAM; and (c) confirm in writing that the SAM figure presented is retail-only.</w:t>
      </w:r>
    </w:p>
    <w:p>
      <w:pPr>
        <w:shd w:fill="FFF9F7" w:val="clear"/>
        <w:spacing w:after="40" w:before="40"/>
        <w:ind w:left="600" w:right="360"/>
      </w:pPr>
      <w:r>
        <w:rPr>
          <w:rFonts w:ascii="Arial" w:cs="Arial" w:eastAsia="Arial" w:hAnsi="Arial"/>
          <w:color w:val="000000"/>
          <w:sz w:val="17"/>
          <w:szCs w:val="17"/>
        </w:rPr>
        <w:t xml:space="preserve">Failure to apply this definition — including, without limitation, presenting an unadjusted total market SAM figure as the Certified Retail SAM — shall constitute a material non-compliance with this Term Sheet and shall entitle either party to reject the Certified Market Report.</w:t>
      </w:r>
    </w:p>
    <w:p>
      <w:pPr>
        <w:spacing w:after="60" w:before="140"/>
      </w:pPr>
      <w:r>
        <w:rPr>
          <w:rFonts w:ascii="Arial" w:cs="Arial" w:eastAsia="Arial" w:hAnsi="Arial"/>
          <w:b/>
          <w:bCs/>
          <w:color w:val="1F3864"/>
          <w:sz w:val="18"/>
          <w:szCs w:val="18"/>
        </w:rPr>
        <w:t xml:space="preserve">Clause 4.3  Geographic Scope</w:t>
      </w:r>
    </w:p>
    <w:p>
      <w:pPr>
        <w:spacing w:after="40" w:before="40"/>
        <w:ind w:left="360"/>
      </w:pPr>
      <w:r>
        <w:rPr>
          <w:rFonts w:ascii="Arial" w:cs="Arial" w:eastAsia="Arial" w:hAnsi="Arial"/>
          <w:b w:val="false"/>
          <w:bCs w:val="false"/>
          <w:i w:val="false"/>
          <w:iCs w:val="false"/>
          <w:color w:val="000000"/>
          <w:sz w:val="17"/>
          <w:szCs w:val="17"/>
        </w:rPr>
        <w:t xml:space="preserve">The Addressable Market is limited to India (as defined by the territory of the Republic of India, excluding Jammu &amp; Kashmir for regulatory purposes pending clarification). Export markets referenced in Clause 4.1(c) shall be evaluated separately and shall not be included in the Certified Retail SAM calculation.</w:t>
      </w:r>
    </w:p>
    <w:p>
      <w:r>
        <w:br w:type="page"/>
      </w:r>
    </w:p>
    <w:p>
      <w:pPr>
        <w:pStyle w:val="Heading1"/>
        <w:spacing w:after="120" w:before="280"/>
      </w:pPr>
      <w:r>
        <w:rPr>
          <w:rFonts w:ascii="Arial" w:cs="Arial" w:eastAsia="Arial" w:hAnsi="Arial"/>
          <w:b/>
          <w:bCs/>
          <w:color w:val="1F3864"/>
          <w:sz w:val="26"/>
          <w:szCs w:val="26"/>
        </w:rPr>
        <w:t xml:space="preserve">SECTION 5: TECHNOLOGY TRANSFER AND LICENSING</w:t>
      </w:r>
    </w:p>
    <w:p>
      <w:pPr>
        <w:spacing w:after="60" w:before="140"/>
      </w:pPr>
      <w:r>
        <w:rPr>
          <w:rFonts w:ascii="Arial" w:cs="Arial" w:eastAsia="Arial" w:hAnsi="Arial"/>
          <w:b/>
          <w:bCs/>
          <w:color w:val="1F3864"/>
          <w:sz w:val="18"/>
          <w:szCs w:val="18"/>
        </w:rPr>
        <w:t xml:space="preserve">Clause 5.1  EnerDrive Technology Contribution</w:t>
      </w:r>
    </w:p>
    <w:p>
      <w:pPr>
        <w:spacing w:after="40" w:before="40"/>
        <w:ind w:left="360"/>
      </w:pPr>
      <w:r>
        <w:rPr>
          <w:rFonts w:ascii="Arial" w:cs="Arial" w:eastAsia="Arial" w:hAnsi="Arial"/>
          <w:b w:val="false"/>
          <w:bCs w:val="false"/>
          <w:i w:val="false"/>
          <w:iCs w:val="false"/>
          <w:color w:val="000000"/>
          <w:sz w:val="17"/>
          <w:szCs w:val="17"/>
        </w:rPr>
        <w:t xml:space="preserve">EnerDrive shall contribute to JVCo, on an exclusive basis for India, a licence to its fourth-generation NMC-to-LFP transitional battery management system (BMS Gen-4), powertrain control unit (PCU), and vehicle integration platform. The technology licence is exclusive for India for a period of 10 years from the date of financial close, extendable by mutual consent.</w:t>
      </w:r>
    </w:p>
    <w:p>
      <w:pPr>
        <w:spacing w:after="40" w:before="40"/>
        <w:ind w:left="360"/>
      </w:pPr>
      <w:r>
        <w:rPr>
          <w:rFonts w:ascii="Arial" w:cs="Arial" w:eastAsia="Arial" w:hAnsi="Arial"/>
          <w:b w:val="false"/>
          <w:bCs w:val="false"/>
          <w:i w:val="false"/>
          <w:iCs w:val="false"/>
          <w:color w:val="000000"/>
          <w:sz w:val="17"/>
          <w:szCs w:val="17"/>
        </w:rPr>
        <w:t xml:space="preserve">EnerDrive shall provide: (i) complete technical documentation in English; (ii) resident engineering support for 18 months post-production start; (iii) software updates for BMS and PCU at no incremental cost for 5 years.</w:t>
      </w:r>
    </w:p>
    <w:p>
      <w:pPr>
        <w:spacing w:after="60" w:before="140"/>
      </w:pPr>
      <w:r>
        <w:rPr>
          <w:rFonts w:ascii="Arial" w:cs="Arial" w:eastAsia="Arial" w:hAnsi="Arial"/>
          <w:b/>
          <w:bCs/>
          <w:color w:val="1F3864"/>
          <w:sz w:val="18"/>
          <w:szCs w:val="18"/>
        </w:rPr>
        <w:t xml:space="preserve">Clause 5.2  Royalty Structure</w:t>
      </w:r>
    </w:p>
    <w:p>
      <w:pPr>
        <w:spacing w:after="40" w:before="40"/>
        <w:ind w:left="360"/>
      </w:pPr>
      <w:r>
        <w:rPr>
          <w:rFonts w:ascii="Arial" w:cs="Arial" w:eastAsia="Arial" w:hAnsi="Arial"/>
          <w:b w:val="false"/>
          <w:bCs w:val="false"/>
          <w:i w:val="false"/>
          <w:iCs w:val="false"/>
          <w:color w:val="000000"/>
          <w:sz w:val="17"/>
          <w:szCs w:val="17"/>
        </w:rPr>
        <w:t xml:space="preserve">JVCo shall pay EnerDrive a royalty of 1.8% of net ex-factory revenue per vehicle for the licensed technology, subject to a minimum annual royalty of ₹75 Cr from Year 3 onwards. The royalty rate steps down to 1.2% from Year 6 onwards as technology transfer is deemed complete.</w:t>
      </w:r>
    </w:p>
    <w:p>
      <w:pPr>
        <w:spacing w:after="40" w:before="40"/>
        <w:ind w:left="360"/>
      </w:pPr>
      <w:r>
        <w:rPr>
          <w:rFonts w:ascii="Arial" w:cs="Arial" w:eastAsia="Arial" w:hAnsi="Arial"/>
          <w:b w:val="false"/>
          <w:bCs w:val="false"/>
          <w:i w:val="false"/>
          <w:iCs w:val="false"/>
          <w:color w:val="000000"/>
          <w:sz w:val="17"/>
          <w:szCs w:val="17"/>
        </w:rPr>
        <w:t xml:space="preserve">Royalties shall be paid quarterly in arrears in USD at the prevailing RBI reference rate. Tax withholding on royalties shall be per the India-Singapore DTAA (currently 10% WHT on royalties).</w:t>
      </w:r>
    </w:p>
    <w:p>
      <w:pPr>
        <w:spacing w:after="60" w:before="140"/>
      </w:pPr>
      <w:r>
        <w:rPr>
          <w:rFonts w:ascii="Arial" w:cs="Arial" w:eastAsia="Arial" w:hAnsi="Arial"/>
          <w:b/>
          <w:bCs/>
          <w:color w:val="1F3864"/>
          <w:sz w:val="18"/>
          <w:szCs w:val="18"/>
        </w:rPr>
        <w:t xml:space="preserve">Clause 5.3  IndraMotors IP</w:t>
      </w:r>
    </w:p>
    <w:p>
      <w:pPr>
        <w:spacing w:after="40" w:before="40"/>
        <w:ind w:left="360"/>
      </w:pPr>
      <w:r>
        <w:rPr>
          <w:rFonts w:ascii="Arial" w:cs="Arial" w:eastAsia="Arial" w:hAnsi="Arial"/>
          <w:b w:val="false"/>
          <w:bCs w:val="false"/>
          <w:i w:val="false"/>
          <w:iCs w:val="false"/>
          <w:color w:val="000000"/>
          <w:sz w:val="17"/>
          <w:szCs w:val="17"/>
        </w:rPr>
        <w:t xml:space="preserve">IndraMotors shall contribute its existing service network protocols, dealer management system (DMS), and customer relationship management platform to JVCo on a non-exclusive licence basis at a notional fee of ₹1 per annum. IndraMotors retains all IP rights and may licence the same technology to third parties.</w:t>
      </w:r>
    </w:p>
    <w:p>
      <w:r>
        <w:br w:type="page"/>
      </w:r>
    </w:p>
    <w:p>
      <w:pPr>
        <w:pStyle w:val="Heading1"/>
        <w:spacing w:after="120" w:before="280"/>
      </w:pPr>
      <w:r>
        <w:rPr>
          <w:rFonts w:ascii="Arial" w:cs="Arial" w:eastAsia="Arial" w:hAnsi="Arial"/>
          <w:b/>
          <w:bCs/>
          <w:color w:val="1F3864"/>
          <w:sz w:val="26"/>
          <w:szCs w:val="26"/>
        </w:rPr>
        <w:t xml:space="preserve">SECTION 6: GOVERNANCE AND BOARD COMPOSITION</w:t>
      </w:r>
    </w:p>
    <w:p>
      <w:pPr>
        <w:spacing w:after="60" w:before="140"/>
      </w:pPr>
      <w:r>
        <w:rPr>
          <w:rFonts w:ascii="Arial" w:cs="Arial" w:eastAsia="Arial" w:hAnsi="Arial"/>
          <w:b/>
          <w:bCs/>
          <w:color w:val="1F3864"/>
          <w:sz w:val="18"/>
          <w:szCs w:val="18"/>
        </w:rPr>
        <w:t xml:space="preserve">Clause 6.1  Board Size and Composition</w:t>
      </w:r>
    </w:p>
    <w:p>
      <w:pPr>
        <w:spacing w:after="40" w:before="40"/>
        <w:ind w:left="360"/>
      </w:pPr>
      <w:r>
        <w:rPr>
          <w:rFonts w:ascii="Arial" w:cs="Arial" w:eastAsia="Arial" w:hAnsi="Arial"/>
          <w:b w:val="false"/>
          <w:bCs w:val="false"/>
          <w:i w:val="false"/>
          <w:iCs w:val="false"/>
          <w:color w:val="000000"/>
          <w:sz w:val="17"/>
          <w:szCs w:val="17"/>
        </w:rPr>
        <w:t xml:space="preserve">JVCo's Board shall consist of 7 directors: EnerDrive appoints 4 directors (including Chairman); IndraMotors appoints 3 directors (including MD/CEO). The MD/CEO shall be an IndraMotors appointee for the first 5 years, after which the appointment shall rotate. The CFO shall be an EnerDrive appointee.</w:t>
      </w:r>
    </w:p>
    <w:p>
      <w:pPr>
        <w:spacing w:after="60" w:before="140"/>
      </w:pPr>
      <w:r>
        <w:rPr>
          <w:rFonts w:ascii="Arial" w:cs="Arial" w:eastAsia="Arial" w:hAnsi="Arial"/>
          <w:b/>
          <w:bCs/>
          <w:color w:val="1F3864"/>
          <w:sz w:val="18"/>
          <w:szCs w:val="18"/>
        </w:rPr>
        <w:t xml:space="preserve">Clause 6.2  Audit and Compliance Committee</w:t>
      </w:r>
    </w:p>
    <w:p>
      <w:pPr>
        <w:spacing w:after="40" w:before="40"/>
        <w:ind w:left="360"/>
      </w:pPr>
      <w:r>
        <w:rPr>
          <w:rFonts w:ascii="Arial" w:cs="Arial" w:eastAsia="Arial" w:hAnsi="Arial"/>
          <w:b w:val="false"/>
          <w:bCs w:val="false"/>
          <w:i w:val="false"/>
          <w:iCs w:val="false"/>
          <w:color w:val="000000"/>
          <w:sz w:val="17"/>
          <w:szCs w:val="17"/>
        </w:rPr>
        <w:t xml:space="preserve">JVCo shall establish an Audit and Compliance Committee with 2 EnerDrive and 2 IndraMotors directors plus 1 independent director. The independent director shall be appointed jointly. All financial statements shall be audited by a Big-4 firm agreed by both parties.</w:t>
      </w:r>
    </w:p>
    <w:p>
      <w:r>
        <w:br w:type="page"/>
      </w:r>
    </w:p>
    <w:p>
      <w:pPr>
        <w:pStyle w:val="Heading1"/>
        <w:spacing w:after="120" w:before="280"/>
      </w:pPr>
      <w:r>
        <w:rPr>
          <w:rFonts w:ascii="Arial" w:cs="Arial" w:eastAsia="Arial" w:hAnsi="Arial"/>
          <w:b/>
          <w:bCs/>
          <w:color w:val="1F3864"/>
          <w:sz w:val="26"/>
          <w:szCs w:val="26"/>
        </w:rPr>
        <w:t xml:space="preserve">SECTION 7: FINANCIAL PROJECTIONS AND REPORTING</w:t>
      </w:r>
    </w:p>
    <w:p>
      <w:pPr>
        <w:spacing w:after="60" w:before="140"/>
      </w:pPr>
      <w:r>
        <w:rPr>
          <w:rFonts w:ascii="Arial" w:cs="Arial" w:eastAsia="Arial" w:hAnsi="Arial"/>
          <w:b/>
          <w:bCs/>
          <w:color w:val="1F3864"/>
          <w:sz w:val="18"/>
          <w:szCs w:val="18"/>
        </w:rPr>
        <w:t xml:space="preserve">Clause 7.1  Business Plan and Volume Targets</w:t>
      </w:r>
    </w:p>
    <w:p>
      <w:pPr>
        <w:spacing w:after="40" w:before="40"/>
        <w:ind w:left="360"/>
      </w:pPr>
      <w:r>
        <w:rPr>
          <w:rFonts w:ascii="Arial" w:cs="Arial" w:eastAsia="Arial" w:hAnsi="Arial"/>
          <w:b w:val="false"/>
          <w:bCs w:val="false"/>
          <w:i w:val="false"/>
          <w:iCs w:val="false"/>
          <w:color w:val="000000"/>
          <w:sz w:val="17"/>
          <w:szCs w:val="17"/>
        </w:rPr>
        <w:t xml:space="preserve">The parties have agreed on the following indicative volume targets for JVCo in the ₹15L–₹40L retail consumer market:</w:t>
      </w:r>
    </w:p>
    <w:p>
      <w:pPr>
        <w:spacing w:after="40" w:before="40"/>
        <w:ind w:left="360"/>
      </w:pPr>
      <w:r>
        <w:rPr>
          <w:rFonts w:ascii="Arial" w:cs="Arial" w:eastAsia="Arial" w:hAnsi="Arial"/>
          <w:b w:val="false"/>
          <w:bCs w:val="false"/>
          <w:i w:val="false"/>
          <w:iCs w:val="false"/>
          <w:color w:val="000000"/>
          <w:sz w:val="17"/>
          <w:szCs w:val="17"/>
        </w:rPr>
        <w:t xml:space="preserve">FY2027 (Year 1, partial): 8,000 units | FY2028 (Year 2): 22,000 units | FY2029 (Year 3): 40,000 units | FY2030 (Year 4): 58,000 units | FY2031 (Year 5): 72,000 units.</w:t>
      </w:r>
    </w:p>
    <w:p>
      <w:pPr>
        <w:spacing w:after="40" w:before="40"/>
        <w:ind w:left="360"/>
      </w:pPr>
      <w:r>
        <w:rPr>
          <w:rFonts w:ascii="Arial" w:cs="Arial" w:eastAsia="Arial" w:hAnsi="Arial"/>
          <w:b w:val="false"/>
          <w:bCs w:val="false"/>
          <w:i w:val="false"/>
          <w:iCs w:val="false"/>
          <w:color w:val="000000"/>
          <w:sz w:val="17"/>
          <w:szCs w:val="17"/>
        </w:rPr>
        <w:t xml:space="preserve">Projected market share at Year 5: approximately 5% of the Addressable Market (as defined in Clause 4.2). Volume targets are indicative and shall be formalized in the Approved Business Plan.</w:t>
      </w:r>
    </w:p>
    <w:p>
      <w:pPr>
        <w:spacing w:after="60" w:before="140"/>
      </w:pPr>
      <w:r>
        <w:rPr>
          <w:rFonts w:ascii="Arial" w:cs="Arial" w:eastAsia="Arial" w:hAnsi="Arial"/>
          <w:b/>
          <w:bCs/>
          <w:color w:val="1F3864"/>
          <w:sz w:val="18"/>
          <w:szCs w:val="18"/>
        </w:rPr>
        <w:t xml:space="preserve">Clause 7.2  Reporting Requirements</w:t>
      </w:r>
    </w:p>
    <w:p>
      <w:pPr>
        <w:spacing w:after="40" w:before="40"/>
        <w:ind w:left="360"/>
      </w:pPr>
      <w:r>
        <w:rPr>
          <w:rFonts w:ascii="Arial" w:cs="Arial" w:eastAsia="Arial" w:hAnsi="Arial"/>
          <w:b w:val="false"/>
          <w:bCs w:val="false"/>
          <w:i w:val="false"/>
          <w:iCs w:val="false"/>
          <w:color w:val="000000"/>
          <w:sz w:val="17"/>
          <w:szCs w:val="17"/>
        </w:rPr>
        <w:t xml:space="preserve">JVCo shall produce: (i) monthly management accounts within 15 business days of month-end; (ii) quarterly board reports including volume, revenue, margin, and capex vs. plan; (iii) annual statutory accounts within 90 days of year-end; (iv) semi-annual competitive intelligence update against Addressable Market benchmarks.</w:t>
      </w:r>
    </w:p>
    <w:p>
      <w:r>
        <w:br w:type="page"/>
      </w:r>
    </w:p>
    <w:p>
      <w:pPr>
        <w:pStyle w:val="Heading1"/>
        <w:spacing w:after="120" w:before="280"/>
      </w:pPr>
      <w:r>
        <w:rPr>
          <w:rFonts w:ascii="Arial" w:cs="Arial" w:eastAsia="Arial" w:hAnsi="Arial"/>
          <w:b/>
          <w:bCs/>
          <w:color w:val="1F3864"/>
          <w:sz w:val="26"/>
          <w:szCs w:val="26"/>
        </w:rPr>
        <w:t xml:space="preserve">SECTION 8: EXIT PROVISIONS AND DRAG/TAG-ALONG RIGHTS</w:t>
      </w:r>
    </w:p>
    <w:p>
      <w:pPr>
        <w:spacing w:after="60" w:before="140"/>
      </w:pPr>
      <w:r>
        <w:rPr>
          <w:rFonts w:ascii="Arial" w:cs="Arial" w:eastAsia="Arial" w:hAnsi="Arial"/>
          <w:b/>
          <w:bCs/>
          <w:color w:val="1F3864"/>
          <w:sz w:val="18"/>
          <w:szCs w:val="18"/>
        </w:rPr>
        <w:t xml:space="preserve">Clause 8.1  Lock-in Period</w:t>
      </w:r>
    </w:p>
    <w:p>
      <w:pPr>
        <w:spacing w:after="40" w:before="40"/>
        <w:ind w:left="360"/>
      </w:pPr>
      <w:r>
        <w:rPr>
          <w:rFonts w:ascii="Arial" w:cs="Arial" w:eastAsia="Arial" w:hAnsi="Arial"/>
          <w:b w:val="false"/>
          <w:bCs w:val="false"/>
          <w:i w:val="false"/>
          <w:iCs w:val="false"/>
          <w:color w:val="000000"/>
          <w:sz w:val="17"/>
          <w:szCs w:val="17"/>
        </w:rPr>
        <w:t xml:space="preserve">Neither party may transfer, encumber, or otherwise dispose of its shares in JVCo for a period of 5 years from the date of financial close ('Lock-in Period'), except to an Affiliate or pursuant to a mandatory Exit Event.</w:t>
      </w:r>
    </w:p>
    <w:p>
      <w:pPr>
        <w:spacing w:after="60" w:before="140"/>
      </w:pPr>
      <w:r>
        <w:rPr>
          <w:rFonts w:ascii="Arial" w:cs="Arial" w:eastAsia="Arial" w:hAnsi="Arial"/>
          <w:b/>
          <w:bCs/>
          <w:color w:val="1F3864"/>
          <w:sz w:val="18"/>
          <w:szCs w:val="18"/>
        </w:rPr>
        <w:t xml:space="preserve">Clause 8.2  Drag-Along Rights</w:t>
      </w:r>
    </w:p>
    <w:p>
      <w:pPr>
        <w:spacing w:after="40" w:before="40"/>
        <w:ind w:left="360"/>
      </w:pPr>
      <w:r>
        <w:rPr>
          <w:rFonts w:ascii="Arial" w:cs="Arial" w:eastAsia="Arial" w:hAnsi="Arial"/>
          <w:b w:val="false"/>
          <w:bCs w:val="false"/>
          <w:i w:val="false"/>
          <w:iCs w:val="false"/>
          <w:color w:val="000000"/>
          <w:sz w:val="17"/>
          <w:szCs w:val="17"/>
        </w:rPr>
        <w:t xml:space="preserve">If EnerDrive (as the majority shareholder) accepts a bona fide third-party offer to acquire 100% of JVCo at a valuation implying an unlevered IRR of at least 14% for IndraMotors on its invested capital, EnerDrive may drag IndraMotors to sell its shares at the same per-share price.</w:t>
      </w:r>
    </w:p>
    <w:p>
      <w:pPr>
        <w:spacing w:after="60" w:before="140"/>
      </w:pPr>
      <w:r>
        <w:rPr>
          <w:rFonts w:ascii="Arial" w:cs="Arial" w:eastAsia="Arial" w:hAnsi="Arial"/>
          <w:b/>
          <w:bCs/>
          <w:color w:val="1F3864"/>
          <w:sz w:val="18"/>
          <w:szCs w:val="18"/>
        </w:rPr>
        <w:t xml:space="preserve">Clause 8.3  Tag-Along Rights</w:t>
      </w:r>
    </w:p>
    <w:p>
      <w:pPr>
        <w:spacing w:after="40" w:before="40"/>
        <w:ind w:left="360"/>
      </w:pPr>
      <w:r>
        <w:rPr>
          <w:rFonts w:ascii="Arial" w:cs="Arial" w:eastAsia="Arial" w:hAnsi="Arial"/>
          <w:b w:val="false"/>
          <w:bCs w:val="false"/>
          <w:i w:val="false"/>
          <w:iCs w:val="false"/>
          <w:color w:val="000000"/>
          <w:sz w:val="17"/>
          <w:szCs w:val="17"/>
        </w:rPr>
        <w:t xml:space="preserve">IndraMotors shall have tag-along rights on any transfer by EnerDrive of 25% or more of JVCo shares to a third party. IndraMotors may require the acquirer to purchase its pro-rata proportion of shares at the same price.</w:t>
      </w:r>
    </w:p>
    <w:p>
      <w:pPr>
        <w:spacing w:after="60" w:before="140"/>
      </w:pPr>
      <w:r>
        <w:rPr>
          <w:rFonts w:ascii="Arial" w:cs="Arial" w:eastAsia="Arial" w:hAnsi="Arial"/>
          <w:b/>
          <w:bCs/>
          <w:color w:val="1F3864"/>
          <w:sz w:val="18"/>
          <w:szCs w:val="18"/>
        </w:rPr>
        <w:t xml:space="preserve">Clause 8.4  Deadlock and Forced Sale</w:t>
      </w:r>
    </w:p>
    <w:p>
      <w:pPr>
        <w:spacing w:after="40" w:before="40"/>
        <w:ind w:left="360"/>
      </w:pPr>
      <w:r>
        <w:rPr>
          <w:rFonts w:ascii="Arial" w:cs="Arial" w:eastAsia="Arial" w:hAnsi="Arial"/>
          <w:b w:val="false"/>
          <w:bCs w:val="false"/>
          <w:i w:val="false"/>
          <w:iCs w:val="false"/>
          <w:color w:val="000000"/>
          <w:sz w:val="17"/>
          <w:szCs w:val="17"/>
        </w:rPr>
        <w:t xml:space="preserve">In the event of a deadlock on a Reserved Matter that remains unresolved for 90 days, either party may trigger a Russian Roulette mechanism: the triggering party names a per-share price; the other party may elect to buy the triggering party's shares at that price or sell its own shares to the triggering party at that price.</w:t>
      </w:r>
    </w:p>
    <w:p>
      <w:r>
        <w:br w:type="page"/>
      </w:r>
    </w:p>
    <w:p>
      <w:pPr>
        <w:pStyle w:val="Heading1"/>
        <w:spacing w:after="120" w:before="280"/>
      </w:pPr>
      <w:r>
        <w:rPr>
          <w:rFonts w:ascii="Arial" w:cs="Arial" w:eastAsia="Arial" w:hAnsi="Arial"/>
          <w:b/>
          <w:bCs/>
          <w:color w:val="1F3864"/>
          <w:sz w:val="26"/>
          <w:szCs w:val="26"/>
        </w:rPr>
        <w:t xml:space="preserve">SECTION 9–11: WARRANTIES, DISPUTE RESOLUTION, AND CONDITIONS PRECEDENT</w:t>
      </w:r>
    </w:p>
    <w:p>
      <w:pPr>
        <w:spacing w:after="60" w:before="140"/>
      </w:pPr>
      <w:r>
        <w:rPr>
          <w:rFonts w:ascii="Arial" w:cs="Arial" w:eastAsia="Arial" w:hAnsi="Arial"/>
          <w:b/>
          <w:bCs/>
          <w:color w:val="1F3864"/>
          <w:sz w:val="18"/>
          <w:szCs w:val="18"/>
        </w:rPr>
        <w:t xml:space="preserve">Clause 9.1  Representations and Warranties (Summary)</w:t>
      </w:r>
    </w:p>
    <w:p>
      <w:pPr>
        <w:spacing w:after="40" w:before="40"/>
        <w:ind w:left="360"/>
      </w:pPr>
      <w:r>
        <w:rPr>
          <w:rFonts w:ascii="Arial" w:cs="Arial" w:eastAsia="Arial" w:hAnsi="Arial"/>
          <w:b w:val="false"/>
          <w:bCs w:val="false"/>
          <w:i w:val="false"/>
          <w:iCs w:val="false"/>
          <w:color w:val="000000"/>
          <w:sz w:val="17"/>
          <w:szCs w:val="17"/>
        </w:rPr>
        <w:t xml:space="preserve">Each party represents and warrants: (a) due incorporation and good standing; (b) authority to enter this Term Sheet; (c) no pending litigation that would materially impair JVCo; (d) financial statements fairly presented.</w:t>
      </w:r>
    </w:p>
    <w:p>
      <w:pPr>
        <w:spacing w:after="60" w:before="140"/>
      </w:pPr>
      <w:r>
        <w:rPr>
          <w:rFonts w:ascii="Arial" w:cs="Arial" w:eastAsia="Arial" w:hAnsi="Arial"/>
          <w:b/>
          <w:bCs/>
          <w:color w:val="1F3864"/>
          <w:sz w:val="18"/>
          <w:szCs w:val="18"/>
        </w:rPr>
        <w:t xml:space="preserve">Clause 10.1  Governing Law and Dispute Resolution</w:t>
      </w:r>
    </w:p>
    <w:p>
      <w:pPr>
        <w:spacing w:after="40" w:before="40"/>
        <w:ind w:left="360"/>
      </w:pPr>
      <w:r>
        <w:rPr>
          <w:rFonts w:ascii="Arial" w:cs="Arial" w:eastAsia="Arial" w:hAnsi="Arial"/>
          <w:b w:val="false"/>
          <w:bCs w:val="false"/>
          <w:i w:val="false"/>
          <w:iCs w:val="false"/>
          <w:color w:val="000000"/>
          <w:sz w:val="17"/>
          <w:szCs w:val="17"/>
        </w:rPr>
        <w:t xml:space="preserve">This Term Sheet and all disputes arising from it shall be governed by the laws of India. All disputes shall be resolved by arbitration under the SIAC Arbitration Rules, Singapore, with a panel of 3 arbitrators. Parties agree to maintain confidentiality of arbitral proceedings.</w:t>
      </w:r>
    </w:p>
    <w:p>
      <w:pPr>
        <w:spacing w:after="60" w:before="140"/>
      </w:pPr>
      <w:r>
        <w:rPr>
          <w:rFonts w:ascii="Arial" w:cs="Arial" w:eastAsia="Arial" w:hAnsi="Arial"/>
          <w:b/>
          <w:bCs/>
          <w:color w:val="1F3864"/>
          <w:sz w:val="18"/>
          <w:szCs w:val="18"/>
        </w:rPr>
        <w:t xml:space="preserve">Clause 11.1  Conditions Precedent</w:t>
      </w:r>
    </w:p>
    <w:p>
      <w:pPr>
        <w:spacing w:after="40" w:before="40"/>
        <w:ind w:left="360"/>
      </w:pPr>
      <w:r>
        <w:rPr>
          <w:rFonts w:ascii="Arial" w:cs="Arial" w:eastAsia="Arial" w:hAnsi="Arial"/>
          <w:b w:val="false"/>
          <w:bCs w:val="false"/>
          <w:i w:val="false"/>
          <w:iCs w:val="false"/>
          <w:color w:val="000000"/>
          <w:sz w:val="17"/>
          <w:szCs w:val="17"/>
        </w:rPr>
        <w:t xml:space="preserve">Financial Close is subject to: (a) satisfactory legal due diligence (EnerDrive's counsel: SAM; IndraMotors' counsel: AZB); (b) satisfactory financial and commercial due diligence; (c) FIPB/DPIIT filing confirmation for FDI; (d) CCI clearance (if applicable); (e) Board approvals of both parties; (f) certification of Clause 3.1 Minimum Market Size Condition by Strategy Advisor.</w:t>
      </w:r>
    </w:p>
    <w:p>
      <w:pPr>
        <w:spacing w:after="40" w:before="40"/>
        <w:ind w:left="360"/>
      </w:pPr>
      <w:r>
        <w:rPr>
          <w:rFonts w:ascii="Arial" w:cs="Arial" w:eastAsia="Arial" w:hAnsi="Arial"/>
          <w:b w:val="false"/>
          <w:bCs w:val="false"/>
          <w:i w:val="false"/>
          <w:iCs w:val="false"/>
          <w:color w:val="000000"/>
          <w:sz w:val="17"/>
          <w:szCs w:val="17"/>
        </w:rPr>
        <w:t xml:space="preserve">The Clause 3.1 market condition certification is a standalone condition that cannot be waived by either party.</w:t>
      </w:r>
    </w:p>
    <w:p>
      <w:r>
        <w:br w:type="page"/>
      </w:r>
    </w:p>
    <w:p>
      <w:pPr>
        <w:pStyle w:val="Heading1"/>
        <w:spacing w:after="120" w:before="280"/>
      </w:pPr>
      <w:r>
        <w:rPr>
          <w:rFonts w:ascii="Arial" w:cs="Arial" w:eastAsia="Arial" w:hAnsi="Arial"/>
          <w:b/>
          <w:bCs/>
          <w:color w:val="1F3864"/>
          <w:sz w:val="26"/>
          <w:szCs w:val="26"/>
        </w:rPr>
        <w:t xml:space="preserve">SCHEDULE 1: DEFINED TERMS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i w:val="false"/>
                <w:iCs w:val="false"/>
                <w:color w:val="FFFFFF"/>
                <w:sz w:val="17"/>
                <w:szCs w:val="17"/>
              </w:rPr>
              <w:t xml:space="preserve">Term</w:t>
            </w:r>
          </w:p>
        </w:tc>
        <w:tc>
          <w:tcPr>
            <w:tcW w:type="dxa" w:w="6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i w:val="false"/>
                <w:iCs w:val="false"/>
                <w:color w:val="FFFFFF"/>
                <w:sz w:val="17"/>
                <w:szCs w:val="17"/>
              </w:rPr>
              <w:t xml:space="preserve">Meaning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000000"/>
                <w:sz w:val="17"/>
                <w:szCs w:val="17"/>
              </w:rPr>
              <w:t xml:space="preserve">Addressable Market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000000"/>
                <w:sz w:val="17"/>
                <w:szCs w:val="17"/>
              </w:rPr>
              <w:t xml:space="preserve">Has the meaning given in Clause 4.2. Always retail consumer only. Excludes all commercial fleet and operator purchases.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Certified Retail SAM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The Serviceable Addressable Market for the Target Segment, computed per Clause 4.2, as certified by the Strategy Advisor under Clause 3.1.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Fleet Operator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Any commercial entity purchasing vehicles primarily for commercial use, including but not limited to ride-hailing, rental, and government fleet.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JVCo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EnerIndra Mobility Private Limited (proposed name), to be incorporated under the Companies Act, 2013.</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Longstop Date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September 30,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Retail Consumer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A natural person or nuclear family purchasing a vehicle for personal, non-commercial use.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Strategy Advisor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DeccanAI Analytics, as the jointly appointed market research and strategy advisor for the JV.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Target Projection Year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FY2027 (April 1, 2026 – March 31, 2027).</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Target Segment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7"/>
                <w:szCs w:val="17"/>
              </w:rPr>
              <w:t xml:space="preserve">EV passenger cars in the retail price band of ₹15 Lakhs to ₹40 Lakhs (ex-showroom, Delhi), sold in India.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2026-04-21T07:09:33.028Z</dcterms:created>
  <dcterms:modified xsi:type="dcterms:W3CDTF">2026-04-21T07:09:33.029Z</dcterms:modified>
</cp:coreProperties>
</file>

<file path=docProps/custom.xml><?xml version="1.0" encoding="utf-8"?>
<Properties xmlns="http://schemas.openxmlformats.org/officeDocument/2006/custom-properties" xmlns:vt="http://schemas.openxmlformats.org/officeDocument/2006/docPropsVTypes"/>
</file>