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Default="004E0A21" w:rsidP="004E0A21">
      <w:pPr>
        <w:jc w:val="center"/>
        <w:rPr>
          <w:b/>
          <w:sz w:val="36"/>
        </w:rPr>
      </w:pPr>
      <w:r w:rsidRPr="004E0A21">
        <w:rPr>
          <w:b/>
          <w:sz w:val="36"/>
        </w:rPr>
        <w:t xml:space="preserve">DCP </w:t>
      </w:r>
      <w:proofErr w:type="spellStart"/>
      <w:r w:rsidRPr="004E0A21">
        <w:rPr>
          <w:b/>
          <w:sz w:val="36"/>
        </w:rPr>
        <w:t>Accessability</w:t>
      </w:r>
      <w:proofErr w:type="spellEnd"/>
      <w:r w:rsidRPr="004E0A21">
        <w:rPr>
          <w:b/>
          <w:sz w:val="36"/>
        </w:rPr>
        <w:t xml:space="preserve"> Guidelines Checklist</w:t>
      </w:r>
      <w:r>
        <w:rPr>
          <w:b/>
          <w:sz w:val="36"/>
        </w:rPr>
        <w:t xml:space="preserve"> – Level A</w:t>
      </w:r>
    </w:p>
    <w:p w:rsidR="004E0A21" w:rsidRDefault="004E0A21" w:rsidP="004E0A21">
      <w:pPr>
        <w:rPr>
          <w:sz w:val="22"/>
        </w:rPr>
      </w:pPr>
    </w:p>
    <w:p w:rsidR="004E0A21" w:rsidRDefault="004E0A21" w:rsidP="004E0A21">
      <w:pPr>
        <w:rPr>
          <w:sz w:val="22"/>
        </w:rPr>
      </w:pPr>
    </w:p>
    <w:p w:rsidR="004E0A21" w:rsidRDefault="004E0A21" w:rsidP="004E0A21">
      <w:pPr>
        <w:rPr>
          <w:sz w:val="22"/>
        </w:rPr>
      </w:pPr>
    </w:p>
    <w:p w:rsidR="004E0A21" w:rsidRDefault="005830A8" w:rsidP="004E0A21">
      <w:pPr>
        <w:rPr>
          <w:b/>
          <w:bCs/>
          <w:sz w:val="22"/>
        </w:rPr>
      </w:pPr>
      <w:hyperlink r:id="rId9" w:anchor="text-equiv" w:history="1">
        <w:r w:rsidR="004E0A21" w:rsidRPr="004E0A21">
          <w:rPr>
            <w:rStyle w:val="Hyperlink"/>
            <w:b/>
            <w:bCs/>
            <w:sz w:val="22"/>
          </w:rPr>
          <w:t>Guideline 1.1 </w:t>
        </w:r>
      </w:hyperlink>
      <w:r w:rsidR="004E0A21" w:rsidRPr="004E0A21">
        <w:rPr>
          <w:b/>
          <w:bCs/>
          <w:sz w:val="22"/>
        </w:rPr>
        <w:t>: Provide text alternatives for all non-text content</w:t>
      </w:r>
      <w:bookmarkStart w:id="0" w:name="_GoBack"/>
      <w:bookmarkEnd w:id="0"/>
    </w:p>
    <w:p w:rsidR="004E0A21" w:rsidRDefault="004E0A21" w:rsidP="004E0A21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621"/>
        <w:gridCol w:w="8396"/>
        <w:gridCol w:w="558"/>
        <w:gridCol w:w="658"/>
      </w:tblGrid>
      <w:tr w:rsidR="005830A8" w:rsidTr="005830A8">
        <w:tc>
          <w:tcPr>
            <w:tcW w:w="523" w:type="dxa"/>
          </w:tcPr>
          <w:p w:rsidR="005830A8" w:rsidRPr="004E0A21" w:rsidRDefault="005830A8" w:rsidP="004E0A21">
            <w:pPr>
              <w:rPr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5830A8" w:rsidRDefault="005830A8" w:rsidP="004E0A21">
            <w:r>
              <w:t>True</w:t>
            </w:r>
          </w:p>
        </w:tc>
        <w:tc>
          <w:tcPr>
            <w:tcW w:w="8396" w:type="dxa"/>
          </w:tcPr>
          <w:p w:rsidR="005830A8" w:rsidRPr="004E0A21" w:rsidRDefault="005830A8" w:rsidP="004E0A21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Success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Creteria</w:t>
            </w:r>
            <w:proofErr w:type="spellEnd"/>
          </w:p>
        </w:tc>
        <w:tc>
          <w:tcPr>
            <w:tcW w:w="558" w:type="dxa"/>
          </w:tcPr>
          <w:p w:rsidR="005830A8" w:rsidRDefault="005830A8" w:rsidP="004E0A21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658" w:type="dxa"/>
          </w:tcPr>
          <w:p w:rsidR="005830A8" w:rsidRDefault="005830A8" w:rsidP="004E0A21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5830A8" w:rsidTr="005830A8">
        <w:tc>
          <w:tcPr>
            <w:tcW w:w="523" w:type="dxa"/>
          </w:tcPr>
          <w:p w:rsidR="005830A8" w:rsidRDefault="005830A8" w:rsidP="004E0A21">
            <w:pPr>
              <w:rPr>
                <w:sz w:val="22"/>
              </w:rPr>
            </w:pPr>
            <w:r w:rsidRPr="004E0A21">
              <w:rPr>
                <w:b/>
                <w:bCs/>
                <w:sz w:val="22"/>
              </w:rPr>
              <w:t>L1</w:t>
            </w:r>
          </w:p>
        </w:tc>
        <w:tc>
          <w:tcPr>
            <w:tcW w:w="621" w:type="dxa"/>
          </w:tcPr>
          <w:p w:rsidR="005830A8" w:rsidRDefault="005830A8" w:rsidP="004E0A21">
            <w:pPr>
              <w:rPr>
                <w:sz w:val="22"/>
              </w:rPr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18pt" o:ole="">
                  <v:imagedata r:id="rId10" o:title=""/>
                </v:shape>
                <w:control r:id="rId11" w:name="DefaultOcxName" w:shapeid="_x0000_i1042"/>
              </w:object>
            </w:r>
          </w:p>
        </w:tc>
        <w:tc>
          <w:tcPr>
            <w:tcW w:w="8396" w:type="dxa"/>
          </w:tcPr>
          <w:p w:rsidR="005830A8" w:rsidRPr="004E0A21" w:rsidRDefault="005830A8" w:rsidP="004E0A21">
            <w:pPr>
              <w:rPr>
                <w:sz w:val="22"/>
              </w:rPr>
            </w:pPr>
            <w:r w:rsidRPr="004E0A21">
              <w:rPr>
                <w:b/>
                <w:bCs/>
                <w:i/>
                <w:iCs/>
                <w:sz w:val="22"/>
              </w:rPr>
              <w:t>1.1.1</w:t>
            </w:r>
            <w:r w:rsidRPr="004E0A21">
              <w:rPr>
                <w:b/>
                <w:bCs/>
                <w:sz w:val="22"/>
              </w:rPr>
              <w:t> </w:t>
            </w:r>
            <w:r w:rsidRPr="004E0A21">
              <w:rPr>
                <w:sz w:val="22"/>
              </w:rPr>
              <w:t>For all </w:t>
            </w:r>
            <w:hyperlink r:id="rId12" w:anchor="non-text-contentdef" w:tooltip="definition: non-text content" w:history="1">
              <w:r w:rsidRPr="004E0A21">
                <w:rPr>
                  <w:rStyle w:val="Hyperlink"/>
                  <w:i/>
                  <w:iCs/>
                  <w:sz w:val="22"/>
                </w:rPr>
                <w:t>non-text content</w:t>
              </w:r>
            </w:hyperlink>
            <w:r w:rsidRPr="004E0A21">
              <w:rPr>
                <w:sz w:val="22"/>
              </w:rPr>
              <w:t>, one of the following is true: [</w:t>
            </w:r>
            <w:hyperlink r:id="rId13" w:anchor="text-equiv-all" w:history="1">
              <w:r w:rsidRPr="004E0A21">
                <w:rPr>
                  <w:rStyle w:val="Hyperlink"/>
                  <w:sz w:val="22"/>
                </w:rPr>
                <w:t>How to meet 1.1.1</w:t>
              </w:r>
            </w:hyperlink>
            <w:r w:rsidRPr="004E0A21">
              <w:rPr>
                <w:sz w:val="22"/>
              </w:rPr>
              <w:t>]</w:t>
            </w:r>
          </w:p>
          <w:p w:rsidR="005830A8" w:rsidRPr="004E0A21" w:rsidRDefault="005830A8" w:rsidP="004E0A21">
            <w:pPr>
              <w:numPr>
                <w:ilvl w:val="0"/>
                <w:numId w:val="11"/>
              </w:numPr>
              <w:rPr>
                <w:sz w:val="22"/>
              </w:rPr>
            </w:pPr>
            <w:r w:rsidRPr="004E0A21">
              <w:rPr>
                <w:sz w:val="22"/>
              </w:rPr>
              <w:t>If non-text content presents information or responds to user input, </w:t>
            </w:r>
            <w:hyperlink r:id="rId14" w:anchor="text-altdef" w:tooltip="definition: text alternative" w:history="1">
              <w:r w:rsidRPr="004E0A21">
                <w:rPr>
                  <w:rStyle w:val="Hyperlink"/>
                  <w:i/>
                  <w:iCs/>
                  <w:sz w:val="22"/>
                </w:rPr>
                <w:t>text alternatives</w:t>
              </w:r>
            </w:hyperlink>
            <w:r w:rsidRPr="004E0A21">
              <w:rPr>
                <w:sz w:val="22"/>
              </w:rPr>
              <w:t> serve the same purpose and present the same information as the non-text content. If text alternatives cannot serve the same purpose, then text alternatives at least identify the purpose of the non-text content.</w:t>
            </w:r>
          </w:p>
          <w:p w:rsidR="005830A8" w:rsidRPr="004E0A21" w:rsidRDefault="005830A8" w:rsidP="004E0A21">
            <w:pPr>
              <w:numPr>
                <w:ilvl w:val="0"/>
                <w:numId w:val="11"/>
              </w:numPr>
              <w:rPr>
                <w:sz w:val="22"/>
              </w:rPr>
            </w:pPr>
            <w:r w:rsidRPr="004E0A21">
              <w:rPr>
                <w:sz w:val="22"/>
              </w:rPr>
              <w:t>If non-text content is </w:t>
            </w:r>
            <w:hyperlink r:id="rId15" w:anchor="multimediadef" w:tooltip="definition: multimedia" w:history="1">
              <w:r w:rsidRPr="004E0A21">
                <w:rPr>
                  <w:rStyle w:val="Hyperlink"/>
                  <w:i/>
                  <w:iCs/>
                  <w:sz w:val="22"/>
                </w:rPr>
                <w:t>multimedia</w:t>
              </w:r>
            </w:hyperlink>
            <w:r w:rsidRPr="004E0A21">
              <w:rPr>
                <w:sz w:val="22"/>
              </w:rPr>
              <w:t>; </w:t>
            </w:r>
            <w:hyperlink r:id="rId16" w:anchor="live-audio-onlydef" w:tooltip="definition: live audio-only" w:history="1">
              <w:r w:rsidRPr="004E0A21">
                <w:rPr>
                  <w:rStyle w:val="Hyperlink"/>
                  <w:i/>
                  <w:iCs/>
                  <w:sz w:val="22"/>
                </w:rPr>
                <w:t>live audio-only</w:t>
              </w:r>
            </w:hyperlink>
            <w:r w:rsidRPr="004E0A21">
              <w:rPr>
                <w:sz w:val="22"/>
              </w:rPr>
              <w:t> or </w:t>
            </w:r>
            <w:hyperlink r:id="rId17" w:anchor="live-video-onlydef" w:tooltip="definition: live video-only" w:history="1">
              <w:r w:rsidRPr="004E0A21">
                <w:rPr>
                  <w:rStyle w:val="Hyperlink"/>
                  <w:i/>
                  <w:iCs/>
                  <w:sz w:val="22"/>
                </w:rPr>
                <w:t>live video-only</w:t>
              </w:r>
            </w:hyperlink>
            <w:r w:rsidRPr="004E0A21">
              <w:rPr>
                <w:sz w:val="22"/>
              </w:rPr>
              <w:t> content; a </w:t>
            </w:r>
            <w:hyperlink r:id="rId18" w:anchor="test-sense" w:tooltip="definition: test or exercise that must use a particular sense" w:history="1">
              <w:r w:rsidRPr="004E0A21">
                <w:rPr>
                  <w:rStyle w:val="Hyperlink"/>
                  <w:i/>
                  <w:iCs/>
                  <w:sz w:val="22"/>
                </w:rPr>
                <w:t>test or exercise that must use a particular sense</w:t>
              </w:r>
            </w:hyperlink>
            <w:r w:rsidRPr="004E0A21">
              <w:rPr>
                <w:sz w:val="22"/>
              </w:rPr>
              <w:t>; or primarily intended to create a </w:t>
            </w:r>
            <w:hyperlink r:id="rId19" w:anchor="sensoryexpdef" w:tooltip="definition: specific sensory experience" w:history="1">
              <w:r w:rsidRPr="004E0A21">
                <w:rPr>
                  <w:rStyle w:val="Hyperlink"/>
                  <w:i/>
                  <w:iCs/>
                  <w:sz w:val="22"/>
                </w:rPr>
                <w:t>specific sensory experience</w:t>
              </w:r>
            </w:hyperlink>
            <w:r w:rsidRPr="004E0A21">
              <w:rPr>
                <w:sz w:val="22"/>
              </w:rPr>
              <w:t>; then text alternatives at least identify the non-text content with a descriptive text </w:t>
            </w:r>
            <w:hyperlink r:id="rId20" w:anchor="labeldef" w:tooltip="definition: label" w:history="1">
              <w:r w:rsidRPr="004E0A21">
                <w:rPr>
                  <w:rStyle w:val="Hyperlink"/>
                  <w:i/>
                  <w:iCs/>
                  <w:sz w:val="22"/>
                </w:rPr>
                <w:t>label</w:t>
              </w:r>
            </w:hyperlink>
            <w:r w:rsidRPr="004E0A21">
              <w:rPr>
                <w:sz w:val="22"/>
              </w:rPr>
              <w:t>. (For multimedia, see also </w:t>
            </w:r>
            <w:hyperlink r:id="rId21" w:anchor="media-equiv" w:history="1">
              <w:r w:rsidRPr="004E0A21">
                <w:rPr>
                  <w:rStyle w:val="Hyperlink"/>
                  <w:i/>
                  <w:iCs/>
                  <w:sz w:val="22"/>
                </w:rPr>
                <w:t>Guideline 1.2 Provide synchronized alternatives for multimedia</w:t>
              </w:r>
              <w:r w:rsidRPr="004E0A21">
                <w:rPr>
                  <w:rStyle w:val="Hyperlink"/>
                  <w:sz w:val="22"/>
                </w:rPr>
                <w:t> </w:t>
              </w:r>
            </w:hyperlink>
            <w:r w:rsidRPr="004E0A21">
              <w:rPr>
                <w:sz w:val="22"/>
              </w:rPr>
              <w:t>.)</w:t>
            </w:r>
          </w:p>
          <w:p w:rsidR="005830A8" w:rsidRPr="004E0A21" w:rsidRDefault="005830A8" w:rsidP="004E0A21">
            <w:pPr>
              <w:numPr>
                <w:ilvl w:val="0"/>
                <w:numId w:val="11"/>
              </w:numPr>
              <w:rPr>
                <w:sz w:val="22"/>
              </w:rPr>
            </w:pPr>
            <w:r w:rsidRPr="004E0A21">
              <w:rPr>
                <w:sz w:val="22"/>
              </w:rPr>
              <w:t>If the purpose of non-text content is to confirm that content is being operated by a person rather than a computer, different forms are provided to accommodate multiple disabilities.</w:t>
            </w:r>
          </w:p>
          <w:p w:rsidR="005830A8" w:rsidRPr="004E0A21" w:rsidRDefault="005830A8" w:rsidP="004E0A21">
            <w:pPr>
              <w:numPr>
                <w:ilvl w:val="0"/>
                <w:numId w:val="11"/>
              </w:numPr>
              <w:rPr>
                <w:sz w:val="22"/>
              </w:rPr>
            </w:pPr>
            <w:r w:rsidRPr="004E0A21">
              <w:rPr>
                <w:sz w:val="22"/>
              </w:rPr>
              <w:t>If non-text content is </w:t>
            </w:r>
            <w:hyperlink r:id="rId22" w:anchor="puredecdef" w:tooltip="definition: pure decoration" w:history="1">
              <w:r w:rsidRPr="004E0A21">
                <w:rPr>
                  <w:rStyle w:val="Hyperlink"/>
                  <w:i/>
                  <w:iCs/>
                  <w:sz w:val="22"/>
                </w:rPr>
                <w:t>pure decoration</w:t>
              </w:r>
            </w:hyperlink>
            <w:r w:rsidRPr="004E0A21">
              <w:rPr>
                <w:sz w:val="22"/>
              </w:rPr>
              <w:t>, or used only for visual formatting, or if it is not presented to users, it is implemented such that it can be ignored by </w:t>
            </w:r>
            <w:hyperlink r:id="rId23" w:anchor="atdef" w:tooltip="definition: Assistive technology (in the context of this document)" w:history="1">
              <w:r w:rsidRPr="004E0A21">
                <w:rPr>
                  <w:rStyle w:val="Hyperlink"/>
                  <w:i/>
                  <w:iCs/>
                  <w:sz w:val="22"/>
                </w:rPr>
                <w:t>assistive technology</w:t>
              </w:r>
            </w:hyperlink>
            <w:r w:rsidRPr="004E0A21">
              <w:rPr>
                <w:sz w:val="22"/>
              </w:rPr>
              <w:t>.</w:t>
            </w:r>
          </w:p>
          <w:p w:rsidR="005830A8" w:rsidRDefault="005830A8" w:rsidP="004E0A21">
            <w:pPr>
              <w:rPr>
                <w:sz w:val="22"/>
              </w:rPr>
            </w:pPr>
          </w:p>
        </w:tc>
        <w:tc>
          <w:tcPr>
            <w:tcW w:w="558" w:type="dxa"/>
            <w:vAlign w:val="center"/>
          </w:tcPr>
          <w:p w:rsidR="005830A8" w:rsidRDefault="005830A8" w:rsidP="005830A8">
            <w:pPr>
              <w:jc w:val="center"/>
              <w:rPr>
                <w:sz w:val="22"/>
              </w:rPr>
            </w:pPr>
          </w:p>
        </w:tc>
        <w:tc>
          <w:tcPr>
            <w:tcW w:w="658" w:type="dxa"/>
            <w:vAlign w:val="center"/>
          </w:tcPr>
          <w:p w:rsidR="005830A8" w:rsidRDefault="005830A8" w:rsidP="005830A8">
            <w:pPr>
              <w:jc w:val="center"/>
              <w:rPr>
                <w:sz w:val="22"/>
              </w:rPr>
            </w:pPr>
          </w:p>
        </w:tc>
      </w:tr>
    </w:tbl>
    <w:p w:rsidR="004E0A21" w:rsidRDefault="004E0A21" w:rsidP="004E0A21">
      <w:pPr>
        <w:rPr>
          <w:sz w:val="22"/>
        </w:rPr>
      </w:pPr>
    </w:p>
    <w:p w:rsidR="00E85928" w:rsidRDefault="005830A8" w:rsidP="004E0A21">
      <w:pPr>
        <w:rPr>
          <w:b/>
          <w:bCs/>
          <w:sz w:val="22"/>
        </w:rPr>
      </w:pPr>
      <w:hyperlink r:id="rId24" w:anchor="media-equiv" w:history="1">
        <w:r w:rsidR="00E85928" w:rsidRPr="00E85928">
          <w:rPr>
            <w:rStyle w:val="Hyperlink"/>
            <w:b/>
            <w:bCs/>
            <w:sz w:val="22"/>
          </w:rPr>
          <w:t>Guideline 1.2 </w:t>
        </w:r>
      </w:hyperlink>
      <w:r w:rsidR="00E85928" w:rsidRPr="00E85928">
        <w:rPr>
          <w:b/>
          <w:bCs/>
          <w:sz w:val="22"/>
        </w:rPr>
        <w:t>: Provide synchronized alternatives for multimedia</w:t>
      </w:r>
    </w:p>
    <w:p w:rsidR="00E85928" w:rsidRDefault="00E85928" w:rsidP="004E0A21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621"/>
        <w:gridCol w:w="6956"/>
        <w:gridCol w:w="2624"/>
      </w:tblGrid>
      <w:tr w:rsidR="00E85928" w:rsidTr="00E85928">
        <w:tc>
          <w:tcPr>
            <w:tcW w:w="555" w:type="dxa"/>
            <w:vMerge w:val="restart"/>
          </w:tcPr>
          <w:p w:rsidR="00E85928" w:rsidRPr="004E0A21" w:rsidRDefault="00E85928" w:rsidP="00E859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L1</w:t>
            </w:r>
          </w:p>
        </w:tc>
        <w:tc>
          <w:tcPr>
            <w:tcW w:w="621" w:type="dxa"/>
          </w:tcPr>
          <w:p w:rsidR="00E85928" w:rsidRDefault="00E85928" w:rsidP="00E85928">
            <w:r>
              <w:object w:dxaOrig="225" w:dyaOrig="225">
                <v:shape id="_x0000_i1035" type="#_x0000_t75" style="width:20.25pt;height:18pt" o:ole="">
                  <v:imagedata r:id="rId10" o:title=""/>
                </v:shape>
                <w:control r:id="rId25" w:name="DefaultOcxName11" w:shapeid="_x0000_i1035"/>
              </w:object>
            </w:r>
          </w:p>
        </w:tc>
        <w:tc>
          <w:tcPr>
            <w:tcW w:w="6956" w:type="dxa"/>
          </w:tcPr>
          <w:p w:rsidR="00E85928" w:rsidRPr="00E85928" w:rsidRDefault="00E85928" w:rsidP="00E85928">
            <w:pPr>
              <w:rPr>
                <w:b/>
                <w:bCs/>
                <w:iCs/>
                <w:sz w:val="22"/>
              </w:rPr>
            </w:pPr>
            <w:r w:rsidRPr="00E85928">
              <w:rPr>
                <w:b/>
                <w:bCs/>
                <w:iCs/>
                <w:sz w:val="22"/>
              </w:rPr>
              <w:t>1.2.1 </w:t>
            </w:r>
            <w:hyperlink r:id="rId26" w:anchor="captionsdef" w:tooltip="definition: captions" w:history="1">
              <w:r w:rsidRPr="00E85928">
                <w:rPr>
                  <w:rStyle w:val="Hyperlink"/>
                  <w:b/>
                  <w:bCs/>
                  <w:iCs/>
                  <w:sz w:val="22"/>
                </w:rPr>
                <w:t>Captions</w:t>
              </w:r>
            </w:hyperlink>
            <w:r w:rsidRPr="00E85928">
              <w:rPr>
                <w:b/>
                <w:bCs/>
                <w:iCs/>
                <w:sz w:val="22"/>
              </w:rPr>
              <w:t> are provided for prerecorded </w:t>
            </w:r>
            <w:hyperlink r:id="rId27" w:anchor="multimediadef" w:tooltip="definition: multimedia" w:history="1">
              <w:r w:rsidRPr="00E85928">
                <w:rPr>
                  <w:rStyle w:val="Hyperlink"/>
                  <w:b/>
                  <w:bCs/>
                  <w:iCs/>
                  <w:sz w:val="22"/>
                </w:rPr>
                <w:t>multimedia</w:t>
              </w:r>
            </w:hyperlink>
            <w:r w:rsidRPr="00E85928">
              <w:rPr>
                <w:b/>
                <w:bCs/>
                <w:iCs/>
                <w:sz w:val="22"/>
              </w:rPr>
              <w:t>. [</w:t>
            </w:r>
            <w:hyperlink r:id="rId28" w:anchor="media-equiv-captions" w:history="1">
              <w:r w:rsidRPr="00E85928">
                <w:rPr>
                  <w:rStyle w:val="Hyperlink"/>
                  <w:b/>
                  <w:bCs/>
                  <w:iCs/>
                  <w:sz w:val="22"/>
                </w:rPr>
                <w:t>How to meet 1.2.1</w:t>
              </w:r>
            </w:hyperlink>
            <w:r w:rsidRPr="00E85928">
              <w:rPr>
                <w:b/>
                <w:bCs/>
                <w:iCs/>
                <w:sz w:val="22"/>
              </w:rPr>
              <w:t>]</w:t>
            </w:r>
          </w:p>
        </w:tc>
        <w:tc>
          <w:tcPr>
            <w:tcW w:w="2624" w:type="dxa"/>
          </w:tcPr>
          <w:p w:rsidR="00E85928" w:rsidRDefault="00E85928" w:rsidP="00E85928">
            <w:pPr>
              <w:rPr>
                <w:sz w:val="22"/>
              </w:rPr>
            </w:pPr>
          </w:p>
        </w:tc>
      </w:tr>
      <w:tr w:rsidR="00E85928" w:rsidTr="00E85928">
        <w:tc>
          <w:tcPr>
            <w:tcW w:w="555" w:type="dxa"/>
            <w:vMerge/>
          </w:tcPr>
          <w:p w:rsidR="00E85928" w:rsidRDefault="00E85928" w:rsidP="00E85928">
            <w:pPr>
              <w:rPr>
                <w:b/>
                <w:bCs/>
                <w:sz w:val="22"/>
              </w:rPr>
            </w:pPr>
          </w:p>
        </w:tc>
        <w:tc>
          <w:tcPr>
            <w:tcW w:w="621" w:type="dxa"/>
          </w:tcPr>
          <w:p w:rsidR="00E85928" w:rsidRDefault="00E85928" w:rsidP="00E85928">
            <w:r>
              <w:object w:dxaOrig="225" w:dyaOrig="225">
                <v:shape id="_x0000_i1038" type="#_x0000_t75" style="width:20.25pt;height:18pt" o:ole="">
                  <v:imagedata r:id="rId10" o:title=""/>
                </v:shape>
                <w:control r:id="rId29" w:name="DefaultOcxName21" w:shapeid="_x0000_i1038"/>
              </w:object>
            </w:r>
          </w:p>
        </w:tc>
        <w:tc>
          <w:tcPr>
            <w:tcW w:w="6956" w:type="dxa"/>
          </w:tcPr>
          <w:p w:rsidR="00E85928" w:rsidRPr="00E85928" w:rsidRDefault="00E85928" w:rsidP="00E85928">
            <w:pPr>
              <w:rPr>
                <w:b/>
                <w:bCs/>
                <w:iCs/>
                <w:sz w:val="22"/>
              </w:rPr>
            </w:pPr>
            <w:r w:rsidRPr="00E85928">
              <w:rPr>
                <w:b/>
                <w:bCs/>
                <w:i/>
                <w:iCs/>
                <w:sz w:val="22"/>
              </w:rPr>
              <w:t>1.2.2</w:t>
            </w:r>
            <w:r w:rsidRPr="00E85928">
              <w:rPr>
                <w:b/>
                <w:bCs/>
                <w:iCs/>
                <w:sz w:val="22"/>
              </w:rPr>
              <w:t> </w:t>
            </w:r>
            <w:hyperlink r:id="rId30" w:anchor="audiodescdef" w:tooltip="definition: audio description" w:history="1">
              <w:r w:rsidRPr="00E85928">
                <w:rPr>
                  <w:rStyle w:val="Hyperlink"/>
                  <w:b/>
                  <w:bCs/>
                  <w:i/>
                  <w:iCs/>
                  <w:sz w:val="22"/>
                </w:rPr>
                <w:t>Audio descriptions</w:t>
              </w:r>
            </w:hyperlink>
            <w:r w:rsidRPr="00E85928">
              <w:rPr>
                <w:b/>
                <w:bCs/>
                <w:iCs/>
                <w:sz w:val="22"/>
              </w:rPr>
              <w:t> of video, or a </w:t>
            </w:r>
            <w:hyperlink r:id="rId31" w:anchor="fullmultaltdef" w:tooltip="definition: full multimedia text alternative including any interaction" w:history="1">
              <w:r w:rsidRPr="00E85928">
                <w:rPr>
                  <w:rStyle w:val="Hyperlink"/>
                  <w:b/>
                  <w:bCs/>
                  <w:i/>
                  <w:iCs/>
                  <w:sz w:val="22"/>
                </w:rPr>
                <w:t>full multimedia text alternative including any interaction</w:t>
              </w:r>
            </w:hyperlink>
            <w:r w:rsidRPr="00E85928">
              <w:rPr>
                <w:b/>
                <w:bCs/>
                <w:iCs/>
                <w:sz w:val="22"/>
              </w:rPr>
              <w:t>, are provided for prerecorded </w:t>
            </w:r>
            <w:hyperlink r:id="rId32" w:anchor="multimediadef" w:tooltip="definition: multimedia" w:history="1">
              <w:r w:rsidRPr="00E85928">
                <w:rPr>
                  <w:rStyle w:val="Hyperlink"/>
                  <w:b/>
                  <w:bCs/>
                  <w:i/>
                  <w:iCs/>
                  <w:sz w:val="22"/>
                </w:rPr>
                <w:t>multimedia</w:t>
              </w:r>
            </w:hyperlink>
            <w:r w:rsidRPr="00E85928">
              <w:rPr>
                <w:b/>
                <w:bCs/>
                <w:iCs/>
                <w:sz w:val="22"/>
              </w:rPr>
              <w:t>. [</w:t>
            </w:r>
            <w:hyperlink r:id="rId33" w:anchor="media-equiv-audio-desc" w:history="1">
              <w:r w:rsidRPr="00E85928">
                <w:rPr>
                  <w:rStyle w:val="Hyperlink"/>
                  <w:b/>
                  <w:bCs/>
                  <w:iCs/>
                  <w:sz w:val="22"/>
                </w:rPr>
                <w:t>How to meet 1.2.2</w:t>
              </w:r>
            </w:hyperlink>
            <w:r w:rsidRPr="00E85928">
              <w:rPr>
                <w:b/>
                <w:bCs/>
                <w:iCs/>
                <w:sz w:val="22"/>
              </w:rPr>
              <w:t>]</w:t>
            </w:r>
          </w:p>
        </w:tc>
        <w:tc>
          <w:tcPr>
            <w:tcW w:w="2624" w:type="dxa"/>
          </w:tcPr>
          <w:p w:rsidR="00E85928" w:rsidRDefault="00E85928" w:rsidP="00E85928">
            <w:pPr>
              <w:rPr>
                <w:sz w:val="22"/>
              </w:rPr>
            </w:pPr>
          </w:p>
        </w:tc>
      </w:tr>
    </w:tbl>
    <w:p w:rsidR="00E85928" w:rsidRPr="004E0A21" w:rsidRDefault="00E85928" w:rsidP="004E0A21">
      <w:pPr>
        <w:rPr>
          <w:sz w:val="22"/>
        </w:rPr>
      </w:pPr>
    </w:p>
    <w:sectPr w:rsidR="00E85928" w:rsidRPr="004E0A21" w:rsidSect="004E0A21">
      <w:footerReference w:type="default" r:id="rId34"/>
      <w:pgSz w:w="11907" w:h="16839" w:code="9"/>
      <w:pgMar w:top="1985" w:right="737" w:bottom="1134" w:left="630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928" w:rsidRDefault="00E85928" w:rsidP="00D91F59">
      <w:r>
        <w:separator/>
      </w:r>
    </w:p>
  </w:endnote>
  <w:endnote w:type="continuationSeparator" w:id="0">
    <w:p w:rsidR="00E85928" w:rsidRDefault="00E85928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28" w:rsidRPr="00A7457D" w:rsidRDefault="00E85928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719AA" wp14:editId="5CE04647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5928" w:rsidRPr="00A7457D" w:rsidRDefault="00E85928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21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E85928" w:rsidRPr="00A7457D" w:rsidRDefault="00E85928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0B3542" w:themeColor="text2" w:themeShade="80"/>
                        <w:szCs w:val="20"/>
                      </w:rPr>
                      <w:t>21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928" w:rsidRDefault="00E85928" w:rsidP="00D91F59">
      <w:r>
        <w:separator/>
      </w:r>
    </w:p>
  </w:footnote>
  <w:footnote w:type="continuationSeparator" w:id="0">
    <w:p w:rsidR="00E85928" w:rsidRDefault="00E85928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589244E"/>
    <w:multiLevelType w:val="multilevel"/>
    <w:tmpl w:val="E49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A50A2"/>
    <w:multiLevelType w:val="multilevel"/>
    <w:tmpl w:val="FCF615A8"/>
    <w:numStyleLink w:val="ListCS"/>
  </w:abstractNum>
  <w:abstractNum w:abstractNumId="8">
    <w:nsid w:val="34E86371"/>
    <w:multiLevelType w:val="multilevel"/>
    <w:tmpl w:val="FCF615A8"/>
    <w:numStyleLink w:val="ListCS"/>
  </w:abstractNum>
  <w:abstractNum w:abstractNumId="9">
    <w:nsid w:val="3531541D"/>
    <w:multiLevelType w:val="multilevel"/>
    <w:tmpl w:val="FCF615A8"/>
    <w:numStyleLink w:val="ListCS"/>
  </w:abstractNum>
  <w:abstractNum w:abstractNumId="1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2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4E0A21"/>
    <w:rsid w:val="0051309E"/>
    <w:rsid w:val="005830A8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E85928"/>
    <w:rsid w:val="00EB0885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E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E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.org/TR/UNDERSTANDING-WCAG20/Overview.html" TargetMode="External"/><Relationship Id="rId18" Type="http://schemas.openxmlformats.org/officeDocument/2006/relationships/hyperlink" Target="https://www.w3.org/TR/2006/WD-WCAG20-20060427/appendixA.html" TargetMode="External"/><Relationship Id="rId26" Type="http://schemas.openxmlformats.org/officeDocument/2006/relationships/hyperlink" Target="https://www.w3.org/TR/2006/WD-WCAG20-20060427/appendix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TR/2006/WD-WCAG20-20060427/guidelines.html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w3.org/TR/2006/WD-WCAG20-20060427/appendixA.html" TargetMode="External"/><Relationship Id="rId17" Type="http://schemas.openxmlformats.org/officeDocument/2006/relationships/hyperlink" Target="https://www.w3.org/TR/2006/WD-WCAG20-20060427/appendixA.html" TargetMode="External"/><Relationship Id="rId25" Type="http://schemas.openxmlformats.org/officeDocument/2006/relationships/control" Target="activeX/activeX2.xml"/><Relationship Id="rId33" Type="http://schemas.openxmlformats.org/officeDocument/2006/relationships/hyperlink" Target="https://www.w3.org/TR/UNDERSTANDING-WCAG20/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2006/WD-WCAG20-20060427/appendixA.html" TargetMode="External"/><Relationship Id="rId20" Type="http://schemas.openxmlformats.org/officeDocument/2006/relationships/hyperlink" Target="https://www.w3.org/TR/2006/WD-WCAG20-20060427/appendixA.html" TargetMode="External"/><Relationship Id="rId29" Type="http://schemas.openxmlformats.org/officeDocument/2006/relationships/control" Target="activeX/activeX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www.w3.org/TR/2006/WD-WCAG20-20060427/guidelines.html" TargetMode="External"/><Relationship Id="rId32" Type="http://schemas.openxmlformats.org/officeDocument/2006/relationships/hyperlink" Target="https://www.w3.org/TR/2006/WD-WCAG20-20060427/appendix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.org/TR/2006/WD-WCAG20-20060427/appendixA.html" TargetMode="External"/><Relationship Id="rId23" Type="http://schemas.openxmlformats.org/officeDocument/2006/relationships/hyperlink" Target="https://www.w3.org/TR/2006/WD-WCAG20-20060427/appendixA.html" TargetMode="External"/><Relationship Id="rId28" Type="http://schemas.openxmlformats.org/officeDocument/2006/relationships/hyperlink" Target="https://www.w3.org/TR/UNDERSTANDING-WCAG20/Overview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s://www.w3.org/TR/2006/WD-WCAG20-20060427/appendixA.html" TargetMode="External"/><Relationship Id="rId31" Type="http://schemas.openxmlformats.org/officeDocument/2006/relationships/hyperlink" Target="https://www.w3.org/TR/2006/WD-WCAG20-20060427/appendix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.org/TR/2006/WD-WCAG20-20060427/guidelines.html" TargetMode="External"/><Relationship Id="rId14" Type="http://schemas.openxmlformats.org/officeDocument/2006/relationships/hyperlink" Target="https://www.w3.org/TR/2006/WD-WCAG20-20060427/appendixA.html" TargetMode="External"/><Relationship Id="rId22" Type="http://schemas.openxmlformats.org/officeDocument/2006/relationships/hyperlink" Target="https://www.w3.org/TR/2006/WD-WCAG20-20060427/appendixA.html" TargetMode="External"/><Relationship Id="rId27" Type="http://schemas.openxmlformats.org/officeDocument/2006/relationships/hyperlink" Target="https://www.w3.org/TR/2006/WD-WCAG20-20060427/appendixA.html" TargetMode="External"/><Relationship Id="rId30" Type="http://schemas.openxmlformats.org/officeDocument/2006/relationships/hyperlink" Target="https://www.w3.org/TR/2006/WD-WCAG20-20060427/appendixA.html" TargetMode="Externa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24FC-1F8A-4E8E-98CC-D5602D30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Navghare, Tanmay (KGVB 15)</dc:creator>
  <cp:lastModifiedBy>Navghare, Tanmay (KGVB 15)</cp:lastModifiedBy>
  <cp:revision>2</cp:revision>
  <dcterms:created xsi:type="dcterms:W3CDTF">2016-04-04T11:08:00Z</dcterms:created>
  <dcterms:modified xsi:type="dcterms:W3CDTF">2016-04-15T08:37:00Z</dcterms:modified>
</cp:coreProperties>
</file>