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0D5D3" w14:textId="77777777" w:rsidR="007D464F" w:rsidRPr="007D464F" w:rsidRDefault="007D464F" w:rsidP="007D464F">
      <w:r w:rsidRPr="007D464F">
        <w:rPr>
          <w:b/>
          <w:bCs/>
        </w:rPr>
        <w:t>Modern Data Quality in Databricks: A Deep Dive into the Open-Source DQX Framework</w:t>
      </w:r>
    </w:p>
    <w:p w14:paraId="35F7F9DD" w14:textId="77777777" w:rsidR="007D464F" w:rsidRPr="007D464F" w:rsidRDefault="007D464F" w:rsidP="007D464F">
      <w:r w:rsidRPr="007D464F">
        <w:t xml:space="preserve">In today’s data-driven enterprises, poor data quality remains one of the most persistent and costly challenges. Inaccurate, incomplete, or inconsistent data undermines analytics, erodes trust in AI models, and leads to flawed business decisions. Traditional tools often focus on post-factum monitoring, struggle with streaming workloads, or lack native Databricks integration. Enter DQX—an open-source data quality framework from Databricks Labs designed specifically for </w:t>
      </w:r>
      <w:proofErr w:type="spellStart"/>
      <w:r w:rsidRPr="007D464F">
        <w:t>PySpark</w:t>
      </w:r>
      <w:proofErr w:type="spellEnd"/>
      <w:r w:rsidRPr="007D464F">
        <w:t xml:space="preserve"> </w:t>
      </w:r>
      <w:proofErr w:type="spellStart"/>
      <w:r w:rsidRPr="007D464F">
        <w:t>DataFrames</w:t>
      </w:r>
      <w:proofErr w:type="spellEnd"/>
      <w:r w:rsidRPr="007D464F">
        <w:t xml:space="preserve"> and Tables.</w:t>
      </w:r>
    </w:p>
    <w:p w14:paraId="053950A8" w14:textId="77777777" w:rsidR="007D464F" w:rsidRPr="007D464F" w:rsidRDefault="007D464F" w:rsidP="007D464F">
      <w:r w:rsidRPr="007D464F">
        <w:t>DQX enables organizations to embed robust, scalable quality checks directly into their Databricks pipelines—whether batch or streaming—while supporting both in-transit (pre-write) and at-rest validation. This positions it as a modern foundation for reliable Lakehouse architectures.</w:t>
      </w:r>
    </w:p>
    <w:p w14:paraId="02D7E772" w14:textId="77777777" w:rsidR="007D464F" w:rsidRPr="007D464F" w:rsidRDefault="007D464F" w:rsidP="007D464F">
      <w:pPr>
        <w:rPr>
          <w:b/>
          <w:bCs/>
        </w:rPr>
      </w:pPr>
      <w:r w:rsidRPr="007D464F">
        <w:rPr>
          <w:b/>
          <w:bCs/>
        </w:rPr>
        <w:t>What Makes DQX Different</w:t>
      </w:r>
    </w:p>
    <w:p w14:paraId="2FD6AC8C" w14:textId="77777777" w:rsidR="007D464F" w:rsidRPr="007D464F" w:rsidRDefault="007D464F" w:rsidP="007D464F">
      <w:r w:rsidRPr="007D464F">
        <w:t>DQX delivers a practical combination of flexibility, depth, and Databricks-native design:</w:t>
      </w:r>
    </w:p>
    <w:p w14:paraId="59A6502D" w14:textId="77777777" w:rsidR="007D464F" w:rsidRPr="007D464F" w:rsidRDefault="007D464F" w:rsidP="007D464F">
      <w:pPr>
        <w:numPr>
          <w:ilvl w:val="0"/>
          <w:numId w:val="1"/>
        </w:numPr>
      </w:pPr>
      <w:r w:rsidRPr="007D464F">
        <w:rPr>
          <w:b/>
          <w:bCs/>
        </w:rPr>
        <w:t>80+ built-in checks</w:t>
      </w:r>
      <w:r w:rsidRPr="007D464F">
        <w:t xml:space="preserve"> covering nulls, ranges, regex, referential integrity, aggregates, geospatial, PII detection, and more, with full support for custom Python or SQL functions.</w:t>
      </w:r>
    </w:p>
    <w:p w14:paraId="5C5EAC9B" w14:textId="77777777" w:rsidR="007D464F" w:rsidRPr="007D464F" w:rsidRDefault="007D464F" w:rsidP="007D464F">
      <w:pPr>
        <w:numPr>
          <w:ilvl w:val="0"/>
          <w:numId w:val="1"/>
        </w:numPr>
      </w:pPr>
      <w:r w:rsidRPr="007D464F">
        <w:rPr>
          <w:b/>
          <w:bCs/>
        </w:rPr>
        <w:t>Row-, column-, and dataset-level rules</w:t>
      </w:r>
      <w:r w:rsidRPr="007D464F">
        <w:t xml:space="preserve"> that can be mixed in a single run.</w:t>
      </w:r>
    </w:p>
    <w:p w14:paraId="3710A37B" w14:textId="77777777" w:rsidR="007D464F" w:rsidRPr="007D464F" w:rsidRDefault="007D464F" w:rsidP="007D464F">
      <w:pPr>
        <w:numPr>
          <w:ilvl w:val="0"/>
          <w:numId w:val="1"/>
        </w:numPr>
      </w:pPr>
      <w:r w:rsidRPr="007D464F">
        <w:rPr>
          <w:b/>
          <w:bCs/>
        </w:rPr>
        <w:t>Code or configuration-driven</w:t>
      </w:r>
      <w:r w:rsidRPr="007D464F">
        <w:t xml:space="preserve"> definitions via Python, YAML/JSON, or Delta tables.</w:t>
      </w:r>
    </w:p>
    <w:p w14:paraId="145C721D" w14:textId="77777777" w:rsidR="007D464F" w:rsidRPr="007D464F" w:rsidRDefault="007D464F" w:rsidP="007D464F">
      <w:pPr>
        <w:numPr>
          <w:ilvl w:val="0"/>
          <w:numId w:val="1"/>
        </w:numPr>
      </w:pPr>
      <w:r w:rsidRPr="007D464F">
        <w:rPr>
          <w:b/>
          <w:bCs/>
        </w:rPr>
        <w:t>Check criticality levels</w:t>
      </w:r>
      <w:r w:rsidRPr="007D464F">
        <w:t xml:space="preserve"> (warning or error) and flexible reactions: mark issues, drop records, or quarantine bad data so only clean records proceed downstream.</w:t>
      </w:r>
    </w:p>
    <w:p w14:paraId="39928080" w14:textId="77777777" w:rsidR="007D464F" w:rsidRPr="007D464F" w:rsidRDefault="007D464F" w:rsidP="007D464F">
      <w:pPr>
        <w:numPr>
          <w:ilvl w:val="0"/>
          <w:numId w:val="1"/>
        </w:numPr>
      </w:pPr>
      <w:r w:rsidRPr="007D464F">
        <w:rPr>
          <w:b/>
          <w:bCs/>
        </w:rPr>
        <w:t>Detailed failure metadata</w:t>
      </w:r>
      <w:r w:rsidRPr="007D464F">
        <w:t xml:space="preserve"> that explains exactly why each check failed, accelerating root-cause analysis.</w:t>
      </w:r>
    </w:p>
    <w:p w14:paraId="445890A8" w14:textId="77777777" w:rsidR="007D464F" w:rsidRPr="007D464F" w:rsidRDefault="007D464F" w:rsidP="007D464F">
      <w:pPr>
        <w:numPr>
          <w:ilvl w:val="0"/>
          <w:numId w:val="1"/>
        </w:numPr>
      </w:pPr>
      <w:r w:rsidRPr="007D464F">
        <w:rPr>
          <w:b/>
          <w:bCs/>
        </w:rPr>
        <w:t>Automated profiling and rule generation</w:t>
      </w:r>
      <w:r w:rsidRPr="007D464F">
        <w:t>, including AI-assisted suggestions from natural-language business descriptions using LLMs.</w:t>
      </w:r>
    </w:p>
    <w:p w14:paraId="14B254ED" w14:textId="77777777" w:rsidR="007D464F" w:rsidRPr="007D464F" w:rsidRDefault="007D464F" w:rsidP="007D464F">
      <w:pPr>
        <w:numPr>
          <w:ilvl w:val="0"/>
          <w:numId w:val="1"/>
        </w:numPr>
      </w:pPr>
      <w:r w:rsidRPr="007D464F">
        <w:rPr>
          <w:b/>
          <w:bCs/>
        </w:rPr>
        <w:t xml:space="preserve">Native support for Spark Structured Streaming and </w:t>
      </w:r>
      <w:proofErr w:type="spellStart"/>
      <w:r w:rsidRPr="007D464F">
        <w:rPr>
          <w:b/>
          <w:bCs/>
        </w:rPr>
        <w:t>Lakeflow</w:t>
      </w:r>
      <w:proofErr w:type="spellEnd"/>
      <w:r w:rsidRPr="007D464F">
        <w:rPr>
          <w:b/>
          <w:bCs/>
        </w:rPr>
        <w:t xml:space="preserve"> Pipelines (DLT)</w:t>
      </w:r>
      <w:r w:rsidRPr="007D464F">
        <w:t>, plus summary metrics that feed quality dashboards.</w:t>
      </w:r>
    </w:p>
    <w:p w14:paraId="1870BE0C" w14:textId="77777777" w:rsidR="007D464F" w:rsidRPr="007D464F" w:rsidRDefault="007D464F" w:rsidP="007D464F">
      <w:r w:rsidRPr="007D464F">
        <w:t>These capabilities allow teams to move from reactive firefighting to proactive quality gates that protect the entire medallion architecture.</w:t>
      </w:r>
    </w:p>
    <w:p w14:paraId="3837A3CF" w14:textId="77777777" w:rsidR="007D464F" w:rsidRPr="007D464F" w:rsidRDefault="007D464F" w:rsidP="007D464F">
      <w:pPr>
        <w:rPr>
          <w:b/>
          <w:bCs/>
        </w:rPr>
      </w:pPr>
      <w:r w:rsidRPr="007D464F">
        <w:rPr>
          <w:b/>
          <w:bCs/>
        </w:rPr>
        <w:t>How Jade Global Helps Customers Operationalize DQX</w:t>
      </w:r>
    </w:p>
    <w:p w14:paraId="499400AF" w14:textId="77777777" w:rsidR="007D464F" w:rsidRPr="007D464F" w:rsidRDefault="007D464F" w:rsidP="007D464F">
      <w:r w:rsidRPr="007D464F">
        <w:t xml:space="preserve">As a certified Databricks partner, Jade Global helps enterprises move beyond experimentation to production-grade data quality. Jade’s approach </w:t>
      </w:r>
      <w:proofErr w:type="spellStart"/>
      <w:r w:rsidRPr="007D464F">
        <w:t>centers</w:t>
      </w:r>
      <w:proofErr w:type="spellEnd"/>
      <w:r w:rsidRPr="007D464F">
        <w:t xml:space="preserve"> on four core activities that map directly to DQX strengths:</w:t>
      </w:r>
    </w:p>
    <w:p w14:paraId="4DEB1429" w14:textId="77777777" w:rsidR="007D464F" w:rsidRPr="007D464F" w:rsidRDefault="007D464F" w:rsidP="007D464F">
      <w:r w:rsidRPr="007D464F">
        <w:rPr>
          <w:b/>
          <w:bCs/>
        </w:rPr>
        <w:lastRenderedPageBreak/>
        <w:t>Assess</w:t>
      </w:r>
      <w:r w:rsidRPr="007D464F">
        <w:t xml:space="preserve"> – Jade begins with a structured data readiness assessment across domains, evaluating completeness, consistency, accuracy, and governance maturity. This establishes a clear baseline and prioritizes high-impact tables and pipelines.</w:t>
      </w:r>
    </w:p>
    <w:p w14:paraId="4E7159E3" w14:textId="77777777" w:rsidR="007D464F" w:rsidRPr="007D464F" w:rsidRDefault="007D464F" w:rsidP="007D464F">
      <w:r w:rsidRPr="007D464F">
        <w:rPr>
          <w:b/>
          <w:bCs/>
        </w:rPr>
        <w:t>Profile</w:t>
      </w:r>
      <w:r w:rsidRPr="007D464F">
        <w:t xml:space="preserve"> – Using DQX’s profiler (and complementary Jade accelerators), teams automatically generate summary statistics and candidate quality rules. AI-assisted generation further accelerates rule creation from business descriptions, reducing the time to a usable rule set from weeks to days.</w:t>
      </w:r>
    </w:p>
    <w:p w14:paraId="6D923001" w14:textId="77777777" w:rsidR="007D464F" w:rsidRPr="007D464F" w:rsidRDefault="007D464F" w:rsidP="007D464F">
      <w:r w:rsidRPr="007D464F">
        <w:rPr>
          <w:b/>
          <w:bCs/>
        </w:rPr>
        <w:t>Quality Check</w:t>
      </w:r>
      <w:r w:rsidRPr="007D464F">
        <w:t xml:space="preserve"> – Jade engineers integrate DQX checks into existing </w:t>
      </w:r>
      <w:proofErr w:type="spellStart"/>
      <w:r w:rsidRPr="007D464F">
        <w:t>PySpark</w:t>
      </w:r>
      <w:proofErr w:type="spellEnd"/>
      <w:r w:rsidRPr="007D464F">
        <w:t xml:space="preserve"> or </w:t>
      </w:r>
      <w:proofErr w:type="spellStart"/>
      <w:r w:rsidRPr="007D464F">
        <w:t>Lakeflow</w:t>
      </w:r>
      <w:proofErr w:type="spellEnd"/>
      <w:r w:rsidRPr="007D464F">
        <w:t xml:space="preserve"> pipelines—both in-transit and at-rest. Rules are version-controlled, tested, and aligned with Unity </w:t>
      </w:r>
      <w:proofErr w:type="spellStart"/>
      <w:r w:rsidRPr="007D464F">
        <w:t>Catalog</w:t>
      </w:r>
      <w:proofErr w:type="spellEnd"/>
      <w:r w:rsidRPr="007D464F">
        <w:t xml:space="preserve"> governance. Custom domain-specific checks are added where needed.</w:t>
      </w:r>
    </w:p>
    <w:p w14:paraId="1C488EB3" w14:textId="77777777" w:rsidR="007D464F" w:rsidRPr="007D464F" w:rsidRDefault="007D464F" w:rsidP="007D464F">
      <w:r w:rsidRPr="007D464F">
        <w:rPr>
          <w:b/>
          <w:bCs/>
        </w:rPr>
        <w:t>Quarantine</w:t>
      </w:r>
      <w:r w:rsidRPr="007D464F">
        <w:t xml:space="preserve"> – Invalid records are systematically isolated into dedicated quarantine tables or volumes, complete with detailed failure metadata. This prevents pollution of silver and gold layers while enabling structured remediation workflows, including optional AI-assisted triage of quarantined rows.</w:t>
      </w:r>
    </w:p>
    <w:p w14:paraId="26973814" w14:textId="77777777" w:rsidR="007D464F" w:rsidRPr="007D464F" w:rsidRDefault="007D464F" w:rsidP="007D464F">
      <w:pPr>
        <w:rPr>
          <w:b/>
          <w:bCs/>
        </w:rPr>
      </w:pPr>
      <w:r w:rsidRPr="007D464F">
        <w:rPr>
          <w:b/>
          <w:bCs/>
        </w:rPr>
        <w:t>Jade’s Implementation Methodology</w:t>
      </w:r>
    </w:p>
    <w:p w14:paraId="124F22F2" w14:textId="77777777" w:rsidR="007D464F" w:rsidRPr="007D464F" w:rsidRDefault="007D464F" w:rsidP="007D464F">
      <w:r w:rsidRPr="007D464F">
        <w:t>Jade follows a pragmatic, iterative methodology that balances speed with governance:</w:t>
      </w:r>
    </w:p>
    <w:p w14:paraId="00FC62ED" w14:textId="77777777" w:rsidR="007D464F" w:rsidRPr="007D464F" w:rsidRDefault="007D464F" w:rsidP="007D464F">
      <w:pPr>
        <w:numPr>
          <w:ilvl w:val="0"/>
          <w:numId w:val="2"/>
        </w:numPr>
      </w:pPr>
      <w:r w:rsidRPr="007D464F">
        <w:rPr>
          <w:b/>
          <w:bCs/>
        </w:rPr>
        <w:t>Discovery &amp; Assessment</w:t>
      </w:r>
      <w:r w:rsidRPr="007D464F">
        <w:t xml:space="preserve"> – Map critical data assets, business rules, and current pain points. Score data readiness and identify quick wins.</w:t>
      </w:r>
    </w:p>
    <w:p w14:paraId="6D6BDCBC" w14:textId="77777777" w:rsidR="007D464F" w:rsidRPr="007D464F" w:rsidRDefault="007D464F" w:rsidP="007D464F">
      <w:pPr>
        <w:numPr>
          <w:ilvl w:val="0"/>
          <w:numId w:val="2"/>
        </w:numPr>
      </w:pPr>
      <w:r w:rsidRPr="007D464F">
        <w:rPr>
          <w:b/>
          <w:bCs/>
        </w:rPr>
        <w:t>Profiling &amp; Rule Design</w:t>
      </w:r>
      <w:r w:rsidRPr="007D464F">
        <w:t xml:space="preserve"> – Run DQX profilers, generate candidate rules, and refine them with business stakeholders. Incorporate AI suggestions where appropriate.</w:t>
      </w:r>
    </w:p>
    <w:p w14:paraId="5E0012CE" w14:textId="77777777" w:rsidR="007D464F" w:rsidRPr="007D464F" w:rsidRDefault="007D464F" w:rsidP="007D464F">
      <w:pPr>
        <w:numPr>
          <w:ilvl w:val="0"/>
          <w:numId w:val="2"/>
        </w:numPr>
      </w:pPr>
      <w:r w:rsidRPr="007D464F">
        <w:rPr>
          <w:b/>
          <w:bCs/>
        </w:rPr>
        <w:t>Pipeline Integration</w:t>
      </w:r>
      <w:r w:rsidRPr="007D464F">
        <w:t xml:space="preserve"> – Embed DQX as a library for in-transit checks or deploy no-code workflows/DQX Studio for at-rest monitoring. Align with existing CI/CD and Databricks Asset Bundles.</w:t>
      </w:r>
    </w:p>
    <w:p w14:paraId="43DE4D9D" w14:textId="77777777" w:rsidR="007D464F" w:rsidRPr="007D464F" w:rsidRDefault="007D464F" w:rsidP="007D464F">
      <w:pPr>
        <w:numPr>
          <w:ilvl w:val="0"/>
          <w:numId w:val="2"/>
        </w:numPr>
      </w:pPr>
      <w:r w:rsidRPr="007D464F">
        <w:rPr>
          <w:b/>
          <w:bCs/>
        </w:rPr>
        <w:t>Quarantine &amp; Remediation Design</w:t>
      </w:r>
      <w:r w:rsidRPr="007D464F">
        <w:t xml:space="preserve"> – Define quarantine destinations, alerting, and remediation playbooks. Establish metrics and Lakeview dashboards for ongoing visibility.</w:t>
      </w:r>
    </w:p>
    <w:p w14:paraId="425465A3" w14:textId="77777777" w:rsidR="007D464F" w:rsidRPr="007D464F" w:rsidRDefault="007D464F" w:rsidP="007D464F">
      <w:pPr>
        <w:numPr>
          <w:ilvl w:val="0"/>
          <w:numId w:val="2"/>
        </w:numPr>
      </w:pPr>
      <w:r w:rsidRPr="007D464F">
        <w:rPr>
          <w:b/>
          <w:bCs/>
        </w:rPr>
        <w:t>Validation, Training &amp; Handover</w:t>
      </w:r>
      <w:r w:rsidRPr="007D464F">
        <w:t xml:space="preserve"> – Conduct end-to-end testing, knowledge transfer, and optional managed services for continuous monitoring and rule evolution.</w:t>
      </w:r>
    </w:p>
    <w:p w14:paraId="3ACC03BE" w14:textId="77777777" w:rsidR="007D464F" w:rsidRPr="007D464F" w:rsidRDefault="007D464F" w:rsidP="007D464F">
      <w:r w:rsidRPr="007D464F">
        <w:t>This structured yet flexible approach typically delivers measurable quality improvements within weeks while building internal capability.</w:t>
      </w:r>
    </w:p>
    <w:p w14:paraId="3FB86E95" w14:textId="237FBBFD" w:rsidR="007D464F" w:rsidRPr="007D464F" w:rsidRDefault="007D464F" w:rsidP="007D464F">
      <w:pPr>
        <w:rPr>
          <w:b/>
          <w:bCs/>
        </w:rPr>
      </w:pPr>
      <w:r w:rsidRPr="007D464F">
        <w:rPr>
          <w:b/>
          <w:bCs/>
        </w:rPr>
        <w:t xml:space="preserve">Enterprise Use Cases </w:t>
      </w:r>
      <w:r>
        <w:rPr>
          <w:b/>
          <w:bCs/>
        </w:rPr>
        <w:t>:</w:t>
      </w:r>
    </w:p>
    <w:p w14:paraId="21772CD0" w14:textId="77777777" w:rsidR="007D464F" w:rsidRPr="007D464F" w:rsidRDefault="007D464F" w:rsidP="007D464F">
      <w:r w:rsidRPr="007D464F">
        <w:t>DQX’s value extends far beyond retail and e-commerce:</w:t>
      </w:r>
    </w:p>
    <w:p w14:paraId="73FEE381" w14:textId="77777777" w:rsidR="007D464F" w:rsidRPr="007D464F" w:rsidRDefault="007D464F" w:rsidP="007D464F">
      <w:pPr>
        <w:numPr>
          <w:ilvl w:val="0"/>
          <w:numId w:val="3"/>
        </w:numPr>
      </w:pPr>
      <w:r w:rsidRPr="007D464F">
        <w:rPr>
          <w:b/>
          <w:bCs/>
        </w:rPr>
        <w:lastRenderedPageBreak/>
        <w:t>Financial Services</w:t>
      </w:r>
      <w:r w:rsidRPr="007D464F">
        <w:t xml:space="preserve"> – Enforce referential integrity across customer, account, and transaction datasets; quarantine suspicious or incomplete records before regulatory reporting or risk models.</w:t>
      </w:r>
    </w:p>
    <w:p w14:paraId="146AB1B2" w14:textId="77777777" w:rsidR="007D464F" w:rsidRPr="007D464F" w:rsidRDefault="007D464F" w:rsidP="007D464F">
      <w:pPr>
        <w:numPr>
          <w:ilvl w:val="0"/>
          <w:numId w:val="3"/>
        </w:numPr>
      </w:pPr>
      <w:r w:rsidRPr="007D464F">
        <w:rPr>
          <w:b/>
          <w:bCs/>
        </w:rPr>
        <w:t>Healthcare &amp; Life Sciences</w:t>
      </w:r>
      <w:r w:rsidRPr="007D464F">
        <w:t xml:space="preserve"> – Validate clinical and claims data for completeness, format consistency, and PII handling; support compliance requirements while enabling reliable analytics and AI.</w:t>
      </w:r>
    </w:p>
    <w:p w14:paraId="5C2FA772" w14:textId="77777777" w:rsidR="007D464F" w:rsidRPr="007D464F" w:rsidRDefault="007D464F" w:rsidP="007D464F">
      <w:pPr>
        <w:numPr>
          <w:ilvl w:val="0"/>
          <w:numId w:val="3"/>
        </w:numPr>
      </w:pPr>
      <w:r w:rsidRPr="007D464F">
        <w:rPr>
          <w:b/>
          <w:bCs/>
        </w:rPr>
        <w:t>Manufacturing &amp; Supply Chain</w:t>
      </w:r>
      <w:r w:rsidRPr="007D464F">
        <w:t xml:space="preserve"> – Profile and check sensor, inventory, and order data streams in real time; quarantine anomalous readings that could disrupt production planning or predictive maintenance.</w:t>
      </w:r>
    </w:p>
    <w:p w14:paraId="2B379995" w14:textId="77777777" w:rsidR="007D464F" w:rsidRPr="007D464F" w:rsidRDefault="007D464F" w:rsidP="007D464F">
      <w:pPr>
        <w:numPr>
          <w:ilvl w:val="0"/>
          <w:numId w:val="3"/>
        </w:numPr>
      </w:pPr>
      <w:r w:rsidRPr="007D464F">
        <w:rPr>
          <w:b/>
          <w:bCs/>
        </w:rPr>
        <w:t>Energy &amp; Utilities</w:t>
      </w:r>
      <w:r w:rsidRPr="007D464F">
        <w:t xml:space="preserve"> – Apply quality gates to high-volume IoT and operational data feeds, ensuring only trustworthy data reaches forecasting, grid optimization, and regulatory systems.</w:t>
      </w:r>
    </w:p>
    <w:p w14:paraId="0F0BA274" w14:textId="77777777" w:rsidR="007D464F" w:rsidRPr="007D464F" w:rsidRDefault="007D464F" w:rsidP="007D464F">
      <w:r w:rsidRPr="007D464F">
        <w:t>In each case, the combination of automated profiling, flexible quarantine, and detailed diagnostics reduces manual effort and increases trust in downstream outcomes.</w:t>
      </w:r>
    </w:p>
    <w:p w14:paraId="4C63EDE5" w14:textId="77777777" w:rsidR="007D464F" w:rsidRPr="007D464F" w:rsidRDefault="007D464F" w:rsidP="007D464F">
      <w:pPr>
        <w:rPr>
          <w:b/>
          <w:bCs/>
        </w:rPr>
      </w:pPr>
      <w:r w:rsidRPr="007D464F">
        <w:rPr>
          <w:b/>
          <w:bCs/>
        </w:rPr>
        <w:t>Conclusion: Trusted Data, Accelerated Outcomes</w:t>
      </w:r>
    </w:p>
    <w:p w14:paraId="30AA350C" w14:textId="77777777" w:rsidR="007D464F" w:rsidRPr="007D464F" w:rsidRDefault="007D464F" w:rsidP="007D464F">
      <w:r w:rsidRPr="007D464F">
        <w:t>DQX represents a significant step forward for data quality on Databricks—lightweight yet powerful, open-source yet enterprise-ready. It gives teams the tools to embed quality at the right points in the pipeline and act decisively on issues.</w:t>
      </w:r>
    </w:p>
    <w:p w14:paraId="0CC1D272" w14:textId="77777777" w:rsidR="007D464F" w:rsidRPr="007D464F" w:rsidRDefault="007D464F" w:rsidP="007D464F">
      <w:r w:rsidRPr="007D464F">
        <w:t>Jade Global turns that potential into lasting business value. By combining deep Databricks expertise with a proven methodology for assessment, profiling, quality checking, and quarantine, Jade helps organizations build AI-ready data foundations faster and with lower risk. The result is higher data confidence, reduced operational friction, and a clearer path from data to insight and innovation.</w:t>
      </w:r>
    </w:p>
    <w:p w14:paraId="02B32507" w14:textId="77777777" w:rsidR="007D464F" w:rsidRPr="007D464F" w:rsidRDefault="007D464F" w:rsidP="007D464F">
      <w:r w:rsidRPr="007D464F">
        <w:t>In an era where data quality directly determines AI success and competitive advantage, partnering with Jade Global to operationalize DQX is not just a technical decision—it is a strategic one.</w:t>
      </w:r>
    </w:p>
    <w:p w14:paraId="3FCDB947" w14:textId="77777777" w:rsidR="007D464F" w:rsidRDefault="007D464F"/>
    <w:sectPr w:rsidR="007D46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C71"/>
    <w:multiLevelType w:val="multilevel"/>
    <w:tmpl w:val="7DB2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D6FFA"/>
    <w:multiLevelType w:val="multilevel"/>
    <w:tmpl w:val="2EB08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F63516"/>
    <w:multiLevelType w:val="multilevel"/>
    <w:tmpl w:val="98AE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971432">
    <w:abstractNumId w:val="0"/>
  </w:num>
  <w:num w:numId="2" w16cid:durableId="382561319">
    <w:abstractNumId w:val="1"/>
  </w:num>
  <w:num w:numId="3" w16cid:durableId="1191718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64F"/>
    <w:rsid w:val="002141D1"/>
    <w:rsid w:val="007D4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794B2"/>
  <w15:chartTrackingRefBased/>
  <w15:docId w15:val="{461324D7-DDC3-4FAB-BA81-E28465014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6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6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6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6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6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6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6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6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6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6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64F"/>
    <w:rPr>
      <w:rFonts w:eastAsiaTheme="majorEastAsia" w:cstheme="majorBidi"/>
      <w:color w:val="272727" w:themeColor="text1" w:themeTint="D8"/>
    </w:rPr>
  </w:style>
  <w:style w:type="paragraph" w:styleId="Title">
    <w:name w:val="Title"/>
    <w:basedOn w:val="Normal"/>
    <w:next w:val="Normal"/>
    <w:link w:val="TitleChar"/>
    <w:uiPriority w:val="10"/>
    <w:qFormat/>
    <w:rsid w:val="007D4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64F"/>
    <w:pPr>
      <w:spacing w:before="160"/>
      <w:jc w:val="center"/>
    </w:pPr>
    <w:rPr>
      <w:i/>
      <w:iCs/>
      <w:color w:val="404040" w:themeColor="text1" w:themeTint="BF"/>
    </w:rPr>
  </w:style>
  <w:style w:type="character" w:customStyle="1" w:styleId="QuoteChar">
    <w:name w:val="Quote Char"/>
    <w:basedOn w:val="DefaultParagraphFont"/>
    <w:link w:val="Quote"/>
    <w:uiPriority w:val="29"/>
    <w:rsid w:val="007D464F"/>
    <w:rPr>
      <w:i/>
      <w:iCs/>
      <w:color w:val="404040" w:themeColor="text1" w:themeTint="BF"/>
    </w:rPr>
  </w:style>
  <w:style w:type="paragraph" w:styleId="ListParagraph">
    <w:name w:val="List Paragraph"/>
    <w:basedOn w:val="Normal"/>
    <w:uiPriority w:val="34"/>
    <w:qFormat/>
    <w:rsid w:val="007D464F"/>
    <w:pPr>
      <w:ind w:left="720"/>
      <w:contextualSpacing/>
    </w:pPr>
  </w:style>
  <w:style w:type="character" w:styleId="IntenseEmphasis">
    <w:name w:val="Intense Emphasis"/>
    <w:basedOn w:val="DefaultParagraphFont"/>
    <w:uiPriority w:val="21"/>
    <w:qFormat/>
    <w:rsid w:val="007D464F"/>
    <w:rPr>
      <w:i/>
      <w:iCs/>
      <w:color w:val="2F5496" w:themeColor="accent1" w:themeShade="BF"/>
    </w:rPr>
  </w:style>
  <w:style w:type="paragraph" w:styleId="IntenseQuote">
    <w:name w:val="Intense Quote"/>
    <w:basedOn w:val="Normal"/>
    <w:next w:val="Normal"/>
    <w:link w:val="IntenseQuoteChar"/>
    <w:uiPriority w:val="30"/>
    <w:qFormat/>
    <w:rsid w:val="007D46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64F"/>
    <w:rPr>
      <w:i/>
      <w:iCs/>
      <w:color w:val="2F5496" w:themeColor="accent1" w:themeShade="BF"/>
    </w:rPr>
  </w:style>
  <w:style w:type="character" w:styleId="IntenseReference">
    <w:name w:val="Intense Reference"/>
    <w:basedOn w:val="DefaultParagraphFont"/>
    <w:uiPriority w:val="32"/>
    <w:qFormat/>
    <w:rsid w:val="007D46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938</Words>
  <Characters>5353</Characters>
  <Application>Microsoft Office Word</Application>
  <DocSecurity>0</DocSecurity>
  <Lines>44</Lines>
  <Paragraphs>12</Paragraphs>
  <ScaleCrop>false</ScaleCrop>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tiwari</dc:creator>
  <cp:keywords/>
  <dc:description/>
  <cp:lastModifiedBy>tanmay tiwari</cp:lastModifiedBy>
  <cp:revision>1</cp:revision>
  <dcterms:created xsi:type="dcterms:W3CDTF">2026-09-24T13:52:00Z</dcterms:created>
  <dcterms:modified xsi:type="dcterms:W3CDTF">2026-09-24T13:54:00Z</dcterms:modified>
</cp:coreProperties>
</file>