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fill="08244B" w:val="clear" w:color="auto"/>
      </w:pPr>
      <w:r>
        <w:rPr>
          <w:rFonts w:ascii="Calibri" w:hAnsi="Calibri"/>
          <w:b/>
          <w:color w:val="FFFFFF"/>
          <w:sz w:val="36"/>
        </w:rPr>
        <w:t>Business Requirements Document (BRD)</w:t>
      </w:r>
    </w:p>
    <w:p>
      <w:pPr>
        <w:spacing w:before="0" w:after="120"/>
      </w:pPr>
      <w:r>
        <w:rPr>
          <w:rFonts w:ascii="Calibri" w:hAnsi="Calibri"/>
          <w:color w:val="64748B"/>
          <w:sz w:val="22"/>
        </w:rPr>
        <w:t>[Project Name] · v1.0 · [Date]</w:t>
      </w:r>
    </w:p>
    <w:p/>
    <w:p>
      <w:pPr>
        <w:pStyle w:val="Heading1"/>
      </w:pPr>
      <w:r>
        <w:rPr>
          <w:rFonts w:ascii="Calibri" w:hAnsi="Calibri"/>
          <w:color w:val="073663"/>
        </w:rPr>
        <w:t>1. Problem Statement</w:t>
      </w:r>
    </w:p>
    <w:p>
      <w:r>
        <w:rPr>
          <w:rFonts w:ascii="Calibri" w:hAnsi="Calibri"/>
          <w:color w:val="64748B"/>
          <w:sz w:val="22"/>
        </w:rPr>
        <w:t>[One clear paragraph: What is the problem? Who experiences it? What is the cost/impact of NOT solving it?]</w:t>
        <w:br/>
        <w:br/>
        <w:t>Example: The current DOR filing process requires attorneys to access 3 separate systems to gather information, complete a paper form, and mail it to the district office. This results in a 30% rejection rate due to missing information, a 15-day average processing time, and 1,200 support calls per month. The modernisation project will replace this with a guided digital e-filing experience.</w:t>
      </w:r>
    </w:p>
    <w:p/>
    <w:p>
      <w:pPr>
        <w:pStyle w:val="Heading1"/>
      </w:pPr>
      <w:r>
        <w:rPr>
          <w:rFonts w:ascii="Calibri" w:hAnsi="Calibri"/>
          <w:color w:val="073663"/>
        </w:rPr>
        <w:t>2. Objectives &amp; Success Metrics</w:t>
      </w:r>
    </w:p>
    <w:p>
      <w:r>
        <w:rPr>
          <w:rFonts w:ascii="Calibri" w:hAnsi="Calibri"/>
          <w:color w:val="64748B"/>
          <w:sz w:val="22"/>
        </w:rPr>
        <w:t>[3–5 measurable outcomes — not features]</w:t>
        <w:br/>
        <w:br/>
        <w:t>• Reduce DOR rejection (NIGO) rate from 30% to under 5% within 60 days of go-live</w:t>
        <w:br/>
        <w:t>• Reduce average DOR processing time from 15 days to under 5 days</w:t>
        <w:br/>
        <w:t>• Achieve 80% adoption of digital e-filing within 6 months of go-live</w:t>
        <w:br/>
        <w:t>• Reduce attorney support calls from 1,200/month to under 300/month</w:t>
      </w:r>
    </w:p>
    <w:p/>
    <w:p>
      <w:pPr>
        <w:pStyle w:val="Heading1"/>
      </w:pPr>
      <w:r>
        <w:rPr>
          <w:rFonts w:ascii="Calibri" w:hAnsi="Calibri"/>
          <w:color w:val="073663"/>
        </w:rPr>
        <w:t>3. Scope</w:t>
      </w:r>
    </w:p>
    <w:p>
      <w:r>
        <w:rPr>
          <w:rFonts w:ascii="Calibri" w:hAnsi="Calibri"/>
          <w:color w:val="64748B"/>
          <w:sz w:val="22"/>
        </w:rPr>
        <w:t>IN SCOPE:</w:t>
        <w:br/>
        <w:t>• [Capability / module 1]</w:t>
        <w:br/>
        <w:t>• [Capability / module 2]</w:t>
        <w:br/>
        <w:t>• [Capability / module 3]</w:t>
        <w:br/>
        <w:br/>
        <w:t>OUT OF SCOPE:</w:t>
        <w:br/>
        <w:t>• [Item explicitly excluded]</w:t>
        <w:br/>
        <w:t>• [Item explicitly excluded]</w:t>
        <w:br/>
        <w:br/>
        <w:t>DEFERRED (Phase 2):</w:t>
        <w:br/>
        <w:t>• [Item deferred with rationale]</w:t>
      </w:r>
    </w:p>
    <w:p/>
    <w:p>
      <w:pPr>
        <w:pStyle w:val="Heading1"/>
      </w:pPr>
      <w:r>
        <w:rPr>
          <w:rFonts w:ascii="Calibri" w:hAnsi="Calibri"/>
          <w:color w:val="073663"/>
        </w:rPr>
        <w:t>4. User Groups &amp; Personas</w:t>
      </w:r>
    </w:p>
    <w:p>
      <w:r>
        <w:rPr>
          <w:rFonts w:ascii="Calibri" w:hAnsi="Calibri"/>
          <w:color w:val="64748B"/>
          <w:sz w:val="22"/>
        </w:rPr>
        <w:t>[Brief description of each user group with link to detailed persona cards]</w:t>
        <w:br/>
        <w:br/>
        <w:t>• Attorney Filers — External users submitting DOR forms on behalf of clients. See: Persona-Attorney.docx</w:t>
        <w:br/>
        <w:t>• Administrative Law Judges — Internal judicial users managing hearing calendars. See: Persona-Judge.docx</w:t>
        <w:br/>
        <w:t>• District Office Clerks — Internal processing users managing case intake. See: Persona-Clerk.docx</w:t>
      </w:r>
    </w:p>
    <w:p/>
    <w:p>
      <w:pPr>
        <w:pStyle w:val="Heading1"/>
      </w:pPr>
      <w:r>
        <w:rPr>
          <w:rFonts w:ascii="Calibri" w:hAnsi="Calibri"/>
          <w:color w:val="073663"/>
        </w:rPr>
        <w:t>5. Key Process Flows</w:t>
      </w:r>
    </w:p>
    <w:p>
      <w:r>
        <w:rPr>
          <w:rFonts w:ascii="Calibri" w:hAnsi="Calibri"/>
          <w:color w:val="64748B"/>
          <w:sz w:val="22"/>
        </w:rPr>
        <w:t>[Reference to process flow diagrams — As-Is and To-Be]</w:t>
        <w:br/>
        <w:br/>
        <w:t>• Process-DOR-Filing-AsIs.docx — Current 22-minute attorney filing process</w:t>
        <w:br/>
        <w:t>• Process-DOR-Filing-ToBe.docx — Future 6-minute guided e-filing process</w:t>
        <w:br/>
        <w:t>• Process-Hearing-Scheduling.docx — Judge calendar management workflow</w:t>
      </w:r>
    </w:p>
    <w:p/>
    <w:p>
      <w:pPr>
        <w:pStyle w:val="Heading1"/>
      </w:pPr>
      <w:r>
        <w:rPr>
          <w:rFonts w:ascii="Calibri" w:hAnsi="Calibri"/>
          <w:color w:val="073663"/>
        </w:rPr>
        <w:t>6. Requirements Summary</w:t>
      </w:r>
    </w:p>
    <w:p>
      <w:r>
        <w:rPr>
          <w:rFonts w:ascii="Calibri" w:hAnsi="Calibri"/>
          <w:color w:val="64748B"/>
          <w:sz w:val="22"/>
        </w:rPr>
        <w:t>[High-level capability list — detail lives in JIRA and the Functional Specification]</w:t>
        <w:br/>
        <w:br/>
        <w:t>E-Filing Capabilities (EPIC-01):</w:t>
        <w:br/>
        <w:t>• Guided DOR form with inline validation and auto-population</w:t>
        <w:br/>
        <w:t>• Case number typeahead search integrated with CAMS</w:t>
        <w:br/>
        <w:t>• Submission confirmation and audit trail</w:t>
        <w:br/>
        <w:br/>
        <w:t>Scheduling Capabilities (EPIC-02):</w:t>
        <w:br/>
        <w:t>• Judge daily hearing calendar with case summaries</w:t>
        <w:br/>
        <w:t>• Automated hearing notice generation</w:t>
      </w:r>
    </w:p>
    <w:p/>
    <w:p>
      <w:pPr>
        <w:pStyle w:val="Heading1"/>
      </w:pPr>
      <w:r>
        <w:rPr>
          <w:rFonts w:ascii="Calibri" w:hAnsi="Calibri"/>
          <w:color w:val="073663"/>
        </w:rPr>
        <w:t>7. Constraints &amp; Assumptions</w:t>
      </w:r>
    </w:p>
    <w:p>
      <w:r>
        <w:rPr>
          <w:rFonts w:ascii="Calibri" w:hAnsi="Calibri"/>
          <w:color w:val="64748B"/>
          <w:sz w:val="22"/>
        </w:rPr>
        <w:t>CONSTRAINTS:</w:t>
        <w:br/>
        <w:t>• Must integrate with legacy CAMS system (read-only API, no write access)</w:t>
        <w:br/>
        <w:t>• Budget capped at $[X]M for Phase 1</w:t>
        <w:br/>
        <w:t>• Go-live date: [Date] — fixed</w:t>
        <w:br/>
        <w:br/>
        <w:t>ASSUMPTIONS:</w:t>
        <w:br/>
        <w:t>• CAMS API will be available with 99.5% uptime during business hours</w:t>
        <w:br/>
        <w:t>• Business users will be available for UAT for a minimum of 2 weeks</w:t>
        <w:br/>
        <w:t>• Cloud infrastructure will be provisioned by [Date]</w:t>
      </w:r>
    </w:p>
    <w:p/>
    <w:p>
      <w:pPr>
        <w:pStyle w:val="Heading1"/>
      </w:pPr>
      <w:r>
        <w:rPr>
          <w:rFonts w:ascii="Calibri" w:hAnsi="Calibri"/>
          <w:color w:val="073663"/>
        </w:rPr>
        <w:t>8. Risks</w:t>
      </w:r>
    </w:p>
    <w:p>
      <w:r>
        <w:rPr>
          <w:rFonts w:ascii="Calibri" w:hAnsi="Calibri"/>
          <w:color w:val="64748B"/>
          <w:sz w:val="22"/>
        </w:rPr>
        <w:t>[Top 5 risks — detail in Risk Log]</w:t>
        <w:br/>
        <w:br/>
        <w:t>• R-001 (High): Key SME departure before Phase 3 requirements finalised</w:t>
        <w:br/>
        <w:t>• R-002 (High): CAMS API documentation incomplete — actual behaviour may differ</w:t>
        <w:br/>
        <w:t>• R-003 (Medium): UAT environment provisioning delay</w:t>
        <w:br/>
        <w:t>• R-004 (Medium): End-user adoption resistance</w:t>
        <w:br/>
        <w:t>• R-005 (Medium): Statutory deadline calculation ambiguity</w:t>
      </w:r>
    </w:p>
    <w:p/>
    <w:p>
      <w:pPr>
        <w:pStyle w:val="Heading1"/>
      </w:pPr>
      <w:r>
        <w:rPr>
          <w:rFonts w:ascii="Calibri" w:hAnsi="Calibri"/>
          <w:color w:val="073663"/>
        </w:rPr>
        <w:t>9. Open Questions</w:t>
      </w:r>
    </w:p>
    <w:p>
      <w:r>
        <w:rPr>
          <w:rFonts w:ascii="Calibri" w:hAnsi="Calibri"/>
          <w:color w:val="64748B"/>
          <w:sz w:val="22"/>
        </w:rPr>
        <w:t>[Items requiring resolution — detail in Assumptions Log]</w:t>
        <w:br/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val="454"/>
        </w:trPr>
        <w:tc>
          <w:tcPr>
            <w:tcW w:type="dxa" w:w="57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#</w:t>
            </w:r>
          </w:p>
        </w:tc>
        <w:tc>
          <w:tcPr>
            <w:tcW w:type="dxa" w:w="345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Question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Raised By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Owner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Target Resolution Date</w:t>
            </w:r>
          </w:p>
        </w:tc>
        <w:tc>
          <w:tcPr>
            <w:tcW w:type="dxa" w:w="129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Status</w:t>
            </w:r>
          </w:p>
        </w:tc>
      </w:tr>
      <w:tr>
        <w:tc>
          <w:tcPr>
            <w:tcW w:type="dxa" w:w="57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1</w:t>
            </w:r>
          </w:p>
        </w:tc>
        <w:tc>
          <w:tcPr>
            <w:tcW w:type="dxa" w:w="345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[Question]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29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</w:tr>
      <w:tr>
        <w:tc>
          <w:tcPr>
            <w:tcW w:type="dxa" w:w="57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2</w:t>
            </w:r>
          </w:p>
        </w:tc>
        <w:tc>
          <w:tcPr>
            <w:tcW w:type="dxa" w:w="345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[Question]</w:t>
            </w:r>
          </w:p>
        </w:tc>
        <w:tc>
          <w:tcPr>
            <w:tcW w:type="dxa" w:w="1728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728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01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29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