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gus Sans" w:cs="Agus Sans" w:eastAsia="Agus Sans" w:hAnsi="Agus Sans"/>
          <w:color w:val="790E17"/>
          <w:sz w:val="26"/>
          <w:szCs w:val="26"/>
        </w:rPr>
        <w:t xml:space="preserve">INDUSTRIALS SHORTLIST: VINCI, COPART AND PAYCHEX</w:t>
      </w:r>
    </w:p>
    <w:p>
      <w:pPr>
        <w:keepLines/>
        <w:spacing w:after="60" w:before="0" w:line="240" w:lineRule="auto"/>
        <w:jc w:val="left"/>
      </w:pPr>
      <w:r>
        <w:rPr>
          <w:rFonts w:ascii="Quicksand Light" w:cs="Quicksand Light" w:eastAsia="Quicksand Light" w:hAnsi="Quicksand Light"/>
          <w:color w:val="615F59"/>
          <w:sz w:val="16"/>
          <w:szCs w:val="16"/>
        </w:rPr>
        <w:t xml:space="preserve">Prepared by </w:t>
      </w:r>
      <w:r>
        <w:rPr>
          <w:rFonts w:ascii="Quicksand Medium" w:cs="Quicksand Medium" w:eastAsia="Quicksand Medium" w:hAnsi="Quicksand Medium"/>
          <w:color w:val="615F59"/>
          <w:sz w:val="16"/>
          <w:szCs w:val="16"/>
        </w:rPr>
        <w:t xml:space="preserve">Tanmay Gambhir</w:t>
      </w:r>
      <w:r>
        <w:rPr>
          <w:rFonts w:ascii="Quicksand Light" w:cs="Quicksand Light" w:eastAsia="Quicksand Light" w:hAnsi="Quicksand Light"/>
          <w:color w:val="615F59"/>
          <w:sz w:val="16"/>
          <w:szCs w:val="16"/>
        </w:rPr>
        <w:t xml:space="preserve"> for </w:t>
      </w:r>
      <w:r>
        <w:rPr>
          <w:rFonts w:ascii="Quicksand Medium" w:cs="Quicksand Medium" w:eastAsia="Quicksand Medium" w:hAnsi="Quicksand Medium"/>
          <w:color w:val="615F59"/>
          <w:sz w:val="16"/>
          <w:szCs w:val="16"/>
        </w:rPr>
        <w:t xml:space="preserve">Adam Asztalos</w:t>
      </w:r>
      <w:r>
        <w:rPr>
          <w:rFonts w:ascii="Quicksand Light" w:cs="Quicksand Light" w:eastAsia="Quicksand Light" w:hAnsi="Quicksand Light"/>
          <w:color w:val="615F59"/>
          <w:sz w:val="16"/>
          <w:szCs w:val="16"/>
        </w:rPr>
        <w:t xml:space="preserve"> and </w:t>
      </w:r>
      <w:r>
        <w:rPr>
          <w:rFonts w:ascii="Quicksand Medium" w:cs="Quicksand Medium" w:eastAsia="Quicksand Medium" w:hAnsi="Quicksand Medium"/>
          <w:color w:val="615F59"/>
          <w:sz w:val="16"/>
          <w:szCs w:val="16"/>
        </w:rPr>
        <w:t xml:space="preserve">João Pedro Vieira</w:t>
      </w:r>
      <w:r>
        <w:rPr>
          <w:rFonts w:ascii="Quicksand Light" w:cs="Quicksand Light" w:eastAsia="Quicksand Light" w:hAnsi="Quicksand Light"/>
          <w:color w:val="615F59"/>
          <w:sz w:val="16"/>
          <w:szCs w:val="16"/>
        </w:rPr>
        <w:t xml:space="preserve">  |  Research date 29 October 2026  |  Prices are 28 October 2026 regular-session closes</w:t>
      </w:r>
    </w:p>
    <w:p>
      <w:pPr>
        <w:keepLines/>
        <w:spacing w:after="70" w:before="0" w:line="240" w:lineRule="auto"/>
        <w:jc w:val="both"/>
      </w:pPr>
      <w:r>
        <w:rPr>
          <w:rFonts w:ascii="Quicksand Medium" w:cs="Quicksand Medium" w:eastAsia="Quicksand Medium" w:hAnsi="Quicksand Medium"/>
          <w:color w:val="000000"/>
          <w:sz w:val="18"/>
          <w:szCs w:val="18"/>
        </w:rPr>
        <w:t xml:space="preserve">Decision requested:</w:t>
      </w:r>
      <w:r>
        <w:rPr>
          <w:rFonts w:ascii="Quicksand Light" w:cs="Quicksand Light" w:eastAsia="Quicksand Light" w:hAnsi="Quicksand Light"/>
          <w:color w:val="000000"/>
          <w:sz w:val="18"/>
          <w:szCs w:val="18"/>
        </w:rPr>
        <w:t xml:space="preserve"> which of three Industrials names deserves deeper research. Our ranking is </w:t>
      </w:r>
      <w:r>
        <w:rPr>
          <w:rFonts w:ascii="Quicksand Medium" w:cs="Quicksand Medium" w:eastAsia="Quicksand Medium" w:hAnsi="Quicksand Medium"/>
          <w:color w:val="000000"/>
          <w:sz w:val="18"/>
          <w:szCs w:val="18"/>
        </w:rPr>
        <w:t xml:space="preserve">Copart first</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VINCI second only if the net-margin rule is treated as a preference</w:t>
      </w:r>
      <w:r>
        <w:rPr>
          <w:rFonts w:ascii="Quicksand Light" w:cs="Quicksand Light" w:eastAsia="Quicksand Light" w:hAnsi="Quicksand Light"/>
          <w:color w:val="000000"/>
          <w:sz w:val="18"/>
          <w:szCs w:val="18"/>
        </w:rPr>
        <w:t xml:space="preserve">, and </w:t>
      </w:r>
      <w:r>
        <w:rPr>
          <w:rFonts w:ascii="Quicksand Medium" w:cs="Quicksand Medium" w:eastAsia="Quicksand Medium" w:hAnsi="Quicksand Medium"/>
          <w:color w:val="000000"/>
          <w:sz w:val="18"/>
          <w:szCs w:val="18"/>
        </w:rPr>
        <w:t xml:space="preserve">Paychex third</w:t>
      </w:r>
      <w:r>
        <w:rPr>
          <w:rFonts w:ascii="Quicksand Light" w:cs="Quicksand Light" w:eastAsia="Quicksand Light" w:hAnsi="Quicksand Light"/>
          <w:color w:val="000000"/>
          <w:sz w:val="18"/>
          <w:szCs w:val="18"/>
        </w:rPr>
        <w:t xml:space="preserve">. None of the three passes every numerical rule in the JEME investment philosophy, so none is presented as a BUY </w:t>
      </w:r>
      <w:r>
        <w:rPr>
          <w:rFonts w:ascii="Quicksand Light" w:cs="Quicksand Light" w:eastAsia="Quicksand Light" w:hAnsi="Quicksand Light"/>
          <w:color w:val="615F59"/>
          <w:sz w:val="15"/>
          <w:szCs w:val="15"/>
        </w:rPr>
        <w:t xml:space="preserve">[</w:t>
      </w:r>
      <w:hyperlink w:history="1" w:anchor="src_J1">
        <w:r>
          <w:rPr>
            <w:rFonts w:ascii="Quicksand Light" w:cs="Quicksand Light" w:eastAsia="Quicksand Light" w:hAnsi="Quicksand Light"/>
            <w:color w:val="615F59"/>
            <w:sz w:val="15"/>
            <w:szCs w:val="15"/>
          </w:rPr>
          <w:t xml:space="preserve">J1</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Scenario values are FY2027 EPS × P/E sensitivities built on our own assumptions. They are not validated twelve-month targets, and no DCF has been built yet.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250"/>
        <w:gridCol w:w="2950"/>
        <w:gridCol w:w="1036"/>
        <w:gridCol w:w="3200"/>
      </w:tblGrid>
      <w:tr>
        <w:trPr>
          <w:cantSplit/>
          <w:tblHeader/>
        </w:trPr>
        <w:tc>
          <w:tcPr>
            <w:tcW w:type="dxa" w:w="15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Company</w:t>
            </w:r>
          </w:p>
        </w:tc>
        <w:tc>
          <w:tcPr>
            <w:tcW w:type="dxa" w:w="125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28 Oct close</w:t>
            </w:r>
          </w:p>
        </w:tc>
        <w:tc>
          <w:tcPr>
            <w:tcW w:type="dxa" w:w="295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Base scenario (FY2027 EPS × P/E)</w:t>
            </w:r>
          </w:p>
        </w:tc>
        <w:tc>
          <w:tcPr>
            <w:tcW w:type="dxa" w:w="1036"/>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Gap</w:t>
            </w:r>
          </w:p>
        </w:tc>
        <w:tc>
          <w:tcPr>
            <w:tcW w:type="dxa" w:w="32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Status</w:t>
            </w:r>
          </w:p>
        </w:tc>
      </w:tr>
      <w:tr>
        <w:trPr>
          <w:cantSplit/>
        </w:trPr>
        <w:tc>
          <w:tcPr>
            <w:tcW w:type="dxa" w:w="15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VINCI (DG)</w:t>
            </w:r>
          </w:p>
        </w:tc>
        <w:tc>
          <w:tcPr>
            <w:tcW w:type="dxa" w:w="12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€108.30</w:t>
            </w:r>
          </w:p>
        </w:tc>
        <w:tc>
          <w:tcPr>
            <w:tcW w:type="dxa" w:w="29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€8.72 reported × 13.5x = €117.72</w:t>
            </w:r>
          </w:p>
        </w:tc>
        <w:tc>
          <w:tcPr>
            <w:tcW w:type="dxa" w:w="1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+8.7%</w:t>
            </w:r>
          </w:p>
        </w:tc>
        <w:tc>
          <w:tcPr>
            <w:tcW w:type="dxa" w:w="32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Priority 2: conditional on a margin-rule waiver</w:t>
            </w:r>
          </w:p>
        </w:tc>
      </w:tr>
      <w:tr>
        <w:trPr>
          <w:cantSplit/>
        </w:trPr>
        <w:tc>
          <w:tcPr>
            <w:tcW w:type="dxa" w:w="15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Copart (CPRT)</w:t>
            </w:r>
          </w:p>
        </w:tc>
        <w:tc>
          <w:tcPr>
            <w:tcW w:type="dxa" w:w="12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$28.96</w:t>
            </w:r>
          </w:p>
        </w:tc>
        <w:tc>
          <w:tcPr>
            <w:tcW w:type="dxa" w:w="29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$1.65 reported × 22x = $36.30</w:t>
            </w:r>
          </w:p>
        </w:tc>
        <w:tc>
          <w:tcPr>
            <w:tcW w:type="dxa" w:w="1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+25.3%</w:t>
            </w:r>
          </w:p>
        </w:tc>
        <w:tc>
          <w:tcPr>
            <w:tcW w:type="dxa" w:w="32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Priority 1: advance to deeper research</w:t>
            </w:r>
          </w:p>
        </w:tc>
      </w:tr>
      <w:tr>
        <w:trPr>
          <w:cantSplit/>
        </w:trPr>
        <w:tc>
          <w:tcPr>
            <w:tcW w:type="dxa" w:w="15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Paychex (PAYX)</w:t>
            </w:r>
          </w:p>
        </w:tc>
        <w:tc>
          <w:tcPr>
            <w:tcW w:type="dxa" w:w="12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$108.21</w:t>
            </w:r>
          </w:p>
        </w:tc>
        <w:tc>
          <w:tcPr>
            <w:tcW w:type="dxa" w:w="29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$5.95 adjusted × 20x = $119.00</w:t>
            </w:r>
          </w:p>
        </w:tc>
        <w:tc>
          <w:tcPr>
            <w:tcW w:type="dxa" w:w="1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+10.0%</w:t>
            </w:r>
          </w:p>
        </w:tc>
        <w:tc>
          <w:tcPr>
            <w:tcW w:type="dxa" w:w="32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Priority 3: hold, do not advance now</w:t>
            </w:r>
          </w:p>
        </w:tc>
      </w:tr>
    </w:tbl>
    <w:p>
      <w:pPr>
        <w:keepLines/>
        <w:spacing w:after="60" w:before="0" w:line="240" w:lineRule="auto"/>
        <w:jc w:val="left"/>
      </w:pPr>
      <w:r>
        <w:rPr>
          <w:rFonts w:ascii="Quicksand Light" w:cs="Quicksand Light" w:eastAsia="Quicksand Light" w:hAnsi="Quicksand Light"/>
          <w:color w:val="615F59"/>
          <w:sz w:val="14"/>
          <w:szCs w:val="14"/>
        </w:rPr>
        <w:t xml:space="preserve">Gap is price return to the base value, excluding dividends, costs and currency. EPS definitions differ (IFRS, GAAP, company-adjusted), so gaps are not like-for-like. Sources: </w:t>
      </w:r>
      <w:r>
        <w:rPr>
          <w:rFonts w:ascii="Quicksand Light" w:cs="Quicksand Light" w:eastAsia="Quicksand Light" w:hAnsi="Quicksand Light"/>
          <w:color w:val="615F59"/>
          <w:sz w:val="11"/>
          <w:szCs w:val="11"/>
        </w:rPr>
        <w:t xml:space="preserve">[</w:t>
      </w:r>
      <w:hyperlink w:history="1" w:anchor="src_M5">
        <w:r>
          <w:rPr>
            <w:rFonts w:ascii="Quicksand Light" w:cs="Quicksand Light" w:eastAsia="Quicksand Light" w:hAnsi="Quicksand Light"/>
            <w:color w:val="615F59"/>
            <w:sz w:val="11"/>
            <w:szCs w:val="11"/>
          </w:rPr>
          <w:t xml:space="preserve">M5</w:t>
        </w:r>
      </w:hyperlink>
      <w:r>
        <w:rPr>
          <w:rFonts w:ascii="Quicksand Light" w:cs="Quicksand Light" w:eastAsia="Quicksand Light" w:hAnsi="Quicksand Light"/>
          <w:color w:val="615F59"/>
          <w:sz w:val="11"/>
          <w:szCs w:val="11"/>
        </w:rPr>
        <w:t xml:space="preserve">, </w:t>
      </w:r>
      <w:hyperlink w:history="1" w:anchor="src_M7">
        <w:r>
          <w:rPr>
            <w:rFonts w:ascii="Quicksand Light" w:cs="Quicksand Light" w:eastAsia="Quicksand Light" w:hAnsi="Quicksand Light"/>
            <w:color w:val="615F59"/>
            <w:sz w:val="11"/>
            <w:szCs w:val="11"/>
          </w:rPr>
          <w:t xml:space="preserve">M7</w:t>
        </w:r>
      </w:hyperlink>
      <w:r>
        <w:rPr>
          <w:rFonts w:ascii="Quicksand Light" w:cs="Quicksand Light" w:eastAsia="Quicksand Light" w:hAnsi="Quicksand Light"/>
          <w:color w:val="615F59"/>
          <w:sz w:val="11"/>
          <w:szCs w:val="11"/>
        </w:rPr>
        <w:t xml:space="preserve">, </w:t>
      </w:r>
      <w:hyperlink w:history="1" w:anchor="src_M8">
        <w:r>
          <w:rPr>
            <w:rFonts w:ascii="Quicksand Light" w:cs="Quicksand Light" w:eastAsia="Quicksand Light" w:hAnsi="Quicksand Light"/>
            <w:color w:val="615F59"/>
            <w:sz w:val="11"/>
            <w:szCs w:val="11"/>
          </w:rPr>
          <w:t xml:space="preserve">M8</w:t>
        </w:r>
      </w:hyperlink>
      <w:r>
        <w:rPr>
          <w:rFonts w:ascii="Quicksand Light" w:cs="Quicksand Light" w:eastAsia="Quicksand Light" w:hAnsi="Quicksand Light"/>
          <w:color w:val="615F59"/>
          <w:sz w:val="11"/>
          <w:szCs w:val="11"/>
        </w:rPr>
        <w:t xml:space="preserve">]</w:t>
      </w:r>
      <w:r>
        <w:rPr>
          <w:rFonts w:ascii="Quicksand Light" w:cs="Quicksand Light" w:eastAsia="Quicksand Light" w:hAnsi="Quicksand Light"/>
          <w:color w:val="615F59"/>
          <w:sz w:val="14"/>
          <w:szCs w:val="14"/>
        </w:rPr>
        <w:t xml:space="preserve">, our calculations.</w:t>
      </w:r>
    </w:p>
    <w:p>
      <w:pPr>
        <w:keepNext/>
        <w:spacing w:after="20" w:before="0"/>
      </w:pPr>
      <w:r>
        <w:rPr>
          <w:rFonts w:ascii="Agus Sans" w:cs="Agus Sans" w:eastAsia="Agus Sans" w:hAnsi="Agus Sans"/>
          <w:color w:val="C21A27"/>
          <w:sz w:val="30"/>
          <w:szCs w:val="30"/>
        </w:rPr>
        <w:t xml:space="preserve">VINCI</w:t>
      </w:r>
    </w:p>
    <w:p>
      <w:pPr>
        <w:keepNext/>
        <w:pBdr>
          <w:bottom w:val="single" w:color="C21A27" w:sz="6" w:space="3"/>
        </w:pBdr>
        <w:spacing w:after="100" w:before="0"/>
      </w:pPr>
      <w:r>
        <w:rPr>
          <w:rFonts w:ascii="Agus Sans" w:cs="Agus Sans" w:eastAsia="Agus Sans" w:hAnsi="Agus Sans"/>
          <w:color w:val="615F59"/>
          <w:sz w:val="16"/>
          <w:szCs w:val="16"/>
        </w:rPr>
        <w:t xml:space="preserve">DG  |  EURONEXT PARIS  |  INDUSTRIALS: CONTRACTING AND CONCESSIONS  |  FISCAL YEAR TO 31 DECEMBER</w:t>
      </w:r>
    </w:p>
    <w:p>
      <w:pPr>
        <w:keepNext/>
        <w:keepLines/>
        <w:spacing w:after="50" w:before="110"/>
      </w:pPr>
      <w:r>
        <w:rPr>
          <w:rFonts w:ascii="Agus Sans" w:cs="Agus Sans" w:eastAsia="Agus Sans" w:hAnsi="Agus Sans"/>
          <w:color w:val="790E17"/>
          <w:sz w:val="20"/>
          <w:szCs w:val="20"/>
        </w:rPr>
        <w:t xml:space="preserve">1  RECOMMENDATION AT A GLANCE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8036"/>
      </w:tblGrid>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PRICE AND DATE</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000000"/>
                <w:sz w:val="17"/>
                <w:szCs w:val="17"/>
              </w:rPr>
              <w:t xml:space="preserve">€108.30</w:t>
            </w:r>
            <w:r>
              <w:rPr>
                <w:rFonts w:ascii="Quicksand Light" w:cs="Quicksand Light" w:eastAsia="Quicksand Light" w:hAnsi="Quicksand Light"/>
                <w:color w:val="000000"/>
                <w:sz w:val="17"/>
                <w:szCs w:val="17"/>
              </w:rPr>
              <w:t xml:space="preserve">, regular-session close on 28 October 2026 </w:t>
            </w:r>
            <w:r>
              <w:rPr>
                <w:rFonts w:ascii="Quicksand Light" w:cs="Quicksand Light" w:eastAsia="Quicksand Light" w:hAnsi="Quicksand Light"/>
                <w:color w:val="615F59"/>
                <w:sz w:val="14"/>
                <w:szCs w:val="14"/>
              </w:rPr>
              <w:t xml:space="preserve">[</w:t>
            </w:r>
            <w:hyperlink w:history="1" w:anchor="src_M5">
              <w:r>
                <w:rPr>
                  <w:rFonts w:ascii="Quicksand Light" w:cs="Quicksand Light" w:eastAsia="Quicksand Light" w:hAnsi="Quicksand Light"/>
                  <w:color w:val="615F59"/>
                  <w:sz w:val="14"/>
                  <w:szCs w:val="14"/>
                </w:rPr>
                <w:t xml:space="preserve">M5</w:t>
              </w:r>
            </w:hyperlink>
            <w:r>
              <w:rPr>
                <w:rFonts w:ascii="Quicksand Light" w:cs="Quicksand Light" w:eastAsia="Quicksand Light" w:hAnsi="Quicksand Light"/>
                <w:color w:val="615F59"/>
                <w:sz w:val="14"/>
                <w:szCs w:val="14"/>
              </w:rPr>
              <w:t xml:space="preserve">]</w:t>
            </w:r>
            <w:r>
              <w:rPr>
                <w:rFonts w:ascii="Quicksand Light" w:cs="Quicksand Light" w:eastAsia="Quicksand Light" w:hAnsi="Quicksand Light"/>
                <w:color w:val="000000"/>
                <w:sz w:val="17"/>
                <w:szCs w:val="17"/>
              </w:rPr>
              <w:t xml:space="preserve">. That is 12.5x reported 2025 diluted EPS of €8.65, with a €5.00 dividend for 2025 (4.6% yield) </w:t>
            </w:r>
            <w:r>
              <w:rPr>
                <w:rFonts w:ascii="Quicksand Light" w:cs="Quicksand Light" w:eastAsia="Quicksand Light" w:hAnsi="Quicksand Light"/>
                <w:color w:val="615F59"/>
                <w:sz w:val="14"/>
                <w:szCs w:val="14"/>
              </w:rPr>
              <w:t xml:space="preserve">[</w:t>
            </w:r>
            <w:hyperlink w:history="1" w:anchor="src_V1">
              <w:r>
                <w:rPr>
                  <w:rFonts w:ascii="Quicksand Light" w:cs="Quicksand Light" w:eastAsia="Quicksand Light" w:hAnsi="Quicksand Light"/>
                  <w:color w:val="615F59"/>
                  <w:sz w:val="14"/>
                  <w:szCs w:val="14"/>
                </w:rPr>
                <w:t xml:space="preserve">V1</w:t>
              </w:r>
            </w:hyperlink>
            <w:r>
              <w:rPr>
                <w:rFonts w:ascii="Quicksand Light" w:cs="Quicksand Light" w:eastAsia="Quicksand Light" w:hAnsi="Quicksand Light"/>
                <w:color w:val="615F59"/>
                <w:sz w:val="14"/>
                <w:szCs w:val="14"/>
              </w:rPr>
              <w:t xml:space="preserve">]</w:t>
            </w:r>
            <w:r>
              <w:rPr>
                <w:rFonts w:ascii="Quicksand Light" w:cs="Quicksand Light" w:eastAsia="Quicksand Light" w:hAnsi="Quicksand Light"/>
                <w:color w:val="000000"/>
                <w:sz w:val="17"/>
                <w:szCs w:val="17"/>
              </w:rPr>
              <w:t xml:space="preserve">.</w:t>
            </w:r>
          </w:p>
        </w:tc>
      </w:tr>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STATUS</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000000"/>
                <w:sz w:val="17"/>
                <w:szCs w:val="17"/>
              </w:rPr>
              <w:t xml:space="preserve">Priority 2: conditional research candidate, not a BUY.</w:t>
            </w:r>
            <w:r>
              <w:rPr>
                <w:rFonts w:ascii="Quicksand Light" w:cs="Quicksand Light" w:eastAsia="Quicksand Light" w:hAnsi="Quicksand Light"/>
                <w:color w:val="000000"/>
                <w:sz w:val="17"/>
                <w:szCs w:val="17"/>
              </w:rPr>
              <w:t xml:space="preserve"> Advance only if associates treat the 17.5% net-margin rule as a screening preference rather than an exclusion.</w:t>
            </w:r>
          </w:p>
        </w:tc>
      </w:tr>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STRONGEST REASON FOR</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7"/>
                <w:szCs w:val="17"/>
              </w:rPr>
              <w:t xml:space="preserve">Record </w:t>
            </w:r>
            <w:r>
              <w:rPr>
                <w:rFonts w:ascii="Quicksand Medium" w:cs="Quicksand Medium" w:eastAsia="Quicksand Medium" w:hAnsi="Quicksand Medium"/>
                <w:color w:val="000000"/>
                <w:sz w:val="17"/>
                <w:szCs w:val="17"/>
              </w:rPr>
              <w:t xml:space="preserve">€7.0bn free cash flow</w:t>
            </w:r>
            <w:r>
              <w:rPr>
                <w:rFonts w:ascii="Quicksand Light" w:cs="Quicksand Light" w:eastAsia="Quicksand Light" w:hAnsi="Quicksand Light"/>
                <w:color w:val="000000"/>
                <w:sz w:val="17"/>
                <w:szCs w:val="17"/>
              </w:rPr>
              <w:t xml:space="preserve"> in 2025 and a </w:t>
            </w:r>
            <w:r>
              <w:rPr>
                <w:rFonts w:ascii="Quicksand Medium" w:cs="Quicksand Medium" w:eastAsia="Quicksand Medium" w:hAnsi="Quicksand Medium"/>
                <w:color w:val="000000"/>
                <w:sz w:val="17"/>
                <w:szCs w:val="17"/>
              </w:rPr>
              <w:t xml:space="preserve">€75.4bn order book</w:t>
            </w:r>
            <w:r>
              <w:rPr>
                <w:rFonts w:ascii="Quicksand Light" w:cs="Quicksand Light" w:eastAsia="Quicksand Light" w:hAnsi="Quicksand Light"/>
                <w:color w:val="000000"/>
                <w:sz w:val="17"/>
                <w:szCs w:val="17"/>
              </w:rPr>
              <w:t xml:space="preserve">, priced at 12.4x our base 2027 EPS </w:t>
            </w:r>
            <w:r>
              <w:rPr>
                <w:rFonts w:ascii="Quicksand Light" w:cs="Quicksand Light" w:eastAsia="Quicksand Light" w:hAnsi="Quicksand Light"/>
                <w:color w:val="615F59"/>
                <w:sz w:val="14"/>
                <w:szCs w:val="14"/>
              </w:rPr>
              <w:t xml:space="preserve">[</w:t>
            </w:r>
            <w:hyperlink w:history="1" w:anchor="src_V1">
              <w:r>
                <w:rPr>
                  <w:rFonts w:ascii="Quicksand Light" w:cs="Quicksand Light" w:eastAsia="Quicksand Light" w:hAnsi="Quicksand Light"/>
                  <w:color w:val="615F59"/>
                  <w:sz w:val="14"/>
                  <w:szCs w:val="14"/>
                </w:rPr>
                <w:t xml:space="preserve">V1</w:t>
              </w:r>
            </w:hyperlink>
            <w:r>
              <w:rPr>
                <w:rFonts w:ascii="Quicksand Light" w:cs="Quicksand Light" w:eastAsia="Quicksand Light" w:hAnsi="Quicksand Light"/>
                <w:color w:val="615F59"/>
                <w:sz w:val="14"/>
                <w:szCs w:val="14"/>
              </w:rPr>
              <w:t xml:space="preserve">, </w:t>
            </w:r>
            <w:hyperlink w:history="1" w:anchor="src_V4">
              <w:r>
                <w:rPr>
                  <w:rFonts w:ascii="Quicksand Light" w:cs="Quicksand Light" w:eastAsia="Quicksand Light" w:hAnsi="Quicksand Light"/>
                  <w:color w:val="615F59"/>
                  <w:sz w:val="14"/>
                  <w:szCs w:val="14"/>
                </w:rPr>
                <w:t xml:space="preserve">V4</w:t>
              </w:r>
            </w:hyperlink>
            <w:r>
              <w:rPr>
                <w:rFonts w:ascii="Quicksand Light" w:cs="Quicksand Light" w:eastAsia="Quicksand Light" w:hAnsi="Quicksand Light"/>
                <w:color w:val="615F59"/>
                <w:sz w:val="14"/>
                <w:szCs w:val="14"/>
              </w:rPr>
              <w:t xml:space="preserve">]</w:t>
            </w:r>
            <w:r>
              <w:rPr>
                <w:rFonts w:ascii="Quicksand Light" w:cs="Quicksand Light" w:eastAsia="Quicksand Light" w:hAnsi="Quicksand Light"/>
                <w:color w:val="000000"/>
                <w:sz w:val="17"/>
                <w:szCs w:val="17"/>
              </w:rPr>
              <w:t xml:space="preserve">.</w:t>
            </w:r>
          </w:p>
        </w:tc>
      </w:tr>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MAIN REASON AGAINST</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000000"/>
                <w:sz w:val="17"/>
                <w:szCs w:val="17"/>
              </w:rPr>
              <w:t xml:space="preserve">French taxation.</w:t>
            </w:r>
            <w:r>
              <w:rPr>
                <w:rFonts w:ascii="Quicksand Light" w:cs="Quicksand Light" w:eastAsia="Quicksand Light" w:hAnsi="Quicksand Light"/>
                <w:color w:val="000000"/>
                <w:sz w:val="17"/>
                <w:szCs w:val="17"/>
              </w:rPr>
              <w:t xml:space="preserve"> The "exceptional" corporate surtax was extended into 2026 and is proposed again for 2027, while a separate motorway levy could add about €450m. In our base case the two absorb about €1.58 of 2027 EPS </w:t>
            </w:r>
            <w:r>
              <w:rPr>
                <w:rFonts w:ascii="Quicksand Light" w:cs="Quicksand Light" w:eastAsia="Quicksand Light" w:hAnsi="Quicksand Light"/>
                <w:color w:val="615F59"/>
                <w:sz w:val="14"/>
                <w:szCs w:val="14"/>
              </w:rPr>
              <w:t xml:space="preserve">[</w:t>
            </w:r>
            <w:hyperlink w:history="1" w:anchor="src_V3">
              <w:r>
                <w:rPr>
                  <w:rFonts w:ascii="Quicksand Light" w:cs="Quicksand Light" w:eastAsia="Quicksand Light" w:hAnsi="Quicksand Light"/>
                  <w:color w:val="615F59"/>
                  <w:sz w:val="14"/>
                  <w:szCs w:val="14"/>
                </w:rPr>
                <w:t xml:space="preserve">V3</w:t>
              </w:r>
            </w:hyperlink>
            <w:r>
              <w:rPr>
                <w:rFonts w:ascii="Quicksand Light" w:cs="Quicksand Light" w:eastAsia="Quicksand Light" w:hAnsi="Quicksand Light"/>
                <w:color w:val="615F59"/>
                <w:sz w:val="14"/>
                <w:szCs w:val="14"/>
              </w:rPr>
              <w:t xml:space="preserve">, </w:t>
            </w:r>
            <w:hyperlink w:history="1" w:anchor="src_V5">
              <w:r>
                <w:rPr>
                  <w:rFonts w:ascii="Quicksand Light" w:cs="Quicksand Light" w:eastAsia="Quicksand Light" w:hAnsi="Quicksand Light"/>
                  <w:color w:val="615F59"/>
                  <w:sz w:val="14"/>
                  <w:szCs w:val="14"/>
                </w:rPr>
                <w:t xml:space="preserve">V5</w:t>
              </w:r>
            </w:hyperlink>
            <w:r>
              <w:rPr>
                <w:rFonts w:ascii="Quicksand Light" w:cs="Quicksand Light" w:eastAsia="Quicksand Light" w:hAnsi="Quicksand Light"/>
                <w:color w:val="615F59"/>
                <w:sz w:val="14"/>
                <w:szCs w:val="14"/>
              </w:rPr>
              <w:t xml:space="preserve">, </w:t>
            </w:r>
            <w:hyperlink w:history="1" w:anchor="src_V6">
              <w:r>
                <w:rPr>
                  <w:rFonts w:ascii="Quicksand Light" w:cs="Quicksand Light" w:eastAsia="Quicksand Light" w:hAnsi="Quicksand Light"/>
                  <w:color w:val="615F59"/>
                  <w:sz w:val="14"/>
                  <w:szCs w:val="14"/>
                </w:rPr>
                <w:t xml:space="preserve">V6</w:t>
              </w:r>
            </w:hyperlink>
            <w:r>
              <w:rPr>
                <w:rFonts w:ascii="Quicksand Light" w:cs="Quicksand Light" w:eastAsia="Quicksand Light" w:hAnsi="Quicksand Light"/>
                <w:color w:val="615F59"/>
                <w:sz w:val="14"/>
                <w:szCs w:val="14"/>
              </w:rPr>
              <w:t xml:space="preserve">]</w:t>
            </w:r>
            <w:r>
              <w:rPr>
                <w:rFonts w:ascii="Quicksand Light" w:cs="Quicksand Light" w:eastAsia="Quicksand Light" w:hAnsi="Quicksand Light"/>
                <w:color w:val="000000"/>
                <w:sz w:val="17"/>
                <w:szCs w:val="17"/>
              </w:rPr>
              <w:t xml:space="preserve">.</w:t>
            </w:r>
          </w:p>
        </w:tc>
      </w:tr>
    </w:tbl>
    <w:p>
      <w:pPr>
        <w:keepNext/>
        <w:keepLines/>
        <w:spacing w:after="50" w:before="110"/>
      </w:pPr>
      <w:r>
        <w:rPr>
          <w:rFonts w:ascii="Agus Sans" w:cs="Agus Sans" w:eastAsia="Agus Sans" w:hAnsi="Agus Sans"/>
          <w:color w:val="790E17"/>
          <w:sz w:val="20"/>
          <w:szCs w:val="20"/>
        </w:rPr>
        <w:t xml:space="preserve">2  BUSINESS MODEL AND COMPETITIVE POSITION</w:t>
      </w:r>
    </w:p>
    <w:p>
      <w:pPr>
        <w:keepLines/>
        <w:spacing w:after="70" w:before="0" w:line="240" w:lineRule="auto"/>
        <w:jc w:val="both"/>
      </w:pPr>
      <w:r>
        <w:rPr>
          <w:rFonts w:ascii="Quicksand Light" w:cs="Quicksand Light" w:eastAsia="Quicksand Light" w:hAnsi="Quicksand Light"/>
          <w:color w:val="000000"/>
          <w:sz w:val="18"/>
          <w:szCs w:val="18"/>
        </w:rPr>
        <w:t xml:space="preserve">VINCI runs two economically different businesses. In </w:t>
      </w:r>
      <w:r>
        <w:rPr>
          <w:rFonts w:ascii="Quicksand Medium" w:cs="Quicksand Medium" w:eastAsia="Quicksand Medium" w:hAnsi="Quicksand Medium"/>
          <w:color w:val="000000"/>
          <w:sz w:val="18"/>
          <w:szCs w:val="18"/>
        </w:rPr>
        <w:t xml:space="preserve">contracting</w:t>
      </w:r>
      <w:r>
        <w:rPr>
          <w:rFonts w:ascii="Quicksand Light" w:cs="Quicksand Light" w:eastAsia="Quicksand Light" w:hAnsi="Quicksand Light"/>
          <w:color w:val="000000"/>
          <w:sz w:val="18"/>
          <w:szCs w:val="18"/>
        </w:rPr>
        <w:t xml:space="preserve"> (VINCI Energies, Cobra IS, VINCI Construction), public and private clients pay to have infrastructure and energy systems built, installed and maintained. Margins are thin and depend on bid discipline and on the main costs: staff, subcontractors and materials. In </w:t>
      </w:r>
      <w:r>
        <w:rPr>
          <w:rFonts w:ascii="Quicksand Medium" w:cs="Quicksand Medium" w:eastAsia="Quicksand Medium" w:hAnsi="Quicksand Medium"/>
          <w:color w:val="000000"/>
          <w:sz w:val="18"/>
          <w:szCs w:val="18"/>
        </w:rPr>
        <w:t xml:space="preserve">concessions</w:t>
      </w:r>
      <w:r>
        <w:rPr>
          <w:rFonts w:ascii="Quicksand Light" w:cs="Quicksand Light" w:eastAsia="Quicksand Light" w:hAnsi="Quicksand Light"/>
          <w:color w:val="000000"/>
          <w:sz w:val="18"/>
          <w:szCs w:val="18"/>
        </w:rPr>
        <w:t xml:space="preserve"> (VINCI Autoroutes, VINCI Airports), motorists and airlines pay tolls and airport charges under long-term contracts, so extra traffic carries a high margin, but the rights are finite and regulated. Group Ebit was €9.6bn in 2025, a </w:t>
      </w:r>
      <w:r>
        <w:rPr>
          <w:rFonts w:ascii="Quicksand Medium" w:cs="Quicksand Medium" w:eastAsia="Quicksand Medium" w:hAnsi="Quicksand Medium"/>
          <w:color w:val="000000"/>
          <w:sz w:val="18"/>
          <w:szCs w:val="18"/>
        </w:rPr>
        <w:t xml:space="preserve">12.8% operating margin</w:t>
      </w:r>
      <w:r>
        <w:rPr>
          <w:rFonts w:ascii="Quicksand Light" w:cs="Quicksand Light" w:eastAsia="Quicksand Light" w:hAnsi="Quicksand Light"/>
          <w:color w:val="000000"/>
          <w:sz w:val="18"/>
          <w:szCs w:val="18"/>
        </w:rPr>
        <w:t xml:space="preserve">, yet net margin was only 6.6% because contracting dominates revenue and net financial debt is </w:t>
      </w:r>
      <w:r>
        <w:rPr>
          <w:rFonts w:ascii="Quicksand Medium" w:cs="Quicksand Medium" w:eastAsia="Quicksand Medium" w:hAnsi="Quicksand Medium"/>
          <w:color w:val="000000"/>
          <w:sz w:val="18"/>
          <w:szCs w:val="18"/>
        </w:rPr>
        <w:t xml:space="preserve">€19.1bn</w:t>
      </w:r>
      <w:r>
        <w:rPr>
          <w:rFonts w:ascii="Quicksand Light" w:cs="Quicksand Light" w:eastAsia="Quicksand Light" w:hAnsi="Quicksand Light"/>
          <w:color w:val="000000"/>
          <w:sz w:val="18"/>
          <w:szCs w:val="18"/>
        </w:rPr>
        <w:t xml:space="preserve"> </w:t>
      </w:r>
      <w:r>
        <w:rPr>
          <w:rFonts w:ascii="Quicksand Light" w:cs="Quicksand Light" w:eastAsia="Quicksand Light" w:hAnsi="Quicksand Light"/>
          <w:color w:val="615F59"/>
          <w:sz w:val="15"/>
          <w:szCs w:val="15"/>
        </w:rPr>
        <w:t xml:space="preserve">[</w:t>
      </w:r>
      <w:hyperlink w:history="1" w:anchor="src_V1">
        <w:r>
          <w:rPr>
            <w:rFonts w:ascii="Quicksand Light" w:cs="Quicksand Light" w:eastAsia="Quicksand Light" w:hAnsi="Quicksand Light"/>
            <w:color w:val="615F59"/>
            <w:sz w:val="15"/>
            <w:szCs w:val="15"/>
          </w:rPr>
          <w:t xml:space="preserve">V1</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w:t>
      </w:r>
    </w:p>
    <w:p>
      <w:pPr>
        <w:keepLines/>
        <w:spacing w:after="70" w:before="0" w:line="240" w:lineRule="auto"/>
        <w:jc w:val="both"/>
      </w:pPr>
      <w:r>
        <w:rPr>
          <w:rFonts w:ascii="Quicksand Light" w:cs="Quicksand Light" w:eastAsia="Quicksand Light" w:hAnsi="Quicksand Light"/>
          <w:color w:val="000000"/>
          <w:sz w:val="18"/>
          <w:szCs w:val="18"/>
        </w:rPr>
        <w:t xml:space="preserve">The advantage is </w:t>
      </w:r>
      <w:r>
        <w:rPr>
          <w:rFonts w:ascii="Quicksand Medium" w:cs="Quicksand Medium" w:eastAsia="Quicksand Medium" w:hAnsi="Quicksand Medium"/>
          <w:color w:val="000000"/>
          <w:sz w:val="18"/>
          <w:szCs w:val="18"/>
        </w:rPr>
        <w:t xml:space="preserve">scarce, long-dated concession assets</w:t>
      </w:r>
      <w:r>
        <w:rPr>
          <w:rFonts w:ascii="Quicksand Light" w:cs="Quicksand Light" w:eastAsia="Quicksand Light" w:hAnsi="Quicksand Light"/>
          <w:color w:val="000000"/>
          <w:sz w:val="18"/>
          <w:szCs w:val="18"/>
        </w:rPr>
        <w:t xml:space="preserve"> plus a contracting network large enough to win complex grid and energy work. Concessions turn traffic and tariff indexation into cash with little reinvestment; contracting adds growth but little margin. The weakness follows directly: much of the profit comes from </w:t>
      </w:r>
      <w:r>
        <w:rPr>
          <w:rFonts w:ascii="Quicksand Medium" w:cs="Quicksand Medium" w:eastAsia="Quicksand Medium" w:hAnsi="Quicksand Medium"/>
          <w:color w:val="000000"/>
          <w:sz w:val="18"/>
          <w:szCs w:val="18"/>
        </w:rPr>
        <w:t xml:space="preserve">regulated French concessions</w:t>
      </w:r>
      <w:r>
        <w:rPr>
          <w:rFonts w:ascii="Quicksand Light" w:cs="Quicksand Light" w:eastAsia="Quicksand Light" w:hAnsi="Quicksand Light"/>
          <w:color w:val="000000"/>
          <w:sz w:val="18"/>
          <w:szCs w:val="18"/>
        </w:rPr>
        <w:t xml:space="preserve"> </w:t>
      </w:r>
      <w:r>
        <w:rPr>
          <w:rFonts w:ascii="Quicksand Light" w:cs="Quicksand Light" w:eastAsia="Quicksand Light" w:hAnsi="Quicksand Light"/>
          <w:color w:val="615F59"/>
          <w:sz w:val="15"/>
          <w:szCs w:val="15"/>
        </w:rPr>
        <w:t xml:space="preserve">[</w:t>
      </w:r>
      <w:hyperlink w:history="1" w:anchor="src_V2">
        <w:r>
          <w:rPr>
            <w:rFonts w:ascii="Quicksand Light" w:cs="Quicksand Light" w:eastAsia="Quicksand Light" w:hAnsi="Quicksand Light"/>
            <w:color w:val="615F59"/>
            <w:sz w:val="15"/>
            <w:szCs w:val="15"/>
          </w:rPr>
          <w:t xml:space="preserve">V2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so the state can reclaim value through tax.</w:t>
      </w:r>
    </w:p>
    <w:p>
      <w:pPr>
        <w:keepNext/>
        <w:keepLines/>
        <w:spacing w:after="50" w:before="110"/>
      </w:pPr>
      <w:r>
        <w:rPr>
          <w:rFonts w:ascii="Agus Sans" w:cs="Agus Sans" w:eastAsia="Agus Sans" w:hAnsi="Agus Sans"/>
          <w:color w:val="790E17"/>
          <w:sz w:val="20"/>
          <w:szCs w:val="20"/>
        </w:rPr>
        <w:t xml:space="preserve">3  TOP-DOWN INVESTMENT CASE</w:t>
      </w:r>
    </w:p>
    <w:p>
      <w:pPr>
        <w:keepLines/>
        <w:spacing w:after="70" w:before="0" w:line="240" w:lineRule="auto"/>
        <w:jc w:val="both"/>
      </w:pPr>
      <w:r>
        <w:rPr>
          <w:rFonts w:ascii="Quicksand Medium" w:cs="Quicksand Medium" w:eastAsia="Quicksand Medium" w:hAnsi="Quicksand Medium"/>
          <w:color w:val="000000"/>
          <w:sz w:val="18"/>
          <w:szCs w:val="18"/>
        </w:rPr>
        <w:t xml:space="preserve">Trend to demand.</w:t>
      </w:r>
      <w:r>
        <w:rPr>
          <w:rFonts w:ascii="Quicksand Light" w:cs="Quicksand Light" w:eastAsia="Quicksand Light" w:hAnsi="Quicksand Light"/>
          <w:color w:val="000000"/>
          <w:sz w:val="18"/>
          <w:szCs w:val="18"/>
        </w:rPr>
        <w:t xml:space="preserve"> Electrification, grid reinforcement and industrial energy efficiency raise demand for VINCI Energies and Cobra. </w:t>
      </w:r>
      <w:r>
        <w:rPr>
          <w:rFonts w:ascii="Quicksand Medium" w:cs="Quicksand Medium" w:eastAsia="Quicksand Medium" w:hAnsi="Quicksand Medium"/>
          <w:color w:val="000000"/>
          <w:sz w:val="18"/>
          <w:szCs w:val="18"/>
        </w:rPr>
        <w:t xml:space="preserve">Demand to revenue (evidenced).</w:t>
      </w:r>
      <w:r>
        <w:rPr>
          <w:rFonts w:ascii="Quicksand Light" w:cs="Quicksand Light" w:eastAsia="Quicksand Light" w:hAnsi="Quicksand Light"/>
          <w:color w:val="000000"/>
          <w:sz w:val="18"/>
          <w:szCs w:val="18"/>
        </w:rPr>
        <w:t xml:space="preserve"> Energy Solutions revenue grew 7.4% in the first nine months of 2026, against 0.4% for Construction, and their combined order intake rose 6% to €49.6bn </w:t>
      </w:r>
      <w:r>
        <w:rPr>
          <w:rFonts w:ascii="Quicksand Light" w:cs="Quicksand Light" w:eastAsia="Quicksand Light" w:hAnsi="Quicksand Light"/>
          <w:color w:val="615F59"/>
          <w:sz w:val="15"/>
          <w:szCs w:val="15"/>
        </w:rPr>
        <w:t xml:space="preserve">[</w:t>
      </w:r>
      <w:hyperlink w:history="1" w:anchor="src_V4">
        <w:r>
          <w:rPr>
            <w:rFonts w:ascii="Quicksand Light" w:cs="Quicksand Light" w:eastAsia="Quicksand Light" w:hAnsi="Quicksand Light"/>
            <w:color w:val="615F59"/>
            <w:sz w:val="15"/>
            <w:szCs w:val="15"/>
          </w:rPr>
          <w:t xml:space="preserve">V4</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Revenue to profit and cash (evidenced).</w:t>
      </w:r>
      <w:r>
        <w:rPr>
          <w:rFonts w:ascii="Quicksand Light" w:cs="Quicksand Light" w:eastAsia="Quicksand Light" w:hAnsi="Quicksand Light"/>
          <w:color w:val="000000"/>
          <w:sz w:val="18"/>
          <w:szCs w:val="18"/>
        </w:rPr>
        <w:t xml:space="preserve"> 2025 Ebit grew 6.2% and free cash flow reached a record €7.0bn; nine-month 2026 free cash flow was already €6.5bn against a full-year guide of about €6bn </w:t>
      </w:r>
      <w:r>
        <w:rPr>
          <w:rFonts w:ascii="Quicksand Light" w:cs="Quicksand Light" w:eastAsia="Quicksand Light" w:hAnsi="Quicksand Light"/>
          <w:color w:val="615F59"/>
          <w:sz w:val="15"/>
          <w:szCs w:val="15"/>
        </w:rPr>
        <w:t xml:space="preserve">[</w:t>
      </w:r>
      <w:hyperlink w:history="1" w:anchor="src_V1">
        <w:r>
          <w:rPr>
            <w:rFonts w:ascii="Quicksand Light" w:cs="Quicksand Light" w:eastAsia="Quicksand Light" w:hAnsi="Quicksand Light"/>
            <w:color w:val="615F59"/>
            <w:sz w:val="15"/>
            <w:szCs w:val="15"/>
          </w:rPr>
          <w:t xml:space="preserve">V1</w:t>
        </w:r>
      </w:hyperlink>
      <w:r>
        <w:rPr>
          <w:rFonts w:ascii="Quicksand Light" w:cs="Quicksand Light" w:eastAsia="Quicksand Light" w:hAnsi="Quicksand Light"/>
          <w:color w:val="615F59"/>
          <w:sz w:val="15"/>
          <w:szCs w:val="15"/>
        </w:rPr>
        <w:t xml:space="preserve">, </w:t>
      </w:r>
      <w:hyperlink w:history="1" w:anchor="src_V4">
        <w:r>
          <w:rPr>
            <w:rFonts w:ascii="Quicksand Light" w:cs="Quicksand Light" w:eastAsia="Quicksand Light" w:hAnsi="Quicksand Light"/>
            <w:color w:val="615F59"/>
            <w:sz w:val="15"/>
            <w:szCs w:val="15"/>
          </w:rPr>
          <w:t xml:space="preserve">V4</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Assumption.</w:t>
      </w:r>
      <w:r>
        <w:rPr>
          <w:rFonts w:ascii="Quicksand Light" w:cs="Quicksand Light" w:eastAsia="Quicksand Light" w:hAnsi="Quicksand Light"/>
          <w:color w:val="000000"/>
          <w:sz w:val="18"/>
          <w:szCs w:val="18"/>
        </w:rPr>
        <w:t xml:space="preserve"> Order growth converts into underlying EPS growth of 4.5% a year to 2027. This is our input, not guidance; we have no divisional margin forecast.</w:t>
      </w:r>
    </w:p>
    <w:p>
      <w:pPr>
        <w:keepLines/>
        <w:spacing w:after="70" w:before="0" w:line="240" w:lineRule="auto"/>
        <w:jc w:val="both"/>
      </w:pPr>
      <w:r>
        <w:rPr>
          <w:rFonts w:ascii="Quicksand Medium" w:cs="Quicksand Medium" w:eastAsia="Quicksand Medium" w:hAnsi="Quicksand Medium"/>
          <w:color w:val="000000"/>
          <w:sz w:val="18"/>
          <w:szCs w:val="18"/>
        </w:rPr>
        <w:t xml:space="preserve">Catalyst (external).</w:t>
      </w:r>
      <w:r>
        <w:rPr>
          <w:rFonts w:ascii="Quicksand Light" w:cs="Quicksand Light" w:eastAsia="Quicksand Light" w:hAnsi="Quicksand Light"/>
          <w:color w:val="000000"/>
          <w:sz w:val="18"/>
          <w:szCs w:val="18"/>
        </w:rPr>
        <w:t xml:space="preserve"> The French 2027 budget will decide whether the motorway levy (TEITLD) rises and whether the surtax runs a third year. Last year’s Finance Law was only adopted on 19 February 2026 </w:t>
      </w:r>
      <w:r>
        <w:rPr>
          <w:rFonts w:ascii="Quicksand Light" w:cs="Quicksand Light" w:eastAsia="Quicksand Light" w:hAnsi="Quicksand Light"/>
          <w:color w:val="615F59"/>
          <w:sz w:val="15"/>
          <w:szCs w:val="15"/>
        </w:rPr>
        <w:t xml:space="preserve">[</w:t>
      </w:r>
      <w:hyperlink w:history="1" w:anchor="src_V6">
        <w:r>
          <w:rPr>
            <w:rFonts w:ascii="Quicksand Light" w:cs="Quicksand Light" w:eastAsia="Quicksand Light" w:hAnsi="Quicksand Light"/>
            <w:color w:val="615F59"/>
            <w:sz w:val="15"/>
            <w:szCs w:val="15"/>
          </w:rPr>
          <w:t xml:space="preserve">V6</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Each item is worth about </w:t>
      </w:r>
      <w:r>
        <w:rPr>
          <w:rFonts w:ascii="Quicksand Medium" w:cs="Quicksand Medium" w:eastAsia="Quicksand Medium" w:hAnsi="Quicksand Medium"/>
          <w:color w:val="000000"/>
          <w:sz w:val="18"/>
          <w:szCs w:val="18"/>
        </w:rPr>
        <w:t xml:space="preserve">€0.79 per share</w:t>
      </w:r>
      <w:r>
        <w:rPr>
          <w:rFonts w:ascii="Quicksand Light" w:cs="Quicksand Light" w:eastAsia="Quicksand Light" w:hAnsi="Quicksand Light"/>
          <w:color w:val="000000"/>
          <w:sz w:val="18"/>
          <w:szCs w:val="18"/>
        </w:rPr>
        <w:t xml:space="preserve"> of 2027 EPS in our numbers, making the budget the main valuation swing factor.</w:t>
      </w:r>
    </w:p>
    <w:p>
      <w:pPr>
        <w:keepNext/>
        <w:keepLines/>
        <w:spacing w:after="50" w:before="110"/>
      </w:pPr>
      <w:r>
        <w:rPr>
          <w:rFonts w:ascii="Agus Sans" w:cs="Agus Sans" w:eastAsia="Agus Sans" w:hAnsi="Agus Sans"/>
          <w:color w:val="790E17"/>
          <w:sz w:val="20"/>
          <w:szCs w:val="20"/>
        </w:rPr>
        <w:t xml:space="preserve">4  FINANCIAL PERFORMANCE AND MANAGEMENT OUTLOOK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800"/>
        <w:gridCol w:w="1500"/>
        <w:gridCol w:w="2100"/>
        <w:gridCol w:w="1500"/>
        <w:gridCol w:w="1736"/>
      </w:tblGrid>
      <w:tr>
        <w:trPr>
          <w:cantSplit/>
          <w:tblHeader/>
        </w:trPr>
        <w:tc>
          <w:tcPr>
            <w:tcW w:type="dxa" w:w="13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Year</w:t>
            </w:r>
          </w:p>
        </w:tc>
        <w:tc>
          <w:tcPr>
            <w:tcW w:type="dxa" w:w="18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Revenue (€bn)</w:t>
            </w:r>
          </w:p>
        </w:tc>
        <w:tc>
          <w:tcPr>
            <w:tcW w:type="dxa" w:w="15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Growth</w:t>
            </w:r>
          </w:p>
        </w:tc>
        <w:tc>
          <w:tcPr>
            <w:tcW w:type="dxa" w:w="21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Parent net profit (€bn)</w:t>
            </w:r>
          </w:p>
        </w:tc>
        <w:tc>
          <w:tcPr>
            <w:tcW w:type="dxa" w:w="15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Growth</w:t>
            </w:r>
          </w:p>
        </w:tc>
        <w:tc>
          <w:tcPr>
            <w:tcW w:type="dxa" w:w="1736"/>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Net margin</w:t>
            </w:r>
          </w:p>
        </w:tc>
      </w:tr>
      <w:tr>
        <w:trPr>
          <w:cantSplit/>
        </w:trPr>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2023</w:t>
            </w:r>
          </w:p>
        </w:tc>
        <w:tc>
          <w:tcPr>
            <w:tcW w:type="dxa" w:w="18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68.84</w:t>
            </w:r>
          </w:p>
        </w:tc>
        <w:tc>
          <w:tcPr>
            <w:tcW w:type="dxa" w:w="15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w:t>
            </w:r>
          </w:p>
        </w:tc>
        <w:tc>
          <w:tcPr>
            <w:tcW w:type="dxa" w:w="2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4.70</w:t>
            </w:r>
          </w:p>
        </w:tc>
        <w:tc>
          <w:tcPr>
            <w:tcW w:type="dxa" w:w="15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w:t>
            </w:r>
          </w:p>
        </w:tc>
        <w:tc>
          <w:tcPr>
            <w:tcW w:type="dxa" w:w="17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6.8%</w:t>
            </w:r>
          </w:p>
        </w:tc>
      </w:tr>
      <w:tr>
        <w:trPr>
          <w:cantSplit/>
        </w:trPr>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2024</w:t>
            </w:r>
          </w:p>
        </w:tc>
        <w:tc>
          <w:tcPr>
            <w:tcW w:type="dxa" w:w="18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71.62</w:t>
            </w:r>
          </w:p>
        </w:tc>
        <w:tc>
          <w:tcPr>
            <w:tcW w:type="dxa" w:w="15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+4.0%</w:t>
            </w:r>
          </w:p>
        </w:tc>
        <w:tc>
          <w:tcPr>
            <w:tcW w:type="dxa" w:w="2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4.86</w:t>
            </w:r>
          </w:p>
        </w:tc>
        <w:tc>
          <w:tcPr>
            <w:tcW w:type="dxa" w:w="15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+3.4%</w:t>
            </w:r>
          </w:p>
        </w:tc>
        <w:tc>
          <w:tcPr>
            <w:tcW w:type="dxa" w:w="17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6.8%</w:t>
            </w:r>
          </w:p>
        </w:tc>
      </w:tr>
      <w:tr>
        <w:trPr>
          <w:cantSplit/>
        </w:trPr>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2025</w:t>
            </w:r>
          </w:p>
        </w:tc>
        <w:tc>
          <w:tcPr>
            <w:tcW w:type="dxa" w:w="18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74.60</w:t>
            </w:r>
          </w:p>
        </w:tc>
        <w:tc>
          <w:tcPr>
            <w:tcW w:type="dxa" w:w="15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+4.2%</w:t>
            </w:r>
          </w:p>
        </w:tc>
        <w:tc>
          <w:tcPr>
            <w:tcW w:type="dxa" w:w="2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4.90</w:t>
            </w:r>
          </w:p>
        </w:tc>
        <w:tc>
          <w:tcPr>
            <w:tcW w:type="dxa" w:w="15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+0.8%</w:t>
            </w:r>
          </w:p>
        </w:tc>
        <w:tc>
          <w:tcPr>
            <w:tcW w:type="dxa" w:w="17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6.6%</w:t>
            </w:r>
          </w:p>
        </w:tc>
      </w:tr>
    </w:tbl>
    <w:p>
      <w:pPr>
        <w:keepLines/>
        <w:spacing w:after="60" w:before="0" w:line="240" w:lineRule="auto"/>
        <w:jc w:val="left"/>
      </w:pPr>
      <w:r>
        <w:rPr>
          <w:rFonts w:ascii="Quicksand Light" w:cs="Quicksand Light" w:eastAsia="Quicksand Light" w:hAnsi="Quicksand Light"/>
          <w:color w:val="615F59"/>
          <w:sz w:val="14"/>
          <w:szCs w:val="14"/>
        </w:rPr>
        <w:t xml:space="preserve">Reported IFRS, parent share. Revenue excludes concession subsidiaries’ construction work. Growth from unrounded figures. Sources: </w:t>
      </w:r>
      <w:r>
        <w:rPr>
          <w:rFonts w:ascii="Quicksand Light" w:cs="Quicksand Light" w:eastAsia="Quicksand Light" w:hAnsi="Quicksand Light"/>
          <w:color w:val="615F59"/>
          <w:sz w:val="11"/>
          <w:szCs w:val="11"/>
        </w:rPr>
        <w:t xml:space="preserve">[</w:t>
      </w:r>
      <w:hyperlink w:history="1" w:anchor="src_V1">
        <w:r>
          <w:rPr>
            <w:rFonts w:ascii="Quicksand Light" w:cs="Quicksand Light" w:eastAsia="Quicksand Light" w:hAnsi="Quicksand Light"/>
            <w:color w:val="615F59"/>
            <w:sz w:val="11"/>
            <w:szCs w:val="11"/>
          </w:rPr>
          <w:t xml:space="preserve">V1</w:t>
        </w:r>
      </w:hyperlink>
      <w:r>
        <w:rPr>
          <w:rFonts w:ascii="Quicksand Light" w:cs="Quicksand Light" w:eastAsia="Quicksand Light" w:hAnsi="Quicksand Light"/>
          <w:color w:val="615F59"/>
          <w:sz w:val="11"/>
          <w:szCs w:val="11"/>
        </w:rPr>
        <w:t xml:space="preserve">, </w:t>
      </w:r>
      <w:hyperlink w:history="1" w:anchor="src_V8">
        <w:r>
          <w:rPr>
            <w:rFonts w:ascii="Quicksand Light" w:cs="Quicksand Light" w:eastAsia="Quicksand Light" w:hAnsi="Quicksand Light"/>
            <w:color w:val="615F59"/>
            <w:sz w:val="11"/>
            <w:szCs w:val="11"/>
          </w:rPr>
          <w:t xml:space="preserve">V8</w:t>
        </w:r>
      </w:hyperlink>
      <w:r>
        <w:rPr>
          <w:rFonts w:ascii="Quicksand Light" w:cs="Quicksand Light" w:eastAsia="Quicksand Light" w:hAnsi="Quicksand Light"/>
          <w:color w:val="615F59"/>
          <w:sz w:val="11"/>
          <w:szCs w:val="11"/>
        </w:rPr>
        <w:t xml:space="preserve">]</w:t>
      </w:r>
      <w:r>
        <w:rPr>
          <w:rFonts w:ascii="Quicksand Light" w:cs="Quicksand Light" w:eastAsia="Quicksand Light" w:hAnsi="Quicksand Light"/>
          <w:color w:val="615F59"/>
          <w:sz w:val="14"/>
          <w:szCs w:val="14"/>
        </w:rPr>
        <w:t xml:space="preserve">.</w:t>
      </w:r>
    </w:p>
    <w:p>
      <w:pPr>
        <w:keepNext/>
        <w:spacing w:after="30" w:before="30" w:line="240" w:lineRule="auto"/>
        <w:jc w:val="center"/>
      </w:pPr>
      <w:r>
        <w:drawing>
          <wp:inline distT="0" distB="0" distL="0" distR="0">
            <wp:extent cx="6309360" cy="1353312"/>
            <wp:effectExtent t="0" r="0" b="0" l="0"/>
            <wp:docPr id="1" name="vinci.png" descr="Bar charts of revenue and reported net profit" title="Revenue and net profi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09360" cy="1353312"/>
                    </a:xfrm>
                    <a:prstGeom prst="rect">
                      <a:avLst/>
                    </a:prstGeom>
                  </pic:spPr>
                </pic:pic>
              </a:graphicData>
            </a:graphic>
          </wp:inline>
        </w:drawing>
      </w:r>
    </w:p>
    <w:p>
      <w:pPr>
        <w:keepLines/>
        <w:spacing w:after="70" w:before="0" w:line="240" w:lineRule="auto"/>
        <w:jc w:val="both"/>
      </w:pPr>
      <w:r>
        <w:rPr>
          <w:rFonts w:ascii="Quicksand Light" w:cs="Quicksand Light" w:eastAsia="Quicksand Light" w:hAnsi="Quicksand Light"/>
          <w:color w:val="000000"/>
          <w:sz w:val="18"/>
          <w:szCs w:val="18"/>
        </w:rPr>
        <w:t xml:space="preserve">Revenue growth is steady but modest (2025 organic: 2.6%) </w:t>
      </w:r>
      <w:r>
        <w:rPr>
          <w:rFonts w:ascii="Quicksand Light" w:cs="Quicksand Light" w:eastAsia="Quicksand Light" w:hAnsi="Quicksand Light"/>
          <w:color w:val="615F59"/>
          <w:sz w:val="15"/>
          <w:szCs w:val="15"/>
        </w:rPr>
        <w:t xml:space="preserve">[</w:t>
      </w:r>
      <w:hyperlink w:history="1" w:anchor="src_V1">
        <w:r>
          <w:rPr>
            <w:rFonts w:ascii="Quicksand Light" w:cs="Quicksand Light" w:eastAsia="Quicksand Light" w:hAnsi="Quicksand Light"/>
            <w:color w:val="615F59"/>
            <w:sz w:val="15"/>
            <w:szCs w:val="15"/>
          </w:rPr>
          <w:t xml:space="preserve">V1</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The </w:t>
      </w:r>
      <w:r>
        <w:rPr>
          <w:rFonts w:ascii="Quicksand Medium" w:cs="Quicksand Medium" w:eastAsia="Quicksand Medium" w:hAnsi="Quicksand Medium"/>
          <w:color w:val="000000"/>
          <w:sz w:val="18"/>
          <w:szCs w:val="18"/>
        </w:rPr>
        <w:t xml:space="preserve">€449m exceptional French corporate surtax</w:t>
      </w:r>
      <w:r>
        <w:rPr>
          <w:rFonts w:ascii="Quicksand Light" w:cs="Quicksand Light" w:eastAsia="Quicksand Light" w:hAnsi="Quicksand Light"/>
          <w:color w:val="000000"/>
          <w:sz w:val="18"/>
          <w:szCs w:val="18"/>
        </w:rPr>
        <w:t xml:space="preserve"> held 2025 reported diluted EPS growth to 2.6% (€8.65). </w:t>
      </w:r>
      <w:r>
        <w:rPr>
          <w:rFonts w:ascii="Quicksand Medium" w:cs="Quicksand Medium" w:eastAsia="Quicksand Medium" w:hAnsi="Quicksand Medium"/>
          <w:color w:val="000000"/>
          <w:sz w:val="18"/>
          <w:szCs w:val="18"/>
        </w:rPr>
        <w:t xml:space="preserve">Adjusted (company non-IFRS):</w:t>
      </w:r>
      <w:r>
        <w:rPr>
          <w:rFonts w:ascii="Quicksand Light" w:cs="Quicksand Light" w:eastAsia="Quicksand Light" w:hAnsi="Quicksand Light"/>
          <w:color w:val="000000"/>
          <w:sz w:val="18"/>
          <w:szCs w:val="18"/>
        </w:rPr>
        <w:t xml:space="preserve"> excluding the surtax, net income was €5.35bn and EPS €9.44, up 12% </w:t>
      </w:r>
      <w:r>
        <w:rPr>
          <w:rFonts w:ascii="Quicksand Light" w:cs="Quicksand Light" w:eastAsia="Quicksand Light" w:hAnsi="Quicksand Light"/>
          <w:color w:val="615F59"/>
          <w:sz w:val="15"/>
          <w:szCs w:val="15"/>
        </w:rPr>
        <w:t xml:space="preserve">[</w:t>
      </w:r>
      <w:hyperlink w:history="1" w:anchor="src_V1">
        <w:r>
          <w:rPr>
            <w:rFonts w:ascii="Quicksand Light" w:cs="Quicksand Light" w:eastAsia="Quicksand Light" w:hAnsi="Quicksand Light"/>
            <w:color w:val="615F59"/>
            <w:sz w:val="15"/>
            <w:szCs w:val="15"/>
          </w:rPr>
          <w:t xml:space="preserve">V1</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We do not treat €9.44 as the run rate: Article 12 of the 2026 Finance Law extended the surtax, VINCI booked €323m of it in H1 2026 (about 75% of its 2026 estimate), and the draft 2027 budget proposes another year </w:t>
      </w:r>
      <w:r>
        <w:rPr>
          <w:rFonts w:ascii="Quicksand Light" w:cs="Quicksand Light" w:eastAsia="Quicksand Light" w:hAnsi="Quicksand Light"/>
          <w:color w:val="615F59"/>
          <w:sz w:val="15"/>
          <w:szCs w:val="15"/>
        </w:rPr>
        <w:t xml:space="preserve">[</w:t>
      </w:r>
      <w:hyperlink w:history="1" w:anchor="src_V3">
        <w:r>
          <w:rPr>
            <w:rFonts w:ascii="Quicksand Light" w:cs="Quicksand Light" w:eastAsia="Quicksand Light" w:hAnsi="Quicksand Light"/>
            <w:color w:val="615F59"/>
            <w:sz w:val="15"/>
            <w:szCs w:val="15"/>
          </w:rPr>
          <w:t xml:space="preserve">V3</w:t>
        </w:r>
      </w:hyperlink>
      <w:r>
        <w:rPr>
          <w:rFonts w:ascii="Quicksand Light" w:cs="Quicksand Light" w:eastAsia="Quicksand Light" w:hAnsi="Quicksand Light"/>
          <w:color w:val="615F59"/>
          <w:sz w:val="15"/>
          <w:szCs w:val="15"/>
        </w:rPr>
        <w:t xml:space="preserve">, </w:t>
      </w:r>
      <w:hyperlink w:history="1" w:anchor="src_V6">
        <w:r>
          <w:rPr>
            <w:rFonts w:ascii="Quicksand Light" w:cs="Quicksand Light" w:eastAsia="Quicksand Light" w:hAnsi="Quicksand Light"/>
            <w:color w:val="615F59"/>
            <w:sz w:val="15"/>
            <w:szCs w:val="15"/>
          </w:rPr>
          <w:t xml:space="preserve">V6</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w:t>
      </w:r>
    </w:p>
    <w:p>
      <w:pPr>
        <w:keepLines/>
        <w:spacing w:after="70" w:before="0" w:line="240" w:lineRule="auto"/>
        <w:jc w:val="both"/>
      </w:pPr>
      <w:r>
        <w:rPr>
          <w:rFonts w:ascii="Quicksand Medium" w:cs="Quicksand Medium" w:eastAsia="Quicksand Medium" w:hAnsi="Quicksand Medium"/>
          <w:color w:val="000000"/>
          <w:sz w:val="18"/>
          <w:szCs w:val="18"/>
        </w:rPr>
        <w:t xml:space="preserve">Guidance (22 October 2026):</w:t>
      </w:r>
      <w:r>
        <w:rPr>
          <w:rFonts w:ascii="Quicksand Light" w:cs="Quicksand Light" w:eastAsia="Quicksand Light" w:hAnsi="Quicksand Light"/>
          <w:color w:val="000000"/>
          <w:sz w:val="18"/>
          <w:szCs w:val="18"/>
        </w:rPr>
        <w:t xml:space="preserve"> further growth in 2026 revenue, operating income and net income, and free cash flow of about €6bn, </w:t>
      </w:r>
      <w:r>
        <w:rPr>
          <w:rFonts w:ascii="Quicksand Medium" w:cs="Quicksand Medium" w:eastAsia="Quicksand Medium" w:hAnsi="Quicksand Medium"/>
          <w:color w:val="000000"/>
          <w:sz w:val="18"/>
          <w:szCs w:val="18"/>
        </w:rPr>
        <w:t xml:space="preserve">excluding a possible TEITLD increase</w:t>
      </w:r>
      <w:r>
        <w:rPr>
          <w:rFonts w:ascii="Quicksand Light" w:cs="Quicksand Light" w:eastAsia="Quicksand Light" w:hAnsi="Quicksand Light"/>
          <w:color w:val="000000"/>
          <w:sz w:val="18"/>
          <w:szCs w:val="18"/>
        </w:rPr>
        <w:t xml:space="preserve"> that VINCI estimates at about €450m charged to 2026 earnings and payable in 2027 </w:t>
      </w:r>
      <w:r>
        <w:rPr>
          <w:rFonts w:ascii="Quicksand Light" w:cs="Quicksand Light" w:eastAsia="Quicksand Light" w:hAnsi="Quicksand Light"/>
          <w:color w:val="615F59"/>
          <w:sz w:val="15"/>
          <w:szCs w:val="15"/>
        </w:rPr>
        <w:t xml:space="preserve">[</w:t>
      </w:r>
      <w:hyperlink w:history="1" w:anchor="src_V4">
        <w:r>
          <w:rPr>
            <w:rFonts w:ascii="Quicksand Light" w:cs="Quicksand Light" w:eastAsia="Quicksand Light" w:hAnsi="Quicksand Light"/>
            <w:color w:val="615F59"/>
            <w:sz w:val="15"/>
            <w:szCs w:val="15"/>
          </w:rPr>
          <w:t xml:space="preserve">V4</w:t>
        </w:r>
      </w:hyperlink>
      <w:r>
        <w:rPr>
          <w:rFonts w:ascii="Quicksand Light" w:cs="Quicksand Light" w:eastAsia="Quicksand Light" w:hAnsi="Quicksand Light"/>
          <w:color w:val="615F59"/>
          <w:sz w:val="15"/>
          <w:szCs w:val="15"/>
        </w:rPr>
        <w:t xml:space="preserve">, </w:t>
      </w:r>
      <w:hyperlink w:history="1" w:anchor="src_V5">
        <w:r>
          <w:rPr>
            <w:rFonts w:ascii="Quicksand Light" w:cs="Quicksand Light" w:eastAsia="Quicksand Light" w:hAnsi="Quicksand Light"/>
            <w:color w:val="615F59"/>
            <w:sz w:val="15"/>
            <w:szCs w:val="15"/>
          </w:rPr>
          <w:t xml:space="preserve">V5</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H1 2026 diluted EPS rose 11% to €3.70 </w:t>
      </w:r>
      <w:r>
        <w:rPr>
          <w:rFonts w:ascii="Quicksand Light" w:cs="Quicksand Light" w:eastAsia="Quicksand Light" w:hAnsi="Quicksand Light"/>
          <w:color w:val="615F59"/>
          <w:sz w:val="15"/>
          <w:szCs w:val="15"/>
        </w:rPr>
        <w:t xml:space="preserve">[</w:t>
      </w:r>
      <w:hyperlink w:history="1" w:anchor="src_V3">
        <w:r>
          <w:rPr>
            <w:rFonts w:ascii="Quicksand Light" w:cs="Quicksand Light" w:eastAsia="Quicksand Light" w:hAnsi="Quicksand Light"/>
            <w:color w:val="615F59"/>
            <w:sz w:val="15"/>
            <w:szCs w:val="15"/>
          </w:rPr>
          <w:t xml:space="preserve">V3</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The levy and the surtax are separate items; their persistence into 2027 is our assumption.</w:t>
      </w:r>
    </w:p>
    <w:p>
      <w:pPr>
        <w:keepNext/>
        <w:keepLines/>
        <w:spacing w:after="50" w:before="110"/>
      </w:pPr>
      <w:r>
        <w:rPr>
          <w:rFonts w:ascii="Agus Sans" w:cs="Agus Sans" w:eastAsia="Agus Sans" w:hAnsi="Agus Sans"/>
          <w:color w:val="790E17"/>
          <w:sz w:val="20"/>
          <w:szCs w:val="20"/>
        </w:rPr>
        <w:t xml:space="preserve">5  VALUATION AND RISKS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050"/>
        <w:gridCol w:w="5026"/>
        <w:gridCol w:w="700"/>
        <w:gridCol w:w="1100"/>
        <w:gridCol w:w="1300"/>
      </w:tblGrid>
      <w:tr>
        <w:trPr>
          <w:cantSplit/>
          <w:tblHeader/>
        </w:trPr>
        <w:tc>
          <w:tcPr>
            <w:tcW w:type="dxa" w:w="76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Case</w:t>
            </w:r>
          </w:p>
        </w:tc>
        <w:tc>
          <w:tcPr>
            <w:tcW w:type="dxa" w:w="105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FY2027 EPS</w:t>
            </w:r>
          </w:p>
        </w:tc>
        <w:tc>
          <w:tcPr>
            <w:tcW w:type="dxa" w:w="5026"/>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Key assumptions (EPS = reported IFRS diluted)</w:t>
            </w:r>
          </w:p>
        </w:tc>
        <w:tc>
          <w:tcPr>
            <w:tcW w:type="dxa" w:w="7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P/E</w:t>
            </w:r>
          </w:p>
        </w:tc>
        <w:tc>
          <w:tcPr>
            <w:tcW w:type="dxa" w:w="11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Value</w:t>
            </w:r>
          </w:p>
        </w:tc>
        <w:tc>
          <w:tcPr>
            <w:tcW w:type="dxa" w:w="13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vs €108.30</w:t>
            </w:r>
          </w:p>
        </w:tc>
      </w:tr>
      <w:tr>
        <w:trPr>
          <w:cantSplit/>
        </w:trPr>
        <w:tc>
          <w:tcPr>
            <w:tcW w:type="dxa" w:w="76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Bear</w:t>
            </w:r>
          </w:p>
        </w:tc>
        <w:tc>
          <w:tcPr>
            <w:tcW w:type="dxa" w:w="10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€8.24</w:t>
            </w:r>
          </w:p>
        </w:tc>
        <w:tc>
          <w:tcPr>
            <w:tcW w:type="dxa" w:w="502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Underlying growth +2% a year; surtax and levy both apply</w:t>
            </w:r>
          </w:p>
        </w:tc>
        <w:tc>
          <w:tcPr>
            <w:tcW w:type="dxa" w:w="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11.0x</w:t>
            </w:r>
          </w:p>
        </w:tc>
        <w:tc>
          <w:tcPr>
            <w:tcW w:type="dxa" w:w="1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€90.64</w:t>
            </w:r>
          </w:p>
        </w:tc>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−16.3%</w:t>
            </w:r>
          </w:p>
        </w:tc>
      </w:tr>
      <w:tr>
        <w:trPr>
          <w:cantSplit/>
        </w:trPr>
        <w:tc>
          <w:tcPr>
            <w:tcW w:type="dxa" w:w="76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Base</w:t>
            </w:r>
          </w:p>
        </w:tc>
        <w:tc>
          <w:tcPr>
            <w:tcW w:type="dxa" w:w="105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€8.72</w:t>
            </w:r>
          </w:p>
        </w:tc>
        <w:tc>
          <w:tcPr>
            <w:tcW w:type="dxa" w:w="5026"/>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Underlying growth +4.5% a year; surtax and levy both apply</w:t>
            </w:r>
          </w:p>
        </w:tc>
        <w:tc>
          <w:tcPr>
            <w:tcW w:type="dxa" w:w="7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13.5x</w:t>
            </w:r>
          </w:p>
        </w:tc>
        <w:tc>
          <w:tcPr>
            <w:tcW w:type="dxa" w:w="11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€117.72</w:t>
            </w:r>
          </w:p>
        </w:tc>
        <w:tc>
          <w:tcPr>
            <w:tcW w:type="dxa" w:w="13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+8.7%</w:t>
            </w:r>
          </w:p>
        </w:tc>
      </w:tr>
      <w:tr>
        <w:trPr>
          <w:cantSplit/>
        </w:trPr>
        <w:tc>
          <w:tcPr>
            <w:tcW w:type="dxa" w:w="76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Bull</w:t>
            </w:r>
          </w:p>
        </w:tc>
        <w:tc>
          <w:tcPr>
            <w:tcW w:type="dxa" w:w="10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€9.82</w:t>
            </w:r>
          </w:p>
        </w:tc>
        <w:tc>
          <w:tcPr>
            <w:tcW w:type="dxa" w:w="502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Underlying growth +6% a year; surtax lapses, levy applies</w:t>
            </w:r>
          </w:p>
        </w:tc>
        <w:tc>
          <w:tcPr>
            <w:tcW w:type="dxa" w:w="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13.8x</w:t>
            </w:r>
          </w:p>
        </w:tc>
        <w:tc>
          <w:tcPr>
            <w:tcW w:type="dxa" w:w="1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€135.52</w:t>
            </w:r>
          </w:p>
        </w:tc>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+25.1%</w:t>
            </w:r>
          </w:p>
        </w:tc>
      </w:tr>
    </w:tbl>
    <w:p>
      <w:pPr>
        <w:keepLines/>
        <w:spacing w:after="60" w:before="0" w:line="240" w:lineRule="auto"/>
        <w:jc w:val="left"/>
      </w:pPr>
      <w:r>
        <w:rPr>
          <w:rFonts w:ascii="Quicksand Light" w:cs="Quicksand Light" w:eastAsia="Quicksand Light" w:hAnsi="Quicksand Light"/>
          <w:color w:val="615F59"/>
          <w:sz w:val="14"/>
          <w:szCs w:val="14"/>
        </w:rPr>
        <w:t xml:space="preserve">Our scenarios, no probabilities: 2025 EPS ex-surtax (€9.44), two years of underlying growth, less €0.79/share per French tax item applying in 2027 (€449m or €450m ÷ 566.8m diluted shares implied by 2025 net profit ÷ EPS). No tax shield on the levy.</w:t>
      </w:r>
    </w:p>
    <w:p>
      <w:pPr>
        <w:keepLines/>
        <w:spacing w:after="70" w:before="0" w:line="240" w:lineRule="auto"/>
        <w:jc w:val="both"/>
      </w:pPr>
      <w:r>
        <w:rPr>
          <w:rFonts w:ascii="Quicksand Medium" w:cs="Quicksand Medium" w:eastAsia="Quicksand Medium" w:hAnsi="Quicksand Medium"/>
          <w:color w:val="000000"/>
          <w:sz w:val="18"/>
          <w:szCs w:val="18"/>
        </w:rPr>
        <w:t xml:space="preserve">Multiple.</w:t>
      </w:r>
      <w:r>
        <w:rPr>
          <w:rFonts w:ascii="Quicksand Light" w:cs="Quicksand Light" w:eastAsia="Quicksand Light" w:hAnsi="Quicksand Light"/>
          <w:color w:val="000000"/>
          <w:sz w:val="18"/>
          <w:szCs w:val="18"/>
        </w:rPr>
        <w:t xml:space="preserve"> The range is anchored on published year-end P/Es of about </w:t>
      </w:r>
      <w:r>
        <w:rPr>
          <w:rFonts w:ascii="Quicksand Medium" w:cs="Quicksand Medium" w:eastAsia="Quicksand Medium" w:hAnsi="Quicksand Medium"/>
          <w:color w:val="000000"/>
          <w:sz w:val="18"/>
          <w:szCs w:val="18"/>
        </w:rPr>
        <w:t xml:space="preserve">11.6–13.8x for 2022–2025</w:t>
      </w:r>
      <w:r>
        <w:rPr>
          <w:rFonts w:ascii="Quicksand Light" w:cs="Quicksand Light" w:eastAsia="Quicksand Light" w:hAnsi="Quicksand Light"/>
          <w:color w:val="000000"/>
          <w:sz w:val="18"/>
          <w:szCs w:val="18"/>
        </w:rPr>
        <w:t xml:space="preserve"> </w:t>
      </w:r>
      <w:r>
        <w:rPr>
          <w:rFonts w:ascii="Quicksand Light" w:cs="Quicksand Light" w:eastAsia="Quicksand Light" w:hAnsi="Quicksand Light"/>
          <w:color w:val="615F59"/>
          <w:sz w:val="15"/>
          <w:szCs w:val="15"/>
        </w:rPr>
        <w:t xml:space="preserve">[</w:t>
      </w:r>
      <w:hyperlink w:history="1" w:anchor="src_M4">
        <w:r>
          <w:rPr>
            <w:rFonts w:ascii="Quicksand Light" w:cs="Quicksand Light" w:eastAsia="Quicksand Light" w:hAnsi="Quicksand Light"/>
            <w:color w:val="615F59"/>
            <w:sz w:val="15"/>
            <w:szCs w:val="15"/>
          </w:rPr>
          <w:t xml:space="preserve">M4</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these are trailing, so 13.5x forward is generous. </w:t>
      </w:r>
      <w:r>
        <w:rPr>
          <w:rFonts w:ascii="Quicksand Medium" w:cs="Quicksand Medium" w:eastAsia="Quicksand Medium" w:hAnsi="Quicksand Medium"/>
          <w:color w:val="000000"/>
          <w:sz w:val="18"/>
          <w:szCs w:val="18"/>
        </w:rPr>
        <w:t xml:space="preserve">Revision:</w:t>
      </w:r>
      <w:r>
        <w:rPr>
          <w:rFonts w:ascii="Quicksand Light" w:cs="Quicksand Light" w:eastAsia="Quicksand Light" w:hAnsi="Quicksand Light"/>
          <w:color w:val="000000"/>
          <w:sz w:val="18"/>
          <w:szCs w:val="18"/>
        </w:rPr>
        <w:t xml:space="preserve"> our previous base (€9.50 × 13.5 = €128.25) assumed the surtax would disappear; the evidence points the other way, so the base falls to €117.72. </w:t>
      </w:r>
      <w:r>
        <w:rPr>
          <w:rFonts w:ascii="Quicksand Medium" w:cs="Quicksand Medium" w:eastAsia="Quicksand Medium" w:hAnsi="Quicksand Medium"/>
          <w:color w:val="000000"/>
          <w:sz w:val="18"/>
          <w:szCs w:val="18"/>
        </w:rPr>
        <w:t xml:space="preserve">Earnings versus rating:</w:t>
      </w:r>
      <w:r>
        <w:rPr>
          <w:rFonts w:ascii="Quicksand Light" w:cs="Quicksand Light" w:eastAsia="Quicksand Light" w:hAnsi="Quicksand Light"/>
          <w:color w:val="000000"/>
          <w:sz w:val="18"/>
          <w:szCs w:val="18"/>
        </w:rPr>
        <w:t xml:space="preserve"> at today’s 12.52x on reported 2025 EPS, €8.72 is worth €109.18 (+0.8%), so almost all of the 8.7% base gap is re-rating and the 4.6% dividend yield is the more dependable return. A press summary of Morgan Stanley research puts the levy at 9–12% of operators’ 2027 earnings </w:t>
      </w:r>
      <w:r>
        <w:rPr>
          <w:rFonts w:ascii="Quicksand Light" w:cs="Quicksand Light" w:eastAsia="Quicksand Light" w:hAnsi="Quicksand Light"/>
          <w:color w:val="615F59"/>
          <w:sz w:val="15"/>
          <w:szCs w:val="15"/>
        </w:rPr>
        <w:t xml:space="preserve">[</w:t>
      </w:r>
      <w:hyperlink w:history="1" w:anchor="src_V7">
        <w:r>
          <w:rPr>
            <w:rFonts w:ascii="Quicksand Light" w:cs="Quicksand Light" w:eastAsia="Quicksand Light" w:hAnsi="Quicksand Light"/>
            <w:color w:val="615F59"/>
            <w:sz w:val="15"/>
            <w:szCs w:val="15"/>
          </w:rPr>
          <w:t xml:space="preserve">V7</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our €0.79 is 8% of pre-levy EPS.</w:t>
      </w:r>
    </w:p>
    <w:p>
      <w:pPr>
        <w:keepLines/>
        <w:spacing w:after="70" w:before="0" w:line="240" w:lineRule="auto"/>
        <w:jc w:val="both"/>
      </w:pPr>
      <w:r>
        <w:rPr>
          <w:rFonts w:ascii="Quicksand Medium" w:cs="Quicksand Medium" w:eastAsia="Quicksand Medium" w:hAnsi="Quicksand Medium"/>
          <w:color w:val="000000"/>
          <w:sz w:val="18"/>
          <w:szCs w:val="18"/>
        </w:rPr>
        <w:t xml:space="preserve">Analysts.</w:t>
      </w:r>
      <w:r>
        <w:rPr>
          <w:rFonts w:ascii="Quicksand Light" w:cs="Quicksand Light" w:eastAsia="Quicksand Light" w:hAnsi="Quicksand Light"/>
          <w:color w:val="000000"/>
          <w:sz w:val="18"/>
          <w:szCs w:val="18"/>
        </w:rPr>
        <w:t xml:space="preserve"> Stock Analysis consensus (S&amp;P Global data, retrieved 29 October) is Buy, mean target €140.75 from 20 analysts </w:t>
      </w:r>
      <w:r>
        <w:rPr>
          <w:rFonts w:ascii="Quicksand Light" w:cs="Quicksand Light" w:eastAsia="Quicksand Light" w:hAnsi="Quicksand Light"/>
          <w:color w:val="615F59"/>
          <w:sz w:val="15"/>
          <w:szCs w:val="15"/>
        </w:rPr>
        <w:t xml:space="preserve">[</w:t>
      </w:r>
      <w:hyperlink w:history="1" w:anchor="src_M1">
        <w:r>
          <w:rPr>
            <w:rFonts w:ascii="Quicksand Light" w:cs="Quicksand Light" w:eastAsia="Quicksand Light" w:hAnsi="Quicksand Light"/>
            <w:color w:val="615F59"/>
            <w:sz w:val="15"/>
            <w:szCs w:val="15"/>
          </w:rPr>
          <w:t xml:space="preserve">M1</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VINCI’s coverage list includes at least one Sell </w:t>
      </w:r>
      <w:r>
        <w:rPr>
          <w:rFonts w:ascii="Quicksand Light" w:cs="Quicksand Light" w:eastAsia="Quicksand Light" w:hAnsi="Quicksand Light"/>
          <w:color w:val="615F59"/>
          <w:sz w:val="15"/>
          <w:szCs w:val="15"/>
        </w:rPr>
        <w:t xml:space="preserve">[</w:t>
      </w:r>
      <w:hyperlink w:history="1" w:anchor="src_V9">
        <w:r>
          <w:rPr>
            <w:rFonts w:ascii="Quicksand Light" w:cs="Quicksand Light" w:eastAsia="Quicksand Light" w:hAnsi="Quicksand Light"/>
            <w:color w:val="615F59"/>
            <w:sz w:val="15"/>
            <w:szCs w:val="15"/>
          </w:rPr>
          <w:t xml:space="preserve">V9</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These are consensus data, not full reports. </w:t>
      </w:r>
      <w:r>
        <w:rPr>
          <w:rFonts w:ascii="Quicksand Medium" w:cs="Quicksand Medium" w:eastAsia="Quicksand Medium" w:hAnsi="Quicksand Medium"/>
          <w:color w:val="000000"/>
          <w:sz w:val="18"/>
          <w:szCs w:val="18"/>
        </w:rPr>
        <w:t xml:space="preserve">Thesis-breaking risk:</w:t>
      </w:r>
      <w:r>
        <w:rPr>
          <w:rFonts w:ascii="Quicksand Light" w:cs="Quicksand Light" w:eastAsia="Quicksand Light" w:hAnsi="Quicksand Light"/>
          <w:color w:val="000000"/>
          <w:sz w:val="18"/>
          <w:szCs w:val="18"/>
        </w:rPr>
        <w:t xml:space="preserve"> French fiscal extraction from concessions that stops growth reaching shareholders. </w:t>
      </w:r>
      <w:r>
        <w:rPr>
          <w:rFonts w:ascii="Quicksand Medium" w:cs="Quicksand Medium" w:eastAsia="Quicksand Medium" w:hAnsi="Quicksand Medium"/>
          <w:color w:val="000000"/>
          <w:sz w:val="18"/>
          <w:szCs w:val="18"/>
        </w:rPr>
        <w:t xml:space="preserve">Next evidence:</w:t>
      </w:r>
      <w:r>
        <w:rPr>
          <w:rFonts w:ascii="Quicksand Light" w:cs="Quicksand Light" w:eastAsia="Quicksand Light" w:hAnsi="Quicksand Light"/>
          <w:color w:val="000000"/>
          <w:sz w:val="18"/>
          <w:szCs w:val="18"/>
        </w:rPr>
        <w:t xml:space="preserve"> the final 2027 Finance Law, then FY2026 results (February 2027) for actual tax charges and cash conversion.</w:t>
      </w:r>
    </w:p>
    <w:p>
      <w:pPr>
        <w:keepNext/>
        <w:keepLines/>
        <w:spacing w:after="50" w:before="110"/>
      </w:pPr>
      <w:r>
        <w:rPr>
          <w:rFonts w:ascii="Agus Sans" w:cs="Agus Sans" w:eastAsia="Agus Sans" w:hAnsi="Agus Sans"/>
          <w:color w:val="790E17"/>
          <w:sz w:val="20"/>
          <w:szCs w:val="20"/>
        </w:rPr>
        <w:t xml:space="preserve">6  INVESTMENT PHILOSOPHY FIT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968"/>
        <w:gridCol w:w="2000"/>
        <w:gridCol w:w="2968"/>
      </w:tblGrid>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EPS growth ≥10% a year</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C21A27"/>
                <w:sz w:val="15"/>
                <w:szCs w:val="15"/>
              </w:rPr>
              <w:t xml:space="preserve">FAIL</w:t>
            </w:r>
            <w:r>
              <w:rPr>
                <w:rFonts w:ascii="Quicksand Light" w:cs="Quicksand Light" w:eastAsia="Quicksand Light" w:hAnsi="Quicksand Light"/>
                <w:color w:val="000000"/>
                <w:sz w:val="15"/>
                <w:szCs w:val="15"/>
              </w:rPr>
              <w:t xml:space="preserve">  2025 reported +2.6%</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Net margin &gt;17.5%</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C21A27"/>
                <w:sz w:val="15"/>
                <w:szCs w:val="15"/>
              </w:rPr>
              <w:t xml:space="preserve">FAIL</w:t>
            </w:r>
            <w:r>
              <w:rPr>
                <w:rFonts w:ascii="Quicksand Light" w:cs="Quicksand Light" w:eastAsia="Quicksand Light" w:hAnsi="Quicksand Light"/>
                <w:color w:val="000000"/>
                <w:sz w:val="15"/>
                <w:szCs w:val="15"/>
              </w:rPr>
              <w:t xml:space="preserve">  6.6% in 2025, structural</w:t>
            </w:r>
          </w:p>
        </w:tc>
      </w:tr>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ROE &gt;15%</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615F59"/>
                <w:sz w:val="15"/>
                <w:szCs w:val="15"/>
              </w:rPr>
              <w:t xml:space="preserve">UNVERIFIED</w:t>
            </w:r>
            <w:r>
              <w:rPr>
                <w:rFonts w:ascii="Quicksand Light" w:cs="Quicksand Light" w:eastAsia="Quicksand Light" w:hAnsi="Quicksand Light"/>
                <w:color w:val="000000"/>
                <w:sz w:val="15"/>
                <w:szCs w:val="15"/>
              </w:rPr>
              <w:t xml:space="preserve">  not rebuilt from accounts</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Debt/equity &lt;1.5</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615F59"/>
                <w:sz w:val="15"/>
                <w:szCs w:val="15"/>
              </w:rPr>
              <w:t xml:space="preserve">UNVERIFIED</w:t>
            </w:r>
            <w:r>
              <w:rPr>
                <w:rFonts w:ascii="Quicksand Light" w:cs="Quicksand Light" w:eastAsia="Quicksand Light" w:hAnsi="Quicksand Light"/>
                <w:color w:val="000000"/>
                <w:sz w:val="15"/>
                <w:szCs w:val="15"/>
              </w:rPr>
              <w:t xml:space="preserve">  net debt €19.1bn; ratio not rebuilt</w:t>
            </w:r>
          </w:p>
        </w:tc>
      </w:tr>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Rising interest coverage</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615F59"/>
                <w:sz w:val="15"/>
                <w:szCs w:val="15"/>
              </w:rPr>
              <w:t xml:space="preserve">UNVERIFIED</w:t>
            </w:r>
            <w:r>
              <w:rPr>
                <w:rFonts w:ascii="Quicksand Light" w:cs="Quicksand Light" w:eastAsia="Quicksand Light" w:hAnsi="Quicksand Light"/>
                <w:color w:val="000000"/>
                <w:sz w:val="15"/>
                <w:szCs w:val="15"/>
              </w:rPr>
              <w:t xml:space="preserve">  five-year series not built</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Positive, growing FCF</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615F59"/>
                <w:sz w:val="15"/>
                <w:szCs w:val="15"/>
              </w:rPr>
              <w:t xml:space="preserve">AT RISK</w:t>
            </w:r>
            <w:r>
              <w:rPr>
                <w:rFonts w:ascii="Quicksand Light" w:cs="Quicksand Light" w:eastAsia="Quicksand Light" w:hAnsi="Quicksand Light"/>
                <w:color w:val="000000"/>
                <w:sz w:val="15"/>
                <w:szCs w:val="15"/>
              </w:rPr>
              <w:t xml:space="preserve">  €7.0bn in 2025; 2026 guide about €6bn</w:t>
            </w:r>
          </w:p>
        </w:tc>
      </w:tr>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790E17"/>
                <w:sz w:val="15"/>
                <w:szCs w:val="15"/>
              </w:rPr>
              <w:t xml:space="preserve">P/E and P/B below industry</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615F59"/>
                <w:sz w:val="15"/>
                <w:szCs w:val="15"/>
              </w:rPr>
              <w:t xml:space="preserve">NOT ESTABLISHED</w:t>
            </w:r>
            <w:r>
              <w:rPr>
                <w:rFonts w:ascii="Quicksand Light" w:cs="Quicksand Light" w:eastAsia="Quicksand Light" w:hAnsi="Quicksand Light"/>
                <w:color w:val="000000"/>
                <w:sz w:val="15"/>
                <w:szCs w:val="15"/>
              </w:rPr>
              <w:t xml:space="preserve">  no defined peer set</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790E17"/>
                <w:sz w:val="15"/>
                <w:szCs w:val="15"/>
              </w:rPr>
              <w:t xml:space="preserve">Sector preference</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615F59"/>
                <w:sz w:val="15"/>
                <w:szCs w:val="15"/>
              </w:rPr>
              <w:t xml:space="preserve">NOT PREFERRED</w:t>
            </w:r>
            <w:r>
              <w:rPr>
                <w:rFonts w:ascii="Quicksand Light" w:cs="Quicksand Light" w:eastAsia="Quicksand Light" w:hAnsi="Quicksand Light"/>
                <w:color w:val="000000"/>
                <w:sz w:val="15"/>
                <w:szCs w:val="15"/>
              </w:rPr>
              <w:t xml:space="preserve">  Industrials (preference only)</w:t>
            </w:r>
          </w:p>
        </w:tc>
      </w:tr>
    </w:tbl>
    <w:p>
      <w:pPr>
        <w:keepLines/>
        <w:spacing w:after="70" w:before="60" w:line="240" w:lineRule="auto"/>
        <w:jc w:val="both"/>
      </w:pPr>
      <w:r>
        <w:rPr>
          <w:rFonts w:ascii="Quicksand Medium" w:cs="Quicksand Medium" w:eastAsia="Quicksand Medium" w:hAnsi="Quicksand Medium"/>
          <w:color w:val="000000"/>
          <w:sz w:val="18"/>
          <w:szCs w:val="18"/>
        </w:rPr>
        <w:t xml:space="preserve">Attractiveness versus eligibility.</w:t>
      </w:r>
      <w:r>
        <w:rPr>
          <w:rFonts w:ascii="Quicksand Light" w:cs="Quicksand Light" w:eastAsia="Quicksand Light" w:hAnsi="Quicksand Light"/>
          <w:color w:val="000000"/>
          <w:sz w:val="18"/>
          <w:szCs w:val="18"/>
        </w:rPr>
        <w:t xml:space="preserve"> VINCI is the cheapest of the three with the highest yield, but </w:t>
      </w:r>
      <w:r>
        <w:rPr>
          <w:rFonts w:ascii="Quicksand Medium" w:cs="Quicksand Medium" w:eastAsia="Quicksand Medium" w:hAnsi="Quicksand Medium"/>
          <w:color w:val="000000"/>
          <w:sz w:val="18"/>
          <w:szCs w:val="18"/>
        </w:rPr>
        <w:t xml:space="preserve">fails two hard rules</w:t>
      </w:r>
      <w:r>
        <w:rPr>
          <w:rFonts w:ascii="Quicksand Light" w:cs="Quicksand Light" w:eastAsia="Quicksand Light" w:hAnsi="Quicksand Light"/>
          <w:color w:val="000000"/>
          <w:sz w:val="18"/>
          <w:szCs w:val="18"/>
        </w:rPr>
        <w:t xml:space="preserve">. The margin failure is structural (no plausible mix change lifts a contracting-led group from 6.6% to 17.5%), so mandatory rules exclude it at any price. Governance and ESG reviews are open.</w:t>
      </w:r>
    </w:p>
    <w:p>
      <w:pPr>
        <w:keepNext/>
        <w:pageBreakBefore/>
        <w:spacing w:after="20" w:before="0"/>
      </w:pPr>
      <w:r>
        <w:rPr>
          <w:rFonts w:ascii="Agus Sans" w:cs="Agus Sans" w:eastAsia="Agus Sans" w:hAnsi="Agus Sans"/>
          <w:color w:val="C21A27"/>
          <w:sz w:val="30"/>
          <w:szCs w:val="30"/>
        </w:rPr>
        <w:t xml:space="preserve">COPART</w:t>
      </w:r>
    </w:p>
    <w:p>
      <w:pPr>
        <w:keepNext/>
        <w:pBdr>
          <w:bottom w:val="single" w:color="C21A27" w:sz="6" w:space="3"/>
        </w:pBdr>
        <w:spacing w:after="100" w:before="0"/>
      </w:pPr>
      <w:r>
        <w:rPr>
          <w:rFonts w:ascii="Agus Sans" w:cs="Agus Sans" w:eastAsia="Agus Sans" w:hAnsi="Agus Sans"/>
          <w:color w:val="615F59"/>
          <w:sz w:val="16"/>
          <w:szCs w:val="16"/>
        </w:rPr>
        <w:t xml:space="preserve">CPRT  |  NASDAQ  |  INDUSTRIALS: ONLINE VEHICLE AUCTIONS AND REMARKETING  |  FISCAL YEAR TO 31 JULY</w:t>
      </w:r>
    </w:p>
    <w:p>
      <w:pPr>
        <w:keepNext/>
        <w:keepLines/>
        <w:spacing w:after="50" w:before="110"/>
      </w:pPr>
      <w:r>
        <w:rPr>
          <w:rFonts w:ascii="Agus Sans" w:cs="Agus Sans" w:eastAsia="Agus Sans" w:hAnsi="Agus Sans"/>
          <w:color w:val="790E17"/>
          <w:sz w:val="20"/>
          <w:szCs w:val="20"/>
        </w:rPr>
        <w:t xml:space="preserve">1  RECOMMENDATION AT A GLANCE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8036"/>
      </w:tblGrid>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PRICE AND DATE</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000000"/>
                <w:sz w:val="17"/>
                <w:szCs w:val="17"/>
              </w:rPr>
              <w:t xml:space="preserve">$28.96</w:t>
            </w:r>
            <w:r>
              <w:rPr>
                <w:rFonts w:ascii="Quicksand Light" w:cs="Quicksand Light" w:eastAsia="Quicksand Light" w:hAnsi="Quicksand Light"/>
                <w:color w:val="000000"/>
                <w:sz w:val="17"/>
                <w:szCs w:val="17"/>
              </w:rPr>
              <w:t xml:space="preserve">, regular-session close on 28 October 2026 </w:t>
            </w:r>
            <w:r>
              <w:rPr>
                <w:rFonts w:ascii="Quicksand Light" w:cs="Quicksand Light" w:eastAsia="Quicksand Light" w:hAnsi="Quicksand Light"/>
                <w:color w:val="615F59"/>
                <w:sz w:val="14"/>
                <w:szCs w:val="14"/>
              </w:rPr>
              <w:t xml:space="preserve">[</w:t>
            </w:r>
            <w:hyperlink w:history="1" w:anchor="src_M7">
              <w:r>
                <w:rPr>
                  <w:rFonts w:ascii="Quicksand Light" w:cs="Quicksand Light" w:eastAsia="Quicksand Light" w:hAnsi="Quicksand Light"/>
                  <w:color w:val="615F59"/>
                  <w:sz w:val="14"/>
                  <w:szCs w:val="14"/>
                </w:rPr>
                <w:t xml:space="preserve">M7</w:t>
              </w:r>
            </w:hyperlink>
            <w:r>
              <w:rPr>
                <w:rFonts w:ascii="Quicksand Light" w:cs="Quicksand Light" w:eastAsia="Quicksand Light" w:hAnsi="Quicksand Light"/>
                <w:color w:val="615F59"/>
                <w:sz w:val="14"/>
                <w:szCs w:val="14"/>
              </w:rPr>
              <w:t xml:space="preserve">]</w:t>
            </w:r>
            <w:r>
              <w:rPr>
                <w:rFonts w:ascii="Quicksand Light" w:cs="Quicksand Light" w:eastAsia="Quicksand Light" w:hAnsi="Quicksand Light"/>
                <w:color w:val="000000"/>
                <w:sz w:val="17"/>
                <w:szCs w:val="17"/>
              </w:rPr>
              <w:t xml:space="preserve">. That is 18.7x FY2026 diluted EPS of $1.55 </w:t>
            </w:r>
            <w:r>
              <w:rPr>
                <w:rFonts w:ascii="Quicksand Light" w:cs="Quicksand Light" w:eastAsia="Quicksand Light" w:hAnsi="Quicksand Light"/>
                <w:color w:val="615F59"/>
                <w:sz w:val="14"/>
                <w:szCs w:val="14"/>
              </w:rPr>
              <w:t xml:space="preserve">[</w:t>
            </w:r>
            <w:hyperlink w:history="1" w:anchor="src_C2">
              <w:r>
                <w:rPr>
                  <w:rFonts w:ascii="Quicksand Light" w:cs="Quicksand Light" w:eastAsia="Quicksand Light" w:hAnsi="Quicksand Light"/>
                  <w:color w:val="615F59"/>
                  <w:sz w:val="14"/>
                  <w:szCs w:val="14"/>
                </w:rPr>
                <w:t xml:space="preserve">C2</w:t>
              </w:r>
            </w:hyperlink>
            <w:r>
              <w:rPr>
                <w:rFonts w:ascii="Quicksand Light" w:cs="Quicksand Light" w:eastAsia="Quicksand Light" w:hAnsi="Quicksand Light"/>
                <w:color w:val="615F59"/>
                <w:sz w:val="14"/>
                <w:szCs w:val="14"/>
              </w:rPr>
              <w:t xml:space="preserve">]</w:t>
            </w:r>
            <w:r>
              <w:rPr>
                <w:rFonts w:ascii="Quicksand Light" w:cs="Quicksand Light" w:eastAsia="Quicksand Light" w:hAnsi="Quicksand Light"/>
                <w:color w:val="000000"/>
                <w:sz w:val="17"/>
                <w:szCs w:val="17"/>
              </w:rPr>
              <w:t xml:space="preserve">. No dividend.</w:t>
            </w:r>
          </w:p>
        </w:tc>
      </w:tr>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STATUS</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000000"/>
                <w:sz w:val="17"/>
                <w:szCs w:val="17"/>
              </w:rPr>
              <w:t xml:space="preserve">Priority 1: advance to deeper research, not yet a BUY.</w:t>
            </w:r>
            <w:r>
              <w:rPr>
                <w:rFonts w:ascii="Quicksand Light" w:cs="Quicksand Light" w:eastAsia="Quicksand Light" w:hAnsi="Quicksand Light"/>
                <w:color w:val="000000"/>
                <w:sz w:val="17"/>
                <w:szCs w:val="17"/>
              </w:rPr>
              <w:t xml:space="preserve"> It is the closest of the three to eligibility, but the recovery our valuation needs is not yet evidenced.</w:t>
            </w:r>
          </w:p>
        </w:tc>
      </w:tr>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STRONGEST REASON FOR</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7"/>
                <w:szCs w:val="17"/>
              </w:rPr>
              <w:t xml:space="preserve">The best economics of the three: a </w:t>
            </w:r>
            <w:r>
              <w:rPr>
                <w:rFonts w:ascii="Quicksand Medium" w:cs="Quicksand Medium" w:eastAsia="Quicksand Medium" w:hAnsi="Quicksand Medium"/>
                <w:color w:val="000000"/>
                <w:sz w:val="17"/>
                <w:szCs w:val="17"/>
              </w:rPr>
              <w:t xml:space="preserve">31.8% net margin</w:t>
            </w:r>
            <w:r>
              <w:rPr>
                <w:rFonts w:ascii="Quicksand Light" w:cs="Quicksand Light" w:eastAsia="Quicksand Light" w:hAnsi="Quicksand Light"/>
                <w:color w:val="000000"/>
                <w:sz w:val="17"/>
                <w:szCs w:val="17"/>
              </w:rPr>
              <w:t xml:space="preserve"> and </w:t>
            </w:r>
            <w:r>
              <w:rPr>
                <w:rFonts w:ascii="Quicksand Medium" w:cs="Quicksand Medium" w:eastAsia="Quicksand Medium" w:hAnsi="Quicksand Medium"/>
                <w:color w:val="000000"/>
                <w:sz w:val="17"/>
                <w:szCs w:val="17"/>
              </w:rPr>
              <w:t xml:space="preserve">no borrowings</w:t>
            </w:r>
            <w:r>
              <w:rPr>
                <w:rFonts w:ascii="Quicksand Light" w:cs="Quicksand Light" w:eastAsia="Quicksand Light" w:hAnsi="Quicksand Light"/>
                <w:color w:val="000000"/>
                <w:sz w:val="17"/>
                <w:szCs w:val="17"/>
              </w:rPr>
              <w:t xml:space="preserve"> at 31 July 2026. The shares trade well below their FY2022–25 year-end P/E range of 28–37x </w:t>
            </w:r>
            <w:r>
              <w:rPr>
                <w:rFonts w:ascii="Quicksand Light" w:cs="Quicksand Light" w:eastAsia="Quicksand Light" w:hAnsi="Quicksand Light"/>
                <w:color w:val="615F59"/>
                <w:sz w:val="14"/>
                <w:szCs w:val="14"/>
              </w:rPr>
              <w:t xml:space="preserve">[</w:t>
            </w:r>
            <w:hyperlink w:history="1" w:anchor="src_C1">
              <w:r>
                <w:rPr>
                  <w:rFonts w:ascii="Quicksand Light" w:cs="Quicksand Light" w:eastAsia="Quicksand Light" w:hAnsi="Quicksand Light"/>
                  <w:color w:val="615F59"/>
                  <w:sz w:val="14"/>
                  <w:szCs w:val="14"/>
                </w:rPr>
                <w:t xml:space="preserve">C1</w:t>
              </w:r>
            </w:hyperlink>
            <w:r>
              <w:rPr>
                <w:rFonts w:ascii="Quicksand Light" w:cs="Quicksand Light" w:eastAsia="Quicksand Light" w:hAnsi="Quicksand Light"/>
                <w:color w:val="615F59"/>
                <w:sz w:val="14"/>
                <w:szCs w:val="14"/>
              </w:rPr>
              <w:t xml:space="preserve">, </w:t>
            </w:r>
            <w:hyperlink w:history="1" w:anchor="src_C2">
              <w:r>
                <w:rPr>
                  <w:rFonts w:ascii="Quicksand Light" w:cs="Quicksand Light" w:eastAsia="Quicksand Light" w:hAnsi="Quicksand Light"/>
                  <w:color w:val="615F59"/>
                  <w:sz w:val="14"/>
                  <w:szCs w:val="14"/>
                </w:rPr>
                <w:t xml:space="preserve">C2</w:t>
              </w:r>
            </w:hyperlink>
            <w:r>
              <w:rPr>
                <w:rFonts w:ascii="Quicksand Light" w:cs="Quicksand Light" w:eastAsia="Quicksand Light" w:hAnsi="Quicksand Light"/>
                <w:color w:val="615F59"/>
                <w:sz w:val="14"/>
                <w:szCs w:val="14"/>
              </w:rPr>
              <w:t xml:space="preserve">, </w:t>
            </w:r>
            <w:hyperlink w:history="1" w:anchor="src_M6">
              <w:r>
                <w:rPr>
                  <w:rFonts w:ascii="Quicksand Light" w:cs="Quicksand Light" w:eastAsia="Quicksand Light" w:hAnsi="Quicksand Light"/>
                  <w:color w:val="615F59"/>
                  <w:sz w:val="14"/>
                  <w:szCs w:val="14"/>
                </w:rPr>
                <w:t xml:space="preserve">M6</w:t>
              </w:r>
            </w:hyperlink>
            <w:r>
              <w:rPr>
                <w:rFonts w:ascii="Quicksand Light" w:cs="Quicksand Light" w:eastAsia="Quicksand Light" w:hAnsi="Quicksand Light"/>
                <w:color w:val="615F59"/>
                <w:sz w:val="14"/>
                <w:szCs w:val="14"/>
              </w:rPr>
              <w:t xml:space="preserve">]</w:t>
            </w:r>
            <w:r>
              <w:rPr>
                <w:rFonts w:ascii="Quicksand Light" w:cs="Quicksand Light" w:eastAsia="Quicksand Light" w:hAnsi="Quicksand Light"/>
                <w:color w:val="000000"/>
                <w:sz w:val="17"/>
                <w:szCs w:val="17"/>
              </w:rPr>
              <w:t xml:space="preserve">.</w:t>
            </w:r>
          </w:p>
        </w:tc>
      </w:tr>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MAIN REASON AGAINST</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000000"/>
                <w:sz w:val="17"/>
                <w:szCs w:val="17"/>
              </w:rPr>
              <w:t xml:space="preserve">US insurance volumes are shrinking.</w:t>
            </w:r>
            <w:r>
              <w:rPr>
                <w:rFonts w:ascii="Quicksand Light" w:cs="Quicksand Light" w:eastAsia="Quicksand Light" w:hAnsi="Quicksand Light"/>
                <w:color w:val="000000"/>
                <w:sz w:val="17"/>
                <w:szCs w:val="17"/>
              </w:rPr>
              <w:t xml:space="preserve"> Domestic insurance units fell 7.5% in Q4 FY2026, partly because one insurer left. If share loss persists, the low multiple is deserved </w:t>
            </w:r>
            <w:r>
              <w:rPr>
                <w:rFonts w:ascii="Quicksand Light" w:cs="Quicksand Light" w:eastAsia="Quicksand Light" w:hAnsi="Quicksand Light"/>
                <w:color w:val="615F59"/>
                <w:sz w:val="14"/>
                <w:szCs w:val="14"/>
              </w:rPr>
              <w:t xml:space="preserve">[</w:t>
            </w:r>
            <w:hyperlink w:history="1" w:anchor="src_C3">
              <w:r>
                <w:rPr>
                  <w:rFonts w:ascii="Quicksand Light" w:cs="Quicksand Light" w:eastAsia="Quicksand Light" w:hAnsi="Quicksand Light"/>
                  <w:color w:val="615F59"/>
                  <w:sz w:val="14"/>
                  <w:szCs w:val="14"/>
                </w:rPr>
                <w:t xml:space="preserve">C3</w:t>
              </w:r>
            </w:hyperlink>
            <w:r>
              <w:rPr>
                <w:rFonts w:ascii="Quicksand Light" w:cs="Quicksand Light" w:eastAsia="Quicksand Light" w:hAnsi="Quicksand Light"/>
                <w:color w:val="615F59"/>
                <w:sz w:val="14"/>
                <w:szCs w:val="14"/>
              </w:rPr>
              <w:t xml:space="preserve">]</w:t>
            </w:r>
            <w:r>
              <w:rPr>
                <w:rFonts w:ascii="Quicksand Light" w:cs="Quicksand Light" w:eastAsia="Quicksand Light" w:hAnsi="Quicksand Light"/>
                <w:color w:val="000000"/>
                <w:sz w:val="17"/>
                <w:szCs w:val="17"/>
              </w:rPr>
              <w:t xml:space="preserve">.</w:t>
            </w:r>
          </w:p>
        </w:tc>
      </w:tr>
    </w:tbl>
    <w:p>
      <w:pPr>
        <w:keepNext/>
        <w:keepLines/>
        <w:spacing w:after="50" w:before="110"/>
      </w:pPr>
      <w:r>
        <w:rPr>
          <w:rFonts w:ascii="Agus Sans" w:cs="Agus Sans" w:eastAsia="Agus Sans" w:hAnsi="Agus Sans"/>
          <w:color w:val="790E17"/>
          <w:sz w:val="20"/>
          <w:szCs w:val="20"/>
        </w:rPr>
        <w:t xml:space="preserve">2  BUSINESS MODEL AND COMPETITIVE POSITION</w:t>
      </w:r>
    </w:p>
    <w:p>
      <w:pPr>
        <w:keepLines/>
        <w:spacing w:after="70" w:before="0" w:line="240" w:lineRule="auto"/>
        <w:jc w:val="both"/>
      </w:pPr>
      <w:r>
        <w:rPr>
          <w:rFonts w:ascii="Quicksand Light" w:cs="Quicksand Light" w:eastAsia="Quicksand Light" w:hAnsi="Quicksand Light"/>
          <w:color w:val="000000"/>
          <w:sz w:val="18"/>
          <w:szCs w:val="18"/>
        </w:rPr>
        <w:t xml:space="preserve">Insurers, dealers, rental and fleet companies consign vehicles to Copart, which collects, stores and sells them through online auctions to dismantlers, rebuilders, exporters and dealers. Sellers and buyers pay </w:t>
      </w:r>
      <w:r>
        <w:rPr>
          <w:rFonts w:ascii="Quicksand Medium" w:cs="Quicksand Medium" w:eastAsia="Quicksand Medium" w:hAnsi="Quicksand Medium"/>
          <w:color w:val="000000"/>
          <w:sz w:val="18"/>
          <w:szCs w:val="18"/>
        </w:rPr>
        <w:t xml:space="preserve">service fees</w:t>
      </w:r>
      <w:r>
        <w:rPr>
          <w:rFonts w:ascii="Quicksand Light" w:cs="Quicksand Light" w:eastAsia="Quicksand Light" w:hAnsi="Quicksand Light"/>
          <w:color w:val="000000"/>
          <w:sz w:val="18"/>
          <w:szCs w:val="18"/>
        </w:rPr>
        <w:t xml:space="preserve">. For consigned cars, Copart records the fee, not the vehicle’s value. Vehicles Copart buys and resells itself are a smaller, lower-margin share. Revenue depends on </w:t>
      </w:r>
      <w:r>
        <w:rPr>
          <w:rFonts w:ascii="Quicksand Medium" w:cs="Quicksand Medium" w:eastAsia="Quicksand Medium" w:hAnsi="Quicksand Medium"/>
          <w:color w:val="000000"/>
          <w:sz w:val="18"/>
          <w:szCs w:val="18"/>
        </w:rPr>
        <w:t xml:space="preserve">unit volumes, fee levels and auction prices</w:t>
      </w:r>
      <w:r>
        <w:rPr>
          <w:rFonts w:ascii="Quicksand Light" w:cs="Quicksand Light" w:eastAsia="Quicksand Light" w:hAnsi="Quicksand Light"/>
          <w:color w:val="000000"/>
          <w:sz w:val="18"/>
          <w:szCs w:val="18"/>
        </w:rPr>
        <w:t xml:space="preserve">, because higher prices raise price-linked fees and the insurer’s recovery. The main costs are </w:t>
      </w:r>
      <w:r>
        <w:rPr>
          <w:rFonts w:ascii="Quicksand Medium" w:cs="Quicksand Medium" w:eastAsia="Quicksand Medium" w:hAnsi="Quicksand Medium"/>
          <w:color w:val="000000"/>
          <w:sz w:val="18"/>
          <w:szCs w:val="18"/>
        </w:rPr>
        <w:t xml:space="preserve">yard operations</w:t>
      </w:r>
      <w:r>
        <w:rPr>
          <w:rFonts w:ascii="Quicksand Light" w:cs="Quicksand Light" w:eastAsia="Quicksand Light" w:hAnsi="Quicksand Light"/>
          <w:color w:val="000000"/>
          <w:sz w:val="18"/>
          <w:szCs w:val="18"/>
        </w:rPr>
        <w:t xml:space="preserve">: land, towing, labour and storage. These are largely fixed in the short run, so lower volumes compress margins. In Q4 FY2026, gross profit fell 5.5% while revenue rose 2.4% </w:t>
      </w:r>
      <w:r>
        <w:rPr>
          <w:rFonts w:ascii="Quicksand Light" w:cs="Quicksand Light" w:eastAsia="Quicksand Light" w:hAnsi="Quicksand Light"/>
          <w:color w:val="615F59"/>
          <w:sz w:val="15"/>
          <w:szCs w:val="15"/>
        </w:rPr>
        <w:t xml:space="preserve">[</w:t>
      </w:r>
      <w:hyperlink w:history="1" w:anchor="src_C2">
        <w:r>
          <w:rPr>
            <w:rFonts w:ascii="Quicksand Light" w:cs="Quicksand Light" w:eastAsia="Quicksand Light" w:hAnsi="Quicksand Light"/>
            <w:color w:val="615F59"/>
            <w:sz w:val="15"/>
            <w:szCs w:val="15"/>
          </w:rPr>
          <w:t xml:space="preserve">C2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w:t>
      </w:r>
    </w:p>
    <w:p>
      <w:pPr>
        <w:keepLines/>
        <w:spacing w:after="70" w:before="0" w:line="240" w:lineRule="auto"/>
        <w:jc w:val="both"/>
      </w:pPr>
      <w:r>
        <w:rPr>
          <w:rFonts w:ascii="Quicksand Light" w:cs="Quicksand Light" w:eastAsia="Quicksand Light" w:hAnsi="Quicksand Light"/>
          <w:color w:val="000000"/>
          <w:sz w:val="18"/>
          <w:szCs w:val="18"/>
        </w:rPr>
        <w:t xml:space="preserve">The competitive advantage is a </w:t>
      </w:r>
      <w:r>
        <w:rPr>
          <w:rFonts w:ascii="Quicksand Medium" w:cs="Quicksand Medium" w:eastAsia="Quicksand Medium" w:hAnsi="Quicksand Medium"/>
          <w:color w:val="000000"/>
          <w:sz w:val="18"/>
          <w:szCs w:val="18"/>
        </w:rPr>
        <w:t xml:space="preserve">two-sided network</w:t>
      </w:r>
      <w:r>
        <w:rPr>
          <w:rFonts w:ascii="Quicksand Light" w:cs="Quicksand Light" w:eastAsia="Quicksand Light" w:hAnsi="Quicksand Light"/>
          <w:color w:val="000000"/>
          <w:sz w:val="18"/>
          <w:szCs w:val="18"/>
        </w:rPr>
        <w:t xml:space="preserve">: a large yard footprint that is hard to replicate because of zoning and permitting, and a global buyer base that raises auction prices and therefore the seller’s recovery. Its closest US salvage rival is IAA, owned by RB Global. The advantage protects price and margin, but it </w:t>
      </w:r>
      <w:r>
        <w:rPr>
          <w:rFonts w:ascii="Quicksand Medium" w:cs="Quicksand Medium" w:eastAsia="Quicksand Medium" w:hAnsi="Quicksand Medium"/>
          <w:color w:val="000000"/>
          <w:sz w:val="18"/>
          <w:szCs w:val="18"/>
        </w:rPr>
        <w:t xml:space="preserve">does not lock in insurer contracts</w:t>
      </w:r>
      <w:r>
        <w:rPr>
          <w:rFonts w:ascii="Quicksand Light" w:cs="Quicksand Light" w:eastAsia="Quicksand Light" w:hAnsi="Quicksand Light"/>
          <w:color w:val="000000"/>
          <w:sz w:val="18"/>
          <w:szCs w:val="18"/>
        </w:rPr>
        <w:t xml:space="preserve">, as the lost customer shows.</w:t>
      </w:r>
    </w:p>
    <w:p>
      <w:pPr>
        <w:keepNext/>
        <w:keepLines/>
        <w:spacing w:after="50" w:before="110"/>
      </w:pPr>
      <w:r>
        <w:rPr>
          <w:rFonts w:ascii="Agus Sans" w:cs="Agus Sans" w:eastAsia="Agus Sans" w:hAnsi="Agus Sans"/>
          <w:color w:val="790E17"/>
          <w:sz w:val="20"/>
          <w:szCs w:val="20"/>
        </w:rPr>
        <w:t xml:space="preserve">3  TOP-DOWN INVESTMENT CASE</w:t>
      </w:r>
    </w:p>
    <w:p>
      <w:pPr>
        <w:keepLines/>
        <w:spacing w:after="70" w:before="0" w:line="240" w:lineRule="auto"/>
        <w:jc w:val="both"/>
      </w:pPr>
      <w:r>
        <w:rPr>
          <w:rFonts w:ascii="Quicksand Medium" w:cs="Quicksand Medium" w:eastAsia="Quicksand Medium" w:hAnsi="Quicksand Medium"/>
          <w:color w:val="000000"/>
          <w:sz w:val="18"/>
          <w:szCs w:val="18"/>
        </w:rPr>
        <w:t xml:space="preserve">Trend to demand.</w:t>
      </w:r>
      <w:r>
        <w:rPr>
          <w:rFonts w:ascii="Quicksand Light" w:cs="Quicksand Light" w:eastAsia="Quicksand Light" w:hAnsi="Quicksand Light"/>
          <w:color w:val="000000"/>
          <w:sz w:val="18"/>
          <w:szCs w:val="18"/>
        </w:rPr>
        <w:t xml:space="preserve"> Repair costs for modern, sensor-heavy cars have risen relative to vehicle values, pushing more damaged cars past the total-loss threshold. Management cited a record total-loss frequency of 23.3% in Q4, even though collision claim frequency fell 3.4% </w:t>
      </w:r>
      <w:r>
        <w:rPr>
          <w:rFonts w:ascii="Quicksand Light" w:cs="Quicksand Light" w:eastAsia="Quicksand Light" w:hAnsi="Quicksand Light"/>
          <w:color w:val="615F59"/>
          <w:sz w:val="15"/>
          <w:szCs w:val="15"/>
        </w:rPr>
        <w:t xml:space="preserve">[</w:t>
      </w:r>
      <w:hyperlink w:history="1" w:anchor="src_C3">
        <w:r>
          <w:rPr>
            <w:rFonts w:ascii="Quicksand Light" w:cs="Quicksand Light" w:eastAsia="Quicksand Light" w:hAnsi="Quicksand Light"/>
            <w:color w:val="615F59"/>
            <w:sz w:val="15"/>
            <w:szCs w:val="15"/>
          </w:rPr>
          <w:t xml:space="preserve">C3</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Demand to revenue (evidenced).</w:t>
      </w:r>
      <w:r>
        <w:rPr>
          <w:rFonts w:ascii="Quicksand Light" w:cs="Quicksand Light" w:eastAsia="Quicksand Light" w:hAnsi="Quicksand Light"/>
          <w:color w:val="000000"/>
          <w:sz w:val="18"/>
          <w:szCs w:val="18"/>
        </w:rPr>
        <w:t xml:space="preserve"> This did not become US unit growth, because insurer share moved: domestic insurance units fell 7.5%. Management says domestic assignments would have risen 2.3% excluding one lost customer, but assignments are a different metric from units sold. International insurance units rose 11.2% </w:t>
      </w:r>
      <w:r>
        <w:rPr>
          <w:rFonts w:ascii="Quicksand Light" w:cs="Quicksand Light" w:eastAsia="Quicksand Light" w:hAnsi="Quicksand Light"/>
          <w:color w:val="615F59"/>
          <w:sz w:val="15"/>
          <w:szCs w:val="15"/>
        </w:rPr>
        <w:t xml:space="preserve">[</w:t>
      </w:r>
      <w:hyperlink w:history="1" w:anchor="src_C3">
        <w:r>
          <w:rPr>
            <w:rFonts w:ascii="Quicksand Light" w:cs="Quicksand Light" w:eastAsia="Quicksand Light" w:hAnsi="Quicksand Light"/>
            <w:color w:val="615F59"/>
            <w:sz w:val="15"/>
            <w:szCs w:val="15"/>
          </w:rPr>
          <w:t xml:space="preserve">C3</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Revenue to profit (evidenced).</w:t>
      </w:r>
      <w:r>
        <w:rPr>
          <w:rFonts w:ascii="Quicksand Light" w:cs="Quicksand Light" w:eastAsia="Quicksand Light" w:hAnsi="Quicksand Light"/>
          <w:color w:val="000000"/>
          <w:sz w:val="18"/>
          <w:szCs w:val="18"/>
        </w:rPr>
        <w:t xml:space="preserve"> With largely fixed yard costs, FY2026 revenue grew 0.4% while net profit fell 4.4% </w:t>
      </w:r>
      <w:r>
        <w:rPr>
          <w:rFonts w:ascii="Quicksand Light" w:cs="Quicksand Light" w:eastAsia="Quicksand Light" w:hAnsi="Quicksand Light"/>
          <w:color w:val="615F59"/>
          <w:sz w:val="15"/>
          <w:szCs w:val="15"/>
        </w:rPr>
        <w:t xml:space="preserve">[</w:t>
      </w:r>
      <w:hyperlink w:history="1" w:anchor="src_C2">
        <w:r>
          <w:rPr>
            <w:rFonts w:ascii="Quicksand Light" w:cs="Quicksand Light" w:eastAsia="Quicksand Light" w:hAnsi="Quicksand Light"/>
            <w:color w:val="615F59"/>
            <w:sz w:val="15"/>
            <w:szCs w:val="15"/>
          </w:rPr>
          <w:t xml:space="preserve">C2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w:t>
      </w:r>
    </w:p>
    <w:p>
      <w:pPr>
        <w:keepLines/>
        <w:spacing w:after="70" w:before="0" w:line="240" w:lineRule="auto"/>
        <w:jc w:val="both"/>
      </w:pPr>
      <w:r>
        <w:rPr>
          <w:rFonts w:ascii="Quicksand Medium" w:cs="Quicksand Medium" w:eastAsia="Quicksand Medium" w:hAnsi="Quicksand Medium"/>
          <w:color w:val="000000"/>
          <w:sz w:val="18"/>
          <w:szCs w:val="18"/>
        </w:rPr>
        <w:t xml:space="preserve">Catalyst (internal): ACV.</w:t>
      </w:r>
      <w:r>
        <w:rPr>
          <w:rFonts w:ascii="Quicksand Light" w:cs="Quicksand Light" w:eastAsia="Quicksand Light" w:hAnsi="Quicksand Light"/>
          <w:color w:val="000000"/>
          <w:sz w:val="18"/>
          <w:szCs w:val="18"/>
        </w:rPr>
        <w:t xml:space="preserve"> Copart announced the acquisition alongside its Q4 results on 10 September 2026, at $10.50 per share in cash (about </w:t>
      </w:r>
      <w:r>
        <w:rPr>
          <w:rFonts w:ascii="Quicksand Medium" w:cs="Quicksand Medium" w:eastAsia="Quicksand Medium" w:hAnsi="Quicksand Medium"/>
          <w:color w:val="000000"/>
          <w:sz w:val="18"/>
          <w:szCs w:val="18"/>
        </w:rPr>
        <w:t xml:space="preserve">$1.9bn equity value</w:t>
      </w:r>
      <w:r>
        <w:rPr>
          <w:rFonts w:ascii="Quicksand Light" w:cs="Quicksand Light" w:eastAsia="Quicksand Light" w:hAnsi="Quicksand Light"/>
          <w:color w:val="000000"/>
          <w:sz w:val="18"/>
          <w:szCs w:val="18"/>
        </w:rPr>
        <w:t xml:space="preserve">), and completed it on 16 October </w:t>
      </w:r>
      <w:r>
        <w:rPr>
          <w:rFonts w:ascii="Quicksand Light" w:cs="Quicksand Light" w:eastAsia="Quicksand Light" w:hAnsi="Quicksand Light"/>
          <w:color w:val="615F59"/>
          <w:sz w:val="15"/>
          <w:szCs w:val="15"/>
        </w:rPr>
        <w:t xml:space="preserve">[</w:t>
      </w:r>
      <w:hyperlink w:history="1" w:anchor="src_C4">
        <w:r>
          <w:rPr>
            <w:rFonts w:ascii="Quicksand Light" w:cs="Quicksand Light" w:eastAsia="Quicksand Light" w:hAnsi="Quicksand Light"/>
            <w:color w:val="615F59"/>
            <w:sz w:val="15"/>
            <w:szCs w:val="15"/>
          </w:rPr>
          <w:t xml:space="preserve">C4</w:t>
        </w:r>
      </w:hyperlink>
      <w:r>
        <w:rPr>
          <w:rFonts w:ascii="Quicksand Light" w:cs="Quicksand Light" w:eastAsia="Quicksand Light" w:hAnsi="Quicksand Light"/>
          <w:color w:val="615F59"/>
          <w:sz w:val="15"/>
          <w:szCs w:val="15"/>
        </w:rPr>
        <w:t xml:space="preserve">, </w:t>
      </w:r>
      <w:hyperlink w:history="1" w:anchor="src_C5">
        <w:r>
          <w:rPr>
            <w:rFonts w:ascii="Quicksand Light" w:cs="Quicksand Light" w:eastAsia="Quicksand Light" w:hAnsi="Quicksand Light"/>
            <w:color w:val="615F59"/>
            <w:sz w:val="15"/>
            <w:szCs w:val="15"/>
          </w:rPr>
          <w:t xml:space="preserve">C5</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ACV adds a dealer-to-dealer wholesale auction platform outside insurance salvage. Management expects the deal to be </w:t>
      </w:r>
      <w:r>
        <w:rPr>
          <w:rFonts w:ascii="Quicksand Medium" w:cs="Quicksand Medium" w:eastAsia="Quicksand Medium" w:hAnsi="Quicksand Medium"/>
          <w:color w:val="000000"/>
          <w:sz w:val="18"/>
          <w:szCs w:val="18"/>
        </w:rPr>
        <w:t xml:space="preserve">neutral to EPS in FY2027</w:t>
      </w:r>
      <w:r>
        <w:rPr>
          <w:rFonts w:ascii="Quicksand Light" w:cs="Quicksand Light" w:eastAsia="Quicksand Light" w:hAnsi="Quicksand Light"/>
          <w:color w:val="000000"/>
          <w:sz w:val="18"/>
          <w:szCs w:val="18"/>
        </w:rPr>
        <w:t xml:space="preserve">, its first full year, and accretive from FY2028, funded from cash </w:t>
      </w:r>
      <w:r>
        <w:rPr>
          <w:rFonts w:ascii="Quicksand Light" w:cs="Quicksand Light" w:eastAsia="Quicksand Light" w:hAnsi="Quicksand Light"/>
          <w:color w:val="615F59"/>
          <w:sz w:val="15"/>
          <w:szCs w:val="15"/>
        </w:rPr>
        <w:t xml:space="preserve">[</w:t>
      </w:r>
      <w:hyperlink w:history="1" w:anchor="src_C4">
        <w:r>
          <w:rPr>
            <w:rFonts w:ascii="Quicksand Light" w:cs="Quicksand Light" w:eastAsia="Quicksand Light" w:hAnsi="Quicksand Light"/>
            <w:color w:val="615F59"/>
            <w:sz w:val="15"/>
            <w:szCs w:val="15"/>
          </w:rPr>
          <w:t xml:space="preserve">C4</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Evidenced:</w:t>
      </w:r>
      <w:r>
        <w:rPr>
          <w:rFonts w:ascii="Quicksand Light" w:cs="Quicksand Light" w:eastAsia="Quicksand Light" w:hAnsi="Quicksand Light"/>
          <w:color w:val="000000"/>
          <w:sz w:val="18"/>
          <w:szCs w:val="18"/>
        </w:rPr>
        <w:t xml:space="preserve"> the terms and completion. </w:t>
      </w:r>
      <w:r>
        <w:rPr>
          <w:rFonts w:ascii="Quicksand Medium" w:cs="Quicksand Medium" w:eastAsia="Quicksand Medium" w:hAnsi="Quicksand Medium"/>
          <w:color w:val="000000"/>
          <w:sz w:val="18"/>
          <w:szCs w:val="18"/>
        </w:rPr>
        <w:t xml:space="preserve">Assumption:</w:t>
      </w:r>
      <w:r>
        <w:rPr>
          <w:rFonts w:ascii="Quicksand Light" w:cs="Quicksand Light" w:eastAsia="Quicksand Light" w:hAnsi="Quicksand Light"/>
          <w:color w:val="000000"/>
          <w:sz w:val="18"/>
          <w:szCs w:val="18"/>
        </w:rPr>
        <w:t xml:space="preserve"> that the core business stops losing insurance share. Neither management nor our evidence establishes this yet.</w:t>
      </w:r>
    </w:p>
    <w:p>
      <w:pPr>
        <w:keepNext/>
        <w:keepLines/>
        <w:spacing w:after="50" w:before="110"/>
      </w:pPr>
      <w:r>
        <w:rPr>
          <w:rFonts w:ascii="Agus Sans" w:cs="Agus Sans" w:eastAsia="Agus Sans" w:hAnsi="Agus Sans"/>
          <w:color w:val="790E17"/>
          <w:sz w:val="20"/>
          <w:szCs w:val="20"/>
        </w:rPr>
        <w:t xml:space="preserve">4  FINANCIAL PERFORMANCE AND MANAGEMENT OUTLOOK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600"/>
        <w:gridCol w:w="1250"/>
        <w:gridCol w:w="1900"/>
        <w:gridCol w:w="1250"/>
        <w:gridCol w:w="1300"/>
        <w:gridCol w:w="1336"/>
      </w:tblGrid>
      <w:tr>
        <w:trPr>
          <w:cantSplit/>
          <w:tblHeader/>
        </w:trPr>
        <w:tc>
          <w:tcPr>
            <w:tcW w:type="dxa" w:w="13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Fiscal year</w:t>
            </w:r>
          </w:p>
        </w:tc>
        <w:tc>
          <w:tcPr>
            <w:tcW w:type="dxa" w:w="16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Revenue ($bn)</w:t>
            </w:r>
          </w:p>
        </w:tc>
        <w:tc>
          <w:tcPr>
            <w:tcW w:type="dxa" w:w="125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Growth</w:t>
            </w:r>
          </w:p>
        </w:tc>
        <w:tc>
          <w:tcPr>
            <w:tcW w:type="dxa" w:w="19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Net income ($bn)</w:t>
            </w:r>
          </w:p>
        </w:tc>
        <w:tc>
          <w:tcPr>
            <w:tcW w:type="dxa" w:w="125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Growth</w:t>
            </w:r>
          </w:p>
        </w:tc>
        <w:tc>
          <w:tcPr>
            <w:tcW w:type="dxa" w:w="13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Net margin</w:t>
            </w:r>
          </w:p>
        </w:tc>
        <w:tc>
          <w:tcPr>
            <w:tcW w:type="dxa" w:w="1336"/>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Diluted EPS</w:t>
            </w:r>
          </w:p>
        </w:tc>
      </w:tr>
      <w:tr>
        <w:trPr>
          <w:cantSplit/>
        </w:trPr>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FY2024</w:t>
            </w:r>
          </w:p>
        </w:tc>
        <w:tc>
          <w:tcPr>
            <w:tcW w:type="dxa" w:w="16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4.24</w:t>
            </w:r>
          </w:p>
        </w:tc>
        <w:tc>
          <w:tcPr>
            <w:tcW w:type="dxa" w:w="12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w:t>
            </w:r>
          </w:p>
        </w:tc>
        <w:tc>
          <w:tcPr>
            <w:tcW w:type="dxa" w:w="19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1.36</w:t>
            </w:r>
          </w:p>
        </w:tc>
        <w:tc>
          <w:tcPr>
            <w:tcW w:type="dxa" w:w="12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w:t>
            </w:r>
          </w:p>
        </w:tc>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32.2%</w:t>
            </w:r>
          </w:p>
        </w:tc>
        <w:tc>
          <w:tcPr>
            <w:tcW w:type="dxa" w:w="13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$1.40</w:t>
            </w:r>
          </w:p>
        </w:tc>
      </w:tr>
      <w:tr>
        <w:trPr>
          <w:cantSplit/>
        </w:trPr>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FY2025</w:t>
            </w:r>
          </w:p>
        </w:tc>
        <w:tc>
          <w:tcPr>
            <w:tcW w:type="dxa" w:w="16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4.65</w:t>
            </w:r>
          </w:p>
        </w:tc>
        <w:tc>
          <w:tcPr>
            <w:tcW w:type="dxa" w:w="12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+9.7%</w:t>
            </w:r>
          </w:p>
        </w:tc>
        <w:tc>
          <w:tcPr>
            <w:tcW w:type="dxa" w:w="19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1.55</w:t>
            </w:r>
          </w:p>
        </w:tc>
        <w:tc>
          <w:tcPr>
            <w:tcW w:type="dxa" w:w="12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+13.8%</w:t>
            </w:r>
          </w:p>
        </w:tc>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33.4%</w:t>
            </w:r>
          </w:p>
        </w:tc>
        <w:tc>
          <w:tcPr>
            <w:tcW w:type="dxa" w:w="13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$1.59</w:t>
            </w:r>
          </w:p>
        </w:tc>
      </w:tr>
      <w:tr>
        <w:trPr>
          <w:cantSplit/>
        </w:trPr>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FY2026</w:t>
            </w:r>
          </w:p>
        </w:tc>
        <w:tc>
          <w:tcPr>
            <w:tcW w:type="dxa" w:w="16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4.67</w:t>
            </w:r>
          </w:p>
        </w:tc>
        <w:tc>
          <w:tcPr>
            <w:tcW w:type="dxa" w:w="12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+0.4%</w:t>
            </w:r>
          </w:p>
        </w:tc>
        <w:tc>
          <w:tcPr>
            <w:tcW w:type="dxa" w:w="19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1.48</w:t>
            </w:r>
          </w:p>
        </w:tc>
        <w:tc>
          <w:tcPr>
            <w:tcW w:type="dxa" w:w="12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−4.4%</w:t>
            </w:r>
          </w:p>
        </w:tc>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31.8%</w:t>
            </w:r>
          </w:p>
        </w:tc>
        <w:tc>
          <w:tcPr>
            <w:tcW w:type="dxa" w:w="13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$1.55</w:t>
            </w:r>
          </w:p>
        </w:tc>
      </w:tr>
    </w:tbl>
    <w:p>
      <w:pPr>
        <w:keepLines/>
        <w:spacing w:after="60" w:before="0" w:line="240" w:lineRule="auto"/>
        <w:jc w:val="left"/>
      </w:pPr>
      <w:r>
        <w:rPr>
          <w:rFonts w:ascii="Quicksand Light" w:cs="Quicksand Light" w:eastAsia="Quicksand Light" w:hAnsi="Quicksand Light"/>
          <w:color w:val="615F59"/>
          <w:sz w:val="14"/>
          <w:szCs w:val="14"/>
        </w:rPr>
        <w:t xml:space="preserve">US GAAP, net income attributable to Copart. All three years predate ACV. Growth is calculated from unrounded figures. Sources: </w:t>
      </w:r>
      <w:r>
        <w:rPr>
          <w:rFonts w:ascii="Quicksand Light" w:cs="Quicksand Light" w:eastAsia="Quicksand Light" w:hAnsi="Quicksand Light"/>
          <w:color w:val="615F59"/>
          <w:sz w:val="11"/>
          <w:szCs w:val="11"/>
        </w:rPr>
        <w:t xml:space="preserve">[</w:t>
      </w:r>
      <w:hyperlink w:history="1" w:anchor="src_C1">
        <w:r>
          <w:rPr>
            <w:rFonts w:ascii="Quicksand Light" w:cs="Quicksand Light" w:eastAsia="Quicksand Light" w:hAnsi="Quicksand Light"/>
            <w:color w:val="615F59"/>
            <w:sz w:val="11"/>
            <w:szCs w:val="11"/>
          </w:rPr>
          <w:t xml:space="preserve">C1</w:t>
        </w:r>
      </w:hyperlink>
      <w:r>
        <w:rPr>
          <w:rFonts w:ascii="Quicksand Light" w:cs="Quicksand Light" w:eastAsia="Quicksand Light" w:hAnsi="Quicksand Light"/>
          <w:color w:val="615F59"/>
          <w:sz w:val="11"/>
          <w:szCs w:val="11"/>
        </w:rPr>
        <w:t xml:space="preserve">, </w:t>
      </w:r>
      <w:hyperlink w:history="1" w:anchor="src_C2">
        <w:r>
          <w:rPr>
            <w:rFonts w:ascii="Quicksand Light" w:cs="Quicksand Light" w:eastAsia="Quicksand Light" w:hAnsi="Quicksand Light"/>
            <w:color w:val="615F59"/>
            <w:sz w:val="11"/>
            <w:szCs w:val="11"/>
          </w:rPr>
          <w:t xml:space="preserve">C2</w:t>
        </w:r>
      </w:hyperlink>
      <w:r>
        <w:rPr>
          <w:rFonts w:ascii="Quicksand Light" w:cs="Quicksand Light" w:eastAsia="Quicksand Light" w:hAnsi="Quicksand Light"/>
          <w:color w:val="615F59"/>
          <w:sz w:val="11"/>
          <w:szCs w:val="11"/>
        </w:rPr>
        <w:t xml:space="preserve">]</w:t>
      </w:r>
      <w:r>
        <w:rPr>
          <w:rFonts w:ascii="Quicksand Light" w:cs="Quicksand Light" w:eastAsia="Quicksand Light" w:hAnsi="Quicksand Light"/>
          <w:color w:val="615F59"/>
          <w:sz w:val="14"/>
          <w:szCs w:val="14"/>
        </w:rPr>
        <w:t xml:space="preserve">.</w:t>
      </w:r>
    </w:p>
    <w:p>
      <w:pPr>
        <w:keepNext/>
        <w:spacing w:after="30" w:before="30" w:line="240" w:lineRule="auto"/>
        <w:jc w:val="center"/>
      </w:pPr>
      <w:r>
        <w:drawing>
          <wp:inline distT="0" distB="0" distL="0" distR="0">
            <wp:extent cx="6309360" cy="1353312"/>
            <wp:effectExtent t="0" r="0" b="0" l="0"/>
            <wp:docPr id="1" name="copart.png" descr="Bar charts of revenue and reported net profit" title="Revenue and net profi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9360" cy="1353312"/>
                    </a:xfrm>
                    <a:prstGeom prst="rect">
                      <a:avLst/>
                    </a:prstGeom>
                  </pic:spPr>
                </pic:pic>
              </a:graphicData>
            </a:graphic>
          </wp:inline>
        </w:drawing>
      </w:r>
    </w:p>
    <w:p>
      <w:pPr>
        <w:keepLines/>
        <w:spacing w:after="70" w:before="0" w:line="240" w:lineRule="auto"/>
        <w:jc w:val="both"/>
      </w:pPr>
      <w:r>
        <w:rPr>
          <w:rFonts w:ascii="Quicksand Light" w:cs="Quicksand Light" w:eastAsia="Quicksand Light" w:hAnsi="Quicksand Light"/>
          <w:color w:val="000000"/>
          <w:sz w:val="18"/>
          <w:szCs w:val="18"/>
        </w:rPr>
        <w:t xml:space="preserve">FY2025 growth reflected strong volumes and prices. FY2026 stalled, and Q4 EPS fell 14.6% to $0.35 </w:t>
      </w:r>
      <w:r>
        <w:rPr>
          <w:rFonts w:ascii="Quicksand Light" w:cs="Quicksand Light" w:eastAsia="Quicksand Light" w:hAnsi="Quicksand Light"/>
          <w:color w:val="615F59"/>
          <w:sz w:val="15"/>
          <w:szCs w:val="15"/>
        </w:rPr>
        <w:t xml:space="preserve">[</w:t>
      </w:r>
      <w:hyperlink w:history="1" w:anchor="src_C2">
        <w:r>
          <w:rPr>
            <w:rFonts w:ascii="Quicksand Light" w:cs="Quicksand Light" w:eastAsia="Quicksand Light" w:hAnsi="Quicksand Light"/>
            <w:color w:val="615F59"/>
            <w:sz w:val="15"/>
            <w:szCs w:val="15"/>
          </w:rPr>
          <w:t xml:space="preserve">C2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We use GAAP diluted EPS throughout and have not identified a material exceptional item in FY2026 that would justify a separate adjusted figure. </w:t>
      </w:r>
      <w:r>
        <w:rPr>
          <w:rFonts w:ascii="Quicksand Medium" w:cs="Quicksand Medium" w:eastAsia="Quicksand Medium" w:hAnsi="Quicksand Medium"/>
          <w:color w:val="000000"/>
          <w:sz w:val="18"/>
          <w:szCs w:val="18"/>
        </w:rPr>
        <w:t xml:space="preserve">The balance sheet shown is pre-deal.</w:t>
      </w:r>
      <w:r>
        <w:rPr>
          <w:rFonts w:ascii="Quicksand Light" w:cs="Quicksand Light" w:eastAsia="Quicksand Light" w:hAnsi="Quicksand Light"/>
          <w:color w:val="000000"/>
          <w:sz w:val="18"/>
          <w:szCs w:val="18"/>
        </w:rPr>
        <w:t xml:space="preserve"> At 31 July 2026 Copart held $1.91bn of cash, equivalents and restricted cash plus $2.58bn of held-to-maturity securities, with no borrowings </w:t>
      </w:r>
      <w:r>
        <w:rPr>
          <w:rFonts w:ascii="Quicksand Light" w:cs="Quicksand Light" w:eastAsia="Quicksand Light" w:hAnsi="Quicksand Light"/>
          <w:color w:val="615F59"/>
          <w:sz w:val="15"/>
          <w:szCs w:val="15"/>
        </w:rPr>
        <w:t xml:space="preserve">[</w:t>
      </w:r>
      <w:hyperlink w:history="1" w:anchor="src_C1">
        <w:r>
          <w:rPr>
            <w:rFonts w:ascii="Quicksand Light" w:cs="Quicksand Light" w:eastAsia="Quicksand Light" w:hAnsi="Quicksand Light"/>
            <w:color w:val="615F59"/>
            <w:sz w:val="15"/>
            <w:szCs w:val="15"/>
          </w:rPr>
          <w:t xml:space="preserve">C1</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Paying about $1.9bn in cash for ACV leaves roughly </w:t>
      </w:r>
      <w:r>
        <w:rPr>
          <w:rFonts w:ascii="Quicksand Medium" w:cs="Quicksand Medium" w:eastAsia="Quicksand Medium" w:hAnsi="Quicksand Medium"/>
          <w:color w:val="000000"/>
          <w:sz w:val="18"/>
          <w:szCs w:val="18"/>
        </w:rPr>
        <w:t xml:space="preserve">$2.6bn on our arithmetic</w:t>
      </w:r>
      <w:r>
        <w:rPr>
          <w:rFonts w:ascii="Quicksand Light" w:cs="Quicksand Light" w:eastAsia="Quicksand Light" w:hAnsi="Quicksand Light"/>
          <w:color w:val="000000"/>
          <w:sz w:val="18"/>
          <w:szCs w:val="18"/>
        </w:rPr>
        <w:t xml:space="preserve">, before ACV’s own cash, debt and deal costs. This is not a reported post-close figure. The cash spent no longer earns interest, so ACV’s profits must replace that income for the EPS-neutral guidance to hold. </w:t>
      </w:r>
      <w:r>
        <w:rPr>
          <w:rFonts w:ascii="Quicksand Medium" w:cs="Quicksand Medium" w:eastAsia="Quicksand Medium" w:hAnsi="Quicksand Medium"/>
          <w:color w:val="000000"/>
          <w:sz w:val="18"/>
          <w:szCs w:val="18"/>
        </w:rPr>
        <w:t xml:space="preserve">Guidance:</w:t>
      </w:r>
      <w:r>
        <w:rPr>
          <w:rFonts w:ascii="Quicksand Light" w:cs="Quicksand Light" w:eastAsia="Quicksand Light" w:hAnsi="Quicksand Light"/>
          <w:color w:val="000000"/>
          <w:sz w:val="18"/>
          <w:szCs w:val="18"/>
        </w:rPr>
        <w:t xml:space="preserve"> none at company level; stated priorities are international insurance, US non-insurance auctions and ACV integration </w:t>
      </w:r>
      <w:r>
        <w:rPr>
          <w:rFonts w:ascii="Quicksand Light" w:cs="Quicksand Light" w:eastAsia="Quicksand Light" w:hAnsi="Quicksand Light"/>
          <w:color w:val="615F59"/>
          <w:sz w:val="15"/>
          <w:szCs w:val="15"/>
        </w:rPr>
        <w:t xml:space="preserve">[</w:t>
      </w:r>
      <w:hyperlink w:history="1" w:anchor="src_C3">
        <w:r>
          <w:rPr>
            <w:rFonts w:ascii="Quicksand Light" w:cs="Quicksand Light" w:eastAsia="Quicksand Light" w:hAnsi="Quicksand Light"/>
            <w:color w:val="615F59"/>
            <w:sz w:val="15"/>
            <w:szCs w:val="15"/>
          </w:rPr>
          <w:t xml:space="preserve">C3</w:t>
        </w:r>
      </w:hyperlink>
      <w:r>
        <w:rPr>
          <w:rFonts w:ascii="Quicksand Light" w:cs="Quicksand Light" w:eastAsia="Quicksand Light" w:hAnsi="Quicksand Light"/>
          <w:color w:val="615F59"/>
          <w:sz w:val="15"/>
          <w:szCs w:val="15"/>
        </w:rPr>
        <w:t xml:space="preserve">, </w:t>
      </w:r>
      <w:hyperlink w:history="1" w:anchor="src_C4">
        <w:r>
          <w:rPr>
            <w:rFonts w:ascii="Quicksand Light" w:cs="Quicksand Light" w:eastAsia="Quicksand Light" w:hAnsi="Quicksand Light"/>
            <w:color w:val="615F59"/>
            <w:sz w:val="15"/>
            <w:szCs w:val="15"/>
          </w:rPr>
          <w:t xml:space="preserve">C4</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w:t>
      </w:r>
    </w:p>
    <w:p>
      <w:pPr>
        <w:keepNext/>
        <w:keepLines/>
        <w:spacing w:after="50" w:before="110"/>
      </w:pPr>
      <w:r>
        <w:rPr>
          <w:rFonts w:ascii="Agus Sans" w:cs="Agus Sans" w:eastAsia="Agus Sans" w:hAnsi="Agus Sans"/>
          <w:color w:val="790E17"/>
          <w:sz w:val="20"/>
          <w:szCs w:val="20"/>
        </w:rPr>
        <w:t xml:space="preserve">5  VALUATION AND RISKS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050"/>
        <w:gridCol w:w="5026"/>
        <w:gridCol w:w="700"/>
        <w:gridCol w:w="1100"/>
        <w:gridCol w:w="1300"/>
      </w:tblGrid>
      <w:tr>
        <w:trPr>
          <w:cantSplit/>
          <w:tblHeader/>
        </w:trPr>
        <w:tc>
          <w:tcPr>
            <w:tcW w:type="dxa" w:w="76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Case</w:t>
            </w:r>
          </w:p>
        </w:tc>
        <w:tc>
          <w:tcPr>
            <w:tcW w:type="dxa" w:w="105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FY2027 EPS</w:t>
            </w:r>
          </w:p>
        </w:tc>
        <w:tc>
          <w:tcPr>
            <w:tcW w:type="dxa" w:w="5026"/>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Key assumptions (EPS = GAAP diluted, year to July 2027)</w:t>
            </w:r>
          </w:p>
        </w:tc>
        <w:tc>
          <w:tcPr>
            <w:tcW w:type="dxa" w:w="7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P/E</w:t>
            </w:r>
          </w:p>
        </w:tc>
        <w:tc>
          <w:tcPr>
            <w:tcW w:type="dxa" w:w="11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Value</w:t>
            </w:r>
          </w:p>
        </w:tc>
        <w:tc>
          <w:tcPr>
            <w:tcW w:type="dxa" w:w="13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vs $28.96</w:t>
            </w:r>
          </w:p>
        </w:tc>
      </w:tr>
      <w:tr>
        <w:trPr>
          <w:cantSplit/>
        </w:trPr>
        <w:tc>
          <w:tcPr>
            <w:tcW w:type="dxa" w:w="76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Bear</w:t>
            </w:r>
          </w:p>
        </w:tc>
        <w:tc>
          <w:tcPr>
            <w:tcW w:type="dxa" w:w="10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$1.40</w:t>
            </w:r>
          </w:p>
        </w:tc>
        <w:tc>
          <w:tcPr>
            <w:tcW w:type="dxa" w:w="502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Insurance volumes keep falling; ACV dilutive</w:t>
            </w:r>
          </w:p>
        </w:tc>
        <w:tc>
          <w:tcPr>
            <w:tcW w:type="dxa" w:w="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16x</w:t>
            </w:r>
          </w:p>
        </w:tc>
        <w:tc>
          <w:tcPr>
            <w:tcW w:type="dxa" w:w="1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$22.40</w:t>
            </w:r>
          </w:p>
        </w:tc>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−22.7%</w:t>
            </w:r>
          </w:p>
        </w:tc>
      </w:tr>
      <w:tr>
        <w:trPr>
          <w:cantSplit/>
        </w:trPr>
        <w:tc>
          <w:tcPr>
            <w:tcW w:type="dxa" w:w="76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Base</w:t>
            </w:r>
          </w:p>
        </w:tc>
        <w:tc>
          <w:tcPr>
            <w:tcW w:type="dxa" w:w="105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$1.65</w:t>
            </w:r>
          </w:p>
        </w:tc>
        <w:tc>
          <w:tcPr>
            <w:tcW w:type="dxa" w:w="5026"/>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EPS +6.5%; insurance volumes stabilise; ACV neutral</w:t>
            </w:r>
          </w:p>
        </w:tc>
        <w:tc>
          <w:tcPr>
            <w:tcW w:type="dxa" w:w="7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22x</w:t>
            </w:r>
          </w:p>
        </w:tc>
        <w:tc>
          <w:tcPr>
            <w:tcW w:type="dxa" w:w="11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$36.30</w:t>
            </w:r>
          </w:p>
        </w:tc>
        <w:tc>
          <w:tcPr>
            <w:tcW w:type="dxa" w:w="13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+25.3%</w:t>
            </w:r>
          </w:p>
        </w:tc>
      </w:tr>
      <w:tr>
        <w:trPr>
          <w:cantSplit/>
        </w:trPr>
        <w:tc>
          <w:tcPr>
            <w:tcW w:type="dxa" w:w="76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Bull</w:t>
            </w:r>
          </w:p>
        </w:tc>
        <w:tc>
          <w:tcPr>
            <w:tcW w:type="dxa" w:w="10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$1.80</w:t>
            </w:r>
          </w:p>
        </w:tc>
        <w:tc>
          <w:tcPr>
            <w:tcW w:type="dxa" w:w="502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Share regained; ACV accretive a year early</w:t>
            </w:r>
          </w:p>
        </w:tc>
        <w:tc>
          <w:tcPr>
            <w:tcW w:type="dxa" w:w="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26x</w:t>
            </w:r>
          </w:p>
        </w:tc>
        <w:tc>
          <w:tcPr>
            <w:tcW w:type="dxa" w:w="1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$46.80</w:t>
            </w:r>
          </w:p>
        </w:tc>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+61.6%</w:t>
            </w:r>
          </w:p>
        </w:tc>
      </w:tr>
    </w:tbl>
    <w:p>
      <w:pPr>
        <w:keepLines/>
        <w:spacing w:after="60" w:before="0" w:line="240" w:lineRule="auto"/>
        <w:jc w:val="left"/>
      </w:pPr>
      <w:r>
        <w:rPr>
          <w:rFonts w:ascii="Quicksand Light" w:cs="Quicksand Light" w:eastAsia="Quicksand Light" w:hAnsi="Quicksand Light"/>
          <w:color w:val="615F59"/>
          <w:sz w:val="14"/>
          <w:szCs w:val="14"/>
        </w:rPr>
        <w:t xml:space="preserve">Our scenarios, without probabilities, unchanged from our earlier screening. Base EPS of $1.65 is our assumption and still lacks a bottom-up volume, fee and cost bridge.</w:t>
      </w:r>
    </w:p>
    <w:p>
      <w:pPr>
        <w:keepLines/>
        <w:spacing w:after="70" w:before="0" w:line="240" w:lineRule="auto"/>
        <w:jc w:val="both"/>
      </w:pPr>
      <w:r>
        <w:rPr>
          <w:rFonts w:ascii="Quicksand Medium" w:cs="Quicksand Medium" w:eastAsia="Quicksand Medium" w:hAnsi="Quicksand Medium"/>
          <w:color w:val="000000"/>
          <w:sz w:val="18"/>
          <w:szCs w:val="18"/>
        </w:rPr>
        <w:t xml:space="preserve">Multiple.</w:t>
      </w:r>
      <w:r>
        <w:rPr>
          <w:rFonts w:ascii="Quicksand Light" w:cs="Quicksand Light" w:eastAsia="Quicksand Light" w:hAnsi="Quicksand Light"/>
          <w:color w:val="000000"/>
          <w:sz w:val="18"/>
          <w:szCs w:val="18"/>
        </w:rPr>
        <w:t xml:space="preserve"> 22x sits between today’s 18.7x trailing multiple and the 28–37x range of published FY2022–25 year-end P/Es </w:t>
      </w:r>
      <w:r>
        <w:rPr>
          <w:rFonts w:ascii="Quicksand Light" w:cs="Quicksand Light" w:eastAsia="Quicksand Light" w:hAnsi="Quicksand Light"/>
          <w:color w:val="615F59"/>
          <w:sz w:val="15"/>
          <w:szCs w:val="15"/>
        </w:rPr>
        <w:t xml:space="preserve">[</w:t>
      </w:r>
      <w:hyperlink w:history="1" w:anchor="src_M6">
        <w:r>
          <w:rPr>
            <w:rFonts w:ascii="Quicksand Light" w:cs="Quicksand Light" w:eastAsia="Quicksand Light" w:hAnsi="Quicksand Light"/>
            <w:color w:val="615F59"/>
            <w:sz w:val="15"/>
            <w:szCs w:val="15"/>
          </w:rPr>
          <w:t xml:space="preserve">M6</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Growth was faster in those years, so the history shows what a recovering Copart has been worth, not what it will be worth. </w:t>
      </w:r>
      <w:r>
        <w:rPr>
          <w:rFonts w:ascii="Quicksand Medium" w:cs="Quicksand Medium" w:eastAsia="Quicksand Medium" w:hAnsi="Quicksand Medium"/>
          <w:color w:val="000000"/>
          <w:sz w:val="18"/>
          <w:szCs w:val="18"/>
        </w:rPr>
        <w:t xml:space="preserve">Earnings versus rating.</w:t>
      </w:r>
      <w:r>
        <w:rPr>
          <w:rFonts w:ascii="Quicksand Light" w:cs="Quicksand Light" w:eastAsia="Quicksand Light" w:hAnsi="Quicksand Light"/>
          <w:color w:val="000000"/>
          <w:sz w:val="18"/>
          <w:szCs w:val="18"/>
        </w:rPr>
        <w:t xml:space="preserve"> At today’s 18.7x on FY2026 EPS, $1.65 is worth $30.83 (+6.5%). Re-rating to 22x adds a further 18.9 points, so about </w:t>
      </w:r>
      <w:r>
        <w:rPr>
          <w:rFonts w:ascii="Quicksand Medium" w:cs="Quicksand Medium" w:eastAsia="Quicksand Medium" w:hAnsi="Quicksand Medium"/>
          <w:color w:val="000000"/>
          <w:sz w:val="18"/>
          <w:szCs w:val="18"/>
        </w:rPr>
        <w:t xml:space="preserve">three-quarters of the base gap is re-rating</w:t>
      </w:r>
      <w:r>
        <w:rPr>
          <w:rFonts w:ascii="Quicksand Light" w:cs="Quicksand Light" w:eastAsia="Quicksand Light" w:hAnsi="Quicksand Light"/>
          <w:color w:val="000000"/>
          <w:sz w:val="18"/>
          <w:szCs w:val="18"/>
        </w:rPr>
        <w:t xml:space="preserve">, which the market will only grant once volumes visibly recover. The bear case is credible: FY2026 EPS already fell and Q4 EPS fell 14.6%.</w:t>
      </w:r>
    </w:p>
    <w:p>
      <w:pPr>
        <w:keepLines/>
        <w:spacing w:after="70" w:before="0" w:line="240" w:lineRule="auto"/>
        <w:jc w:val="both"/>
      </w:pPr>
      <w:r>
        <w:rPr>
          <w:rFonts w:ascii="Quicksand Medium" w:cs="Quicksand Medium" w:eastAsia="Quicksand Medium" w:hAnsi="Quicksand Medium"/>
          <w:color w:val="000000"/>
          <w:sz w:val="18"/>
          <w:szCs w:val="18"/>
        </w:rPr>
        <w:t xml:space="preserve">Analyst context.</w:t>
      </w:r>
      <w:r>
        <w:rPr>
          <w:rFonts w:ascii="Quicksand Light" w:cs="Quicksand Light" w:eastAsia="Quicksand Light" w:hAnsi="Quicksand Light"/>
          <w:color w:val="000000"/>
          <w:sz w:val="18"/>
          <w:szCs w:val="18"/>
        </w:rPr>
        <w:t xml:space="preserve"> JPMorgan upgraded the stock to Overweight with a $40 target on 3 September, citing evidence of share gains with one insurer in several states; that note came before the results and the ACV announcement </w:t>
      </w:r>
      <w:r>
        <w:rPr>
          <w:rFonts w:ascii="Quicksand Light" w:cs="Quicksand Light" w:eastAsia="Quicksand Light" w:hAnsi="Quicksand Light"/>
          <w:color w:val="615F59"/>
          <w:sz w:val="15"/>
          <w:szCs w:val="15"/>
        </w:rPr>
        <w:t xml:space="preserve">[</w:t>
      </w:r>
      <w:hyperlink w:history="1" w:anchor="src_A1">
        <w:r>
          <w:rPr>
            <w:rFonts w:ascii="Quicksand Light" w:cs="Quicksand Light" w:eastAsia="Quicksand Light" w:hAnsi="Quicksand Light"/>
            <w:color w:val="615F59"/>
            <w:sz w:val="15"/>
            <w:szCs w:val="15"/>
          </w:rPr>
          <w:t xml:space="preserve">A1</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HSBC downgraded to Hold on 16 September, after both </w:t>
      </w:r>
      <w:r>
        <w:rPr>
          <w:rFonts w:ascii="Quicksand Light" w:cs="Quicksand Light" w:eastAsia="Quicksand Light" w:hAnsi="Quicksand Light"/>
          <w:color w:val="615F59"/>
          <w:sz w:val="15"/>
          <w:szCs w:val="15"/>
        </w:rPr>
        <w:t xml:space="preserve">[</w:t>
      </w:r>
      <w:hyperlink w:history="1" w:anchor="src_A2">
        <w:r>
          <w:rPr>
            <w:rFonts w:ascii="Quicksand Light" w:cs="Quicksand Light" w:eastAsia="Quicksand Light" w:hAnsi="Quicksand Light"/>
            <w:color w:val="615F59"/>
            <w:sz w:val="15"/>
            <w:szCs w:val="15"/>
          </w:rPr>
          <w:t xml:space="preserve">A2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Stock Analysis consensus shows a mean target of $39 from 12 analysts (retrieved 29 October) </w:t>
      </w:r>
      <w:r>
        <w:rPr>
          <w:rFonts w:ascii="Quicksand Light" w:cs="Quicksand Light" w:eastAsia="Quicksand Light" w:hAnsi="Quicksand Light"/>
          <w:color w:val="615F59"/>
          <w:sz w:val="15"/>
          <w:szCs w:val="15"/>
        </w:rPr>
        <w:t xml:space="preserve">[</w:t>
      </w:r>
      <w:hyperlink w:history="1" w:anchor="src_M3">
        <w:r>
          <w:rPr>
            <w:rFonts w:ascii="Quicksand Light" w:cs="Quicksand Light" w:eastAsia="Quicksand Light" w:hAnsi="Quicksand Light"/>
            <w:color w:val="615F59"/>
            <w:sz w:val="15"/>
            <w:szCs w:val="15"/>
          </w:rPr>
          <w:t xml:space="preserve">M3</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These are public summaries and consensus data, not full reports. </w:t>
      </w:r>
      <w:r>
        <w:rPr>
          <w:rFonts w:ascii="Quicksand Medium" w:cs="Quicksand Medium" w:eastAsia="Quicksand Medium" w:hAnsi="Quicksand Medium"/>
          <w:color w:val="000000"/>
          <w:sz w:val="18"/>
          <w:szCs w:val="18"/>
        </w:rPr>
        <w:t xml:space="preserve">Thesis-breaking risk:</w:t>
      </w:r>
      <w:r>
        <w:rPr>
          <w:rFonts w:ascii="Quicksand Light" w:cs="Quicksand Light" w:eastAsia="Quicksand Light" w:hAnsi="Quicksand Light"/>
          <w:color w:val="000000"/>
          <w:sz w:val="18"/>
          <w:szCs w:val="18"/>
        </w:rPr>
        <w:t xml:space="preserve"> continued insurer losses, which would show the network no longer secures contracts. </w:t>
      </w:r>
      <w:r>
        <w:rPr>
          <w:rFonts w:ascii="Quicksand Medium" w:cs="Quicksand Medium" w:eastAsia="Quicksand Medium" w:hAnsi="Quicksand Medium"/>
          <w:color w:val="000000"/>
          <w:sz w:val="18"/>
          <w:szCs w:val="18"/>
        </w:rPr>
        <w:t xml:space="preserve">Next evidence:</w:t>
      </w:r>
      <w:r>
        <w:rPr>
          <w:rFonts w:ascii="Quicksand Light" w:cs="Quicksand Light" w:eastAsia="Quicksand Light" w:hAnsi="Quicksand Light"/>
          <w:color w:val="000000"/>
          <w:sz w:val="18"/>
          <w:szCs w:val="18"/>
        </w:rPr>
        <w:t xml:space="preserve"> Q1 FY2027 results (quarter to 31 October, expected late November): the domestic insurance unit trend, ACV’s first consolidated contribution and post-close cash.</w:t>
      </w:r>
    </w:p>
    <w:p>
      <w:pPr>
        <w:keepNext/>
        <w:keepLines/>
        <w:spacing w:after="50" w:before="110"/>
      </w:pPr>
      <w:r>
        <w:rPr>
          <w:rFonts w:ascii="Agus Sans" w:cs="Agus Sans" w:eastAsia="Agus Sans" w:hAnsi="Agus Sans"/>
          <w:color w:val="790E17"/>
          <w:sz w:val="20"/>
          <w:szCs w:val="20"/>
        </w:rPr>
        <w:t xml:space="preserve">6  INVESTMENT PHILOSOPHY FIT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968"/>
        <w:gridCol w:w="2000"/>
        <w:gridCol w:w="2968"/>
      </w:tblGrid>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EPS growth ≥10% a year</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C21A27"/>
                <w:sz w:val="15"/>
                <w:szCs w:val="15"/>
              </w:rPr>
              <w:t xml:space="preserve">FAIL</w:t>
            </w:r>
            <w:r>
              <w:rPr>
                <w:rFonts w:ascii="Quicksand Light" w:cs="Quicksand Light" w:eastAsia="Quicksand Light" w:hAnsi="Quicksand Light"/>
                <w:color w:val="000000"/>
                <w:sz w:val="15"/>
                <w:szCs w:val="15"/>
              </w:rPr>
              <w:t xml:space="preserve">  FY2026 −2.5% (FY2025 +13.6%)</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Net margin &gt;17.5%</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000000"/>
                <w:sz w:val="15"/>
                <w:szCs w:val="15"/>
              </w:rPr>
              <w:t xml:space="preserve">PASS</w:t>
            </w:r>
            <w:r>
              <w:rPr>
                <w:rFonts w:ascii="Quicksand Light" w:cs="Quicksand Light" w:eastAsia="Quicksand Light" w:hAnsi="Quicksand Light"/>
                <w:color w:val="000000"/>
                <w:sz w:val="15"/>
                <w:szCs w:val="15"/>
              </w:rPr>
              <w:t xml:space="preserve">  31.8% in FY2026</w:t>
            </w:r>
          </w:p>
        </w:tc>
      </w:tr>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ROE &gt;15%</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000000"/>
                <w:sz w:val="15"/>
                <w:szCs w:val="15"/>
              </w:rPr>
              <w:t xml:space="preserve">PASS (narrow)</w:t>
            </w:r>
            <w:r>
              <w:rPr>
                <w:rFonts w:ascii="Quicksand Light" w:cs="Quicksand Light" w:eastAsia="Quicksand Light" w:hAnsi="Quicksand Light"/>
                <w:color w:val="000000"/>
                <w:sz w:val="15"/>
                <w:szCs w:val="15"/>
              </w:rPr>
              <w:t xml:space="preserve">  16.3% on year-end equity of $9.10bn</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Debt/equity &lt;1.5</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000000"/>
                <w:sz w:val="15"/>
                <w:szCs w:val="15"/>
              </w:rPr>
              <w:t xml:space="preserve">PASS pre-deal</w:t>
            </w:r>
            <w:r>
              <w:rPr>
                <w:rFonts w:ascii="Quicksand Light" w:cs="Quicksand Light" w:eastAsia="Quicksand Light" w:hAnsi="Quicksand Light"/>
                <w:color w:val="000000"/>
                <w:sz w:val="15"/>
                <w:szCs w:val="15"/>
              </w:rPr>
              <w:t xml:space="preserve">  no borrowings; ACV liabilities to verify</w:t>
            </w:r>
          </w:p>
        </w:tc>
      </w:tr>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Rising interest coverage</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615F59"/>
                <w:sz w:val="15"/>
                <w:szCs w:val="15"/>
              </w:rPr>
              <w:t xml:space="preserve">NOT MEANINGFUL</w:t>
            </w:r>
            <w:r>
              <w:rPr>
                <w:rFonts w:ascii="Quicksand Light" w:cs="Quicksand Light" w:eastAsia="Quicksand Light" w:hAnsi="Quicksand Light"/>
                <w:color w:val="000000"/>
                <w:sz w:val="15"/>
                <w:szCs w:val="15"/>
              </w:rPr>
              <w:t xml:space="preserve">  no borrowings, net interest income</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Positive, growing FCF</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615F59"/>
                <w:sz w:val="15"/>
                <w:szCs w:val="15"/>
              </w:rPr>
              <w:t xml:space="preserve">UNVERIFIED</w:t>
            </w:r>
            <w:r>
              <w:rPr>
                <w:rFonts w:ascii="Quicksand Light" w:cs="Quicksand Light" w:eastAsia="Quicksand Light" w:hAnsi="Quicksand Light"/>
                <w:color w:val="000000"/>
                <w:sz w:val="15"/>
                <w:szCs w:val="15"/>
              </w:rPr>
              <w:t xml:space="preserve">  five-year series not built</w:t>
            </w:r>
          </w:p>
        </w:tc>
      </w:tr>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790E17"/>
                <w:sz w:val="15"/>
                <w:szCs w:val="15"/>
              </w:rPr>
              <w:t xml:space="preserve">P/E and P/B below industry</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615F59"/>
                <w:sz w:val="15"/>
                <w:szCs w:val="15"/>
              </w:rPr>
              <w:t xml:space="preserve">NOT ESTABLISHED</w:t>
            </w:r>
            <w:r>
              <w:rPr>
                <w:rFonts w:ascii="Quicksand Light" w:cs="Quicksand Light" w:eastAsia="Quicksand Light" w:hAnsi="Quicksand Light"/>
                <w:color w:val="000000"/>
                <w:sz w:val="15"/>
                <w:szCs w:val="15"/>
              </w:rPr>
              <w:t xml:space="preserve">  no defined peer set</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790E17"/>
                <w:sz w:val="15"/>
                <w:szCs w:val="15"/>
              </w:rPr>
              <w:t xml:space="preserve">Sector preference</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615F59"/>
                <w:sz w:val="15"/>
                <w:szCs w:val="15"/>
              </w:rPr>
              <w:t xml:space="preserve">NOT PREFERRED</w:t>
            </w:r>
            <w:r>
              <w:rPr>
                <w:rFonts w:ascii="Quicksand Light" w:cs="Quicksand Light" w:eastAsia="Quicksand Light" w:hAnsi="Quicksand Light"/>
                <w:color w:val="000000"/>
                <w:sz w:val="15"/>
                <w:szCs w:val="15"/>
              </w:rPr>
              <w:t xml:space="preserve">  Industrials (preference only)</w:t>
            </w:r>
          </w:p>
        </w:tc>
      </w:tr>
    </w:tbl>
    <w:p>
      <w:pPr>
        <w:keepLines/>
        <w:spacing w:after="70" w:before="60" w:line="240" w:lineRule="auto"/>
        <w:jc w:val="both"/>
      </w:pPr>
      <w:r>
        <w:rPr>
          <w:rFonts w:ascii="Quicksand Medium" w:cs="Quicksand Medium" w:eastAsia="Quicksand Medium" w:hAnsi="Quicksand Medium"/>
          <w:color w:val="000000"/>
          <w:sz w:val="18"/>
          <w:szCs w:val="18"/>
        </w:rPr>
        <w:t xml:space="preserve">Attractiveness versus eligibility.</w:t>
      </w:r>
      <w:r>
        <w:rPr>
          <w:rFonts w:ascii="Quicksand Light" w:cs="Quicksand Light" w:eastAsia="Quicksand Light" w:hAnsi="Quicksand Light"/>
          <w:color w:val="000000"/>
          <w:sz w:val="18"/>
          <w:szCs w:val="18"/>
        </w:rPr>
        <w:t xml:space="preserve"> Copart fails one hard rule, on one year of data, and passes the margin and leverage tests that VINCI cannot. That, together with the de-rating and a clear near-term test in the Q1 results, is why it ranks first for research time. It does not mean the investment case is proven: the base value relies mostly on a higher multiple. Governance and ESG reviews are still open.</w:t>
      </w:r>
    </w:p>
    <w:p>
      <w:pPr>
        <w:keepNext/>
        <w:pageBreakBefore/>
        <w:spacing w:after="20" w:before="0"/>
      </w:pPr>
      <w:r>
        <w:rPr>
          <w:rFonts w:ascii="Agus Sans" w:cs="Agus Sans" w:eastAsia="Agus Sans" w:hAnsi="Agus Sans"/>
          <w:color w:val="C21A27"/>
          <w:sz w:val="30"/>
          <w:szCs w:val="30"/>
        </w:rPr>
        <w:t xml:space="preserve">PAYCHEX</w:t>
      </w:r>
    </w:p>
    <w:p>
      <w:pPr>
        <w:keepNext/>
        <w:pBdr>
          <w:bottom w:val="single" w:color="C21A27" w:sz="6" w:space="3"/>
        </w:pBdr>
        <w:spacing w:after="100" w:before="0"/>
      </w:pPr>
      <w:r>
        <w:rPr>
          <w:rFonts w:ascii="Agus Sans" w:cs="Agus Sans" w:eastAsia="Agus Sans" w:hAnsi="Agus Sans"/>
          <w:color w:val="615F59"/>
          <w:sz w:val="16"/>
          <w:szCs w:val="16"/>
        </w:rPr>
        <w:t xml:space="preserve">PAYX  |  NASDAQ  |  INDUSTRIALS: PROFESSIONAL SERVICES, PAYROLL AND HR OUTSOURCING  |  FISCAL YEAR TO 31 MAY</w:t>
      </w:r>
    </w:p>
    <w:p>
      <w:pPr>
        <w:keepNext/>
        <w:keepLines/>
        <w:spacing w:after="50" w:before="110"/>
      </w:pPr>
      <w:r>
        <w:rPr>
          <w:rFonts w:ascii="Agus Sans" w:cs="Agus Sans" w:eastAsia="Agus Sans" w:hAnsi="Agus Sans"/>
          <w:color w:val="790E17"/>
          <w:sz w:val="20"/>
          <w:szCs w:val="20"/>
        </w:rPr>
        <w:t xml:space="preserve">1  RECOMMENDATION AT A GLANCE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8036"/>
      </w:tblGrid>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PRICE AND DATE</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000000"/>
                <w:sz w:val="17"/>
                <w:szCs w:val="17"/>
              </w:rPr>
              <w:t xml:space="preserve">$108.21</w:t>
            </w:r>
            <w:r>
              <w:rPr>
                <w:rFonts w:ascii="Quicksand Light" w:cs="Quicksand Light" w:eastAsia="Quicksand Light" w:hAnsi="Quicksand Light"/>
                <w:color w:val="000000"/>
                <w:sz w:val="17"/>
                <w:szCs w:val="17"/>
              </w:rPr>
              <w:t xml:space="preserve">, regular-session close on 28 October 2026, after the 26 October dividend record date </w:t>
            </w:r>
            <w:r>
              <w:rPr>
                <w:rFonts w:ascii="Quicksand Light" w:cs="Quicksand Light" w:eastAsia="Quicksand Light" w:hAnsi="Quicksand Light"/>
                <w:color w:val="615F59"/>
                <w:sz w:val="14"/>
                <w:szCs w:val="14"/>
              </w:rPr>
              <w:t xml:space="preserve">[</w:t>
            </w:r>
            <w:hyperlink w:history="1" w:anchor="src_M8">
              <w:r>
                <w:rPr>
                  <w:rFonts w:ascii="Quicksand Light" w:cs="Quicksand Light" w:eastAsia="Quicksand Light" w:hAnsi="Quicksand Light"/>
                  <w:color w:val="615F59"/>
                  <w:sz w:val="14"/>
                  <w:szCs w:val="14"/>
                </w:rPr>
                <w:t xml:space="preserve">M8</w:t>
              </w:r>
            </w:hyperlink>
            <w:r>
              <w:rPr>
                <w:rFonts w:ascii="Quicksand Light" w:cs="Quicksand Light" w:eastAsia="Quicksand Light" w:hAnsi="Quicksand Light"/>
                <w:color w:val="615F59"/>
                <w:sz w:val="14"/>
                <w:szCs w:val="14"/>
              </w:rPr>
              <w:t xml:space="preserve">, </w:t>
            </w:r>
            <w:hyperlink w:history="1" w:anchor="src_P5">
              <w:r>
                <w:rPr>
                  <w:rFonts w:ascii="Quicksand Light" w:cs="Quicksand Light" w:eastAsia="Quicksand Light" w:hAnsi="Quicksand Light"/>
                  <w:color w:val="615F59"/>
                  <w:sz w:val="14"/>
                  <w:szCs w:val="14"/>
                </w:rPr>
                <w:t xml:space="preserve">P5</w:t>
              </w:r>
            </w:hyperlink>
            <w:r>
              <w:rPr>
                <w:rFonts w:ascii="Quicksand Light" w:cs="Quicksand Light" w:eastAsia="Quicksand Light" w:hAnsi="Quicksand Light"/>
                <w:color w:val="615F59"/>
                <w:sz w:val="14"/>
                <w:szCs w:val="14"/>
              </w:rPr>
              <w:t xml:space="preserve">]</w:t>
            </w:r>
            <w:r>
              <w:rPr>
                <w:rFonts w:ascii="Quicksand Light" w:cs="Quicksand Light" w:eastAsia="Quicksand Light" w:hAnsi="Quicksand Light"/>
                <w:color w:val="000000"/>
                <w:sz w:val="17"/>
                <w:szCs w:val="17"/>
              </w:rPr>
              <w:t xml:space="preserve">. That is 22.1x FY2026 GAAP EPS of $4.89, or 18.2x FY2027 adjusted EPS at the guidance midpoint ($5.95).</w:t>
            </w:r>
          </w:p>
        </w:tc>
      </w:tr>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STATUS</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000000"/>
                <w:sz w:val="17"/>
                <w:szCs w:val="17"/>
              </w:rPr>
              <w:t xml:space="preserve">Priority 3: hold; do not advance now.</w:t>
            </w:r>
            <w:r>
              <w:rPr>
                <w:rFonts w:ascii="Quicksand Light" w:cs="Quicksand Light" w:eastAsia="Quicksand Light" w:hAnsi="Quicksand Light"/>
                <w:color w:val="000000"/>
                <w:sz w:val="17"/>
                <w:szCs w:val="17"/>
              </w:rPr>
              <w:t xml:space="preserve"> Revisit after Q2 FY2027 results if core growth reaches guidance.</w:t>
            </w:r>
          </w:p>
        </w:tc>
      </w:tr>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STRONGEST REASON FOR</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000000"/>
                <w:sz w:val="17"/>
                <w:szCs w:val="17"/>
              </w:rPr>
              <w:t xml:space="preserve">Paycor</w:t>
            </w:r>
            <w:r>
              <w:rPr>
                <w:rFonts w:ascii="Quicksand Light" w:cs="Quicksand Light" w:eastAsia="Quicksand Light" w:hAnsi="Quicksand Light"/>
                <w:color w:val="000000"/>
                <w:sz w:val="17"/>
                <w:szCs w:val="17"/>
              </w:rPr>
              <w:t xml:space="preserve"> gives Paychex a platform for larger employers and cross-selling into a recurring, high-margin client base. FY2027 guidance implies </w:t>
            </w:r>
            <w:r>
              <w:rPr>
                <w:rFonts w:ascii="Quicksand Medium" w:cs="Quicksand Medium" w:eastAsia="Quicksand Medium" w:hAnsi="Quicksand Medium"/>
                <w:color w:val="000000"/>
                <w:sz w:val="17"/>
                <w:szCs w:val="17"/>
              </w:rPr>
              <w:t xml:space="preserve">7–9% adjusted EPS growth</w:t>
            </w:r>
            <w:r>
              <w:rPr>
                <w:rFonts w:ascii="Quicksand Light" w:cs="Quicksand Light" w:eastAsia="Quicksand Light" w:hAnsi="Quicksand Light"/>
                <w:color w:val="000000"/>
                <w:sz w:val="17"/>
                <w:szCs w:val="17"/>
              </w:rPr>
              <w:t xml:space="preserve"> </w:t>
            </w:r>
            <w:r>
              <w:rPr>
                <w:rFonts w:ascii="Quicksand Light" w:cs="Quicksand Light" w:eastAsia="Quicksand Light" w:hAnsi="Quicksand Light"/>
                <w:color w:val="615F59"/>
                <w:sz w:val="14"/>
                <w:szCs w:val="14"/>
              </w:rPr>
              <w:t xml:space="preserve">[</w:t>
            </w:r>
            <w:hyperlink w:history="1" w:anchor="src_P1">
              <w:r>
                <w:rPr>
                  <w:rFonts w:ascii="Quicksand Light" w:cs="Quicksand Light" w:eastAsia="Quicksand Light" w:hAnsi="Quicksand Light"/>
                  <w:color w:val="615F59"/>
                  <w:sz w:val="14"/>
                  <w:szCs w:val="14"/>
                </w:rPr>
                <w:t xml:space="preserve">P1</w:t>
              </w:r>
            </w:hyperlink>
            <w:r>
              <w:rPr>
                <w:rFonts w:ascii="Quicksand Light" w:cs="Quicksand Light" w:eastAsia="Quicksand Light" w:hAnsi="Quicksand Light"/>
                <w:color w:val="615F59"/>
                <w:sz w:val="14"/>
                <w:szCs w:val="14"/>
              </w:rPr>
              <w:t xml:space="preserve">, </w:t>
            </w:r>
            <w:hyperlink w:history="1" w:anchor="src_P3">
              <w:r>
                <w:rPr>
                  <w:rFonts w:ascii="Quicksand Light" w:cs="Quicksand Light" w:eastAsia="Quicksand Light" w:hAnsi="Quicksand Light"/>
                  <w:color w:val="615F59"/>
                  <w:sz w:val="14"/>
                  <w:szCs w:val="14"/>
                </w:rPr>
                <w:t xml:space="preserve">P3</w:t>
              </w:r>
            </w:hyperlink>
            <w:r>
              <w:rPr>
                <w:rFonts w:ascii="Quicksand Light" w:cs="Quicksand Light" w:eastAsia="Quicksand Light" w:hAnsi="Quicksand Light"/>
                <w:color w:val="615F59"/>
                <w:sz w:val="14"/>
                <w:szCs w:val="14"/>
              </w:rPr>
              <w:t xml:space="preserve">]</w:t>
            </w:r>
            <w:r>
              <w:rPr>
                <w:rFonts w:ascii="Quicksand Light" w:cs="Quicksand Light" w:eastAsia="Quicksand Light" w:hAnsi="Quicksand Light"/>
                <w:color w:val="000000"/>
                <w:sz w:val="17"/>
                <w:szCs w:val="17"/>
              </w:rPr>
              <w:t xml:space="preserve">.</w:t>
            </w:r>
          </w:p>
        </w:tc>
      </w:tr>
      <w:tr>
        <w:trPr>
          <w:cantSplit/>
        </w:trPr>
        <w:tc>
          <w:tcPr>
            <w:tcW w:type="dxa" w:w="19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Agus Sans" w:cs="Agus Sans" w:eastAsia="Agus Sans" w:hAnsi="Agus Sans"/>
                <w:color w:val="790E17"/>
                <w:sz w:val="15"/>
                <w:szCs w:val="15"/>
              </w:rPr>
              <w:t xml:space="preserve">MAIN REASON AGAINST</w:t>
            </w:r>
          </w:p>
        </w:tc>
        <w:tc>
          <w:tcPr>
            <w:tcW w:type="dxa" w:w="803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000000"/>
                <w:sz w:val="17"/>
                <w:szCs w:val="17"/>
              </w:rPr>
              <w:t xml:space="preserve">Core growth is weak.</w:t>
            </w:r>
            <w:r>
              <w:rPr>
                <w:rFonts w:ascii="Quicksand Light" w:cs="Quicksand Light" w:eastAsia="Quicksand Light" w:hAnsi="Quicksand Light"/>
                <w:color w:val="000000"/>
                <w:sz w:val="17"/>
                <w:szCs w:val="17"/>
              </w:rPr>
              <w:t xml:space="preserve"> Management Solutions grew 4% in Q1 against 5–6% guidance, and GAAP EPS has lagged adjusted EPS since the debt-funded Paycor deal </w:t>
            </w:r>
            <w:r>
              <w:rPr>
                <w:rFonts w:ascii="Quicksand Light" w:cs="Quicksand Light" w:eastAsia="Quicksand Light" w:hAnsi="Quicksand Light"/>
                <w:color w:val="615F59"/>
                <w:sz w:val="14"/>
                <w:szCs w:val="14"/>
              </w:rPr>
              <w:t xml:space="preserve">[</w:t>
            </w:r>
            <w:hyperlink w:history="1" w:anchor="src_P2">
              <w:r>
                <w:rPr>
                  <w:rFonts w:ascii="Quicksand Light" w:cs="Quicksand Light" w:eastAsia="Quicksand Light" w:hAnsi="Quicksand Light"/>
                  <w:color w:val="615F59"/>
                  <w:sz w:val="14"/>
                  <w:szCs w:val="14"/>
                </w:rPr>
                <w:t xml:space="preserve">P2</w:t>
              </w:r>
            </w:hyperlink>
            <w:r>
              <w:rPr>
                <w:rFonts w:ascii="Quicksand Light" w:cs="Quicksand Light" w:eastAsia="Quicksand Light" w:hAnsi="Quicksand Light"/>
                <w:color w:val="615F59"/>
                <w:sz w:val="14"/>
                <w:szCs w:val="14"/>
              </w:rPr>
              <w:t xml:space="preserve">, </w:t>
            </w:r>
            <w:hyperlink w:history="1" w:anchor="src_P3">
              <w:r>
                <w:rPr>
                  <w:rFonts w:ascii="Quicksand Light" w:cs="Quicksand Light" w:eastAsia="Quicksand Light" w:hAnsi="Quicksand Light"/>
                  <w:color w:val="615F59"/>
                  <w:sz w:val="14"/>
                  <w:szCs w:val="14"/>
                </w:rPr>
                <w:t xml:space="preserve">P3</w:t>
              </w:r>
            </w:hyperlink>
            <w:r>
              <w:rPr>
                <w:rFonts w:ascii="Quicksand Light" w:cs="Quicksand Light" w:eastAsia="Quicksand Light" w:hAnsi="Quicksand Light"/>
                <w:color w:val="615F59"/>
                <w:sz w:val="14"/>
                <w:szCs w:val="14"/>
              </w:rPr>
              <w:t xml:space="preserve">]</w:t>
            </w:r>
            <w:r>
              <w:rPr>
                <w:rFonts w:ascii="Quicksand Light" w:cs="Quicksand Light" w:eastAsia="Quicksand Light" w:hAnsi="Quicksand Light"/>
                <w:color w:val="000000"/>
                <w:sz w:val="17"/>
                <w:szCs w:val="17"/>
              </w:rPr>
              <w:t xml:space="preserve">.</w:t>
            </w:r>
          </w:p>
        </w:tc>
      </w:tr>
    </w:tbl>
    <w:p>
      <w:pPr>
        <w:keepNext/>
        <w:keepLines/>
        <w:spacing w:after="50" w:before="110"/>
      </w:pPr>
      <w:r>
        <w:rPr>
          <w:rFonts w:ascii="Agus Sans" w:cs="Agus Sans" w:eastAsia="Agus Sans" w:hAnsi="Agus Sans"/>
          <w:color w:val="790E17"/>
          <w:sz w:val="20"/>
          <w:szCs w:val="20"/>
        </w:rPr>
        <w:t xml:space="preserve">2  BUSINESS MODEL AND COMPETITIVE POSITION</w:t>
      </w:r>
    </w:p>
    <w:p>
      <w:pPr>
        <w:keepLines/>
        <w:spacing w:after="70" w:before="0" w:line="240" w:lineRule="auto"/>
        <w:jc w:val="both"/>
      </w:pPr>
      <w:r>
        <w:rPr>
          <w:rFonts w:ascii="Quicksand Light" w:cs="Quicksand Light" w:eastAsia="Quicksand Light" w:hAnsi="Quicksand Light"/>
          <w:color w:val="000000"/>
          <w:sz w:val="18"/>
          <w:szCs w:val="18"/>
        </w:rPr>
        <w:t xml:space="preserve">Small and mid-sized employers pay </w:t>
      </w:r>
      <w:r>
        <w:rPr>
          <w:rFonts w:ascii="Quicksand Medium" w:cs="Quicksand Medium" w:eastAsia="Quicksand Medium" w:hAnsi="Quicksand Medium"/>
          <w:color w:val="000000"/>
          <w:sz w:val="18"/>
          <w:szCs w:val="18"/>
        </w:rPr>
        <w:t xml:space="preserve">recurring per-client and per-employee fees</w:t>
      </w:r>
      <w:r>
        <w:rPr>
          <w:rFonts w:ascii="Quicksand Light" w:cs="Quicksand Light" w:eastAsia="Quicksand Light" w:hAnsi="Quicksand Light"/>
          <w:color w:val="000000"/>
          <w:sz w:val="18"/>
          <w:szCs w:val="18"/>
        </w:rPr>
        <w:t xml:space="preserve"> for payroll, tax filing, HR software, retirement plan administration and insurance. Through its PEO, Paychex becomes co-employer and bills for HR, benefits and workers’ compensation. Revenue grows with client numbers, employees per client, price and product attachment. Paychex also earns </w:t>
      </w:r>
      <w:r>
        <w:rPr>
          <w:rFonts w:ascii="Quicksand Medium" w:cs="Quicksand Medium" w:eastAsia="Quicksand Medium" w:hAnsi="Quicksand Medium"/>
          <w:color w:val="000000"/>
          <w:sz w:val="18"/>
          <w:szCs w:val="18"/>
        </w:rPr>
        <w:t xml:space="preserve">interest on funds held for clients</w:t>
      </w:r>
      <w:r>
        <w:rPr>
          <w:rFonts w:ascii="Quicksand Light" w:cs="Quicksand Light" w:eastAsia="Quicksand Light" w:hAnsi="Quicksand Light"/>
          <w:color w:val="000000"/>
          <w:sz w:val="18"/>
          <w:szCs w:val="18"/>
        </w:rPr>
        <w:t xml:space="preserve"> between collecting and paying payroll and taxes, guided at $200–210m for FY2027 </w:t>
      </w:r>
      <w:r>
        <w:rPr>
          <w:rFonts w:ascii="Quicksand Light" w:cs="Quicksand Light" w:eastAsia="Quicksand Light" w:hAnsi="Quicksand Light"/>
          <w:color w:val="615F59"/>
          <w:sz w:val="15"/>
          <w:szCs w:val="15"/>
        </w:rPr>
        <w:t xml:space="preserve">[</w:t>
      </w:r>
      <w:hyperlink w:history="1" w:anchor="src_P3">
        <w:r>
          <w:rPr>
            <w:rFonts w:ascii="Quicksand Light" w:cs="Quicksand Light" w:eastAsia="Quicksand Light" w:hAnsi="Quicksand Light"/>
            <w:color w:val="615F59"/>
            <w:sz w:val="15"/>
            <w:szCs w:val="15"/>
          </w:rPr>
          <w:t xml:space="preserve">P3</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Those funds are not corporate cash. The main costs are service and sales staff and technology. Since Paycor, </w:t>
      </w:r>
      <w:r>
        <w:rPr>
          <w:rFonts w:ascii="Quicksand Medium" w:cs="Quicksand Medium" w:eastAsia="Quicksand Medium" w:hAnsi="Quicksand Medium"/>
          <w:color w:val="000000"/>
          <w:sz w:val="18"/>
          <w:szCs w:val="18"/>
        </w:rPr>
        <w:t xml:space="preserve">acquisition-related amortisation and interest</w:t>
      </w:r>
      <w:r>
        <w:rPr>
          <w:rFonts w:ascii="Quicksand Light" w:cs="Quicksand Light" w:eastAsia="Quicksand Light" w:hAnsi="Quicksand Light"/>
          <w:color w:val="000000"/>
          <w:sz w:val="18"/>
          <w:szCs w:val="18"/>
        </w:rPr>
        <w:t xml:space="preserve"> are also material.</w:t>
      </w:r>
    </w:p>
    <w:p>
      <w:pPr>
        <w:keepLines/>
        <w:spacing w:after="70" w:before="0" w:line="240" w:lineRule="auto"/>
        <w:jc w:val="both"/>
      </w:pPr>
      <w:r>
        <w:rPr>
          <w:rFonts w:ascii="Quicksand Light" w:cs="Quicksand Light" w:eastAsia="Quicksand Light" w:hAnsi="Quicksand Light"/>
          <w:color w:val="000000"/>
          <w:sz w:val="18"/>
          <w:szCs w:val="18"/>
        </w:rPr>
        <w:t xml:space="preserve">The competitive advantage is </w:t>
      </w:r>
      <w:r>
        <w:rPr>
          <w:rFonts w:ascii="Quicksand Medium" w:cs="Quicksand Medium" w:eastAsia="Quicksand Medium" w:hAnsi="Quicksand Medium"/>
          <w:color w:val="000000"/>
          <w:sz w:val="18"/>
          <w:szCs w:val="18"/>
        </w:rPr>
        <w:t xml:space="preserve">switching costs</w:t>
      </w:r>
      <w:r>
        <w:rPr>
          <w:rFonts w:ascii="Quicksand Light" w:cs="Quicksand Light" w:eastAsia="Quicksand Light" w:hAnsi="Quicksand Light"/>
          <w:color w:val="000000"/>
          <w:sz w:val="18"/>
          <w:szCs w:val="18"/>
        </w:rPr>
        <w:t xml:space="preserve">. Payroll errors carry legal penalties, so employers rarely change provider once embedded, and Paychex’s scale in small business spreads compliance and technology costs across many clients. That supports a 27.0% GAAP net margin and an adjusted operating margin guided at about 44% </w:t>
      </w:r>
      <w:r>
        <w:rPr>
          <w:rFonts w:ascii="Quicksand Light" w:cs="Quicksand Light" w:eastAsia="Quicksand Light" w:hAnsi="Quicksand Light"/>
          <w:color w:val="615F59"/>
          <w:sz w:val="15"/>
          <w:szCs w:val="15"/>
        </w:rPr>
        <w:t xml:space="preserve">[</w:t>
      </w:r>
      <w:hyperlink w:history="1" w:anchor="src_P1">
        <w:r>
          <w:rPr>
            <w:rFonts w:ascii="Quicksand Light" w:cs="Quicksand Light" w:eastAsia="Quicksand Light" w:hAnsi="Quicksand Light"/>
            <w:color w:val="615F59"/>
            <w:sz w:val="15"/>
            <w:szCs w:val="15"/>
          </w:rPr>
          <w:t xml:space="preserve">P1</w:t>
        </w:r>
      </w:hyperlink>
      <w:r>
        <w:rPr>
          <w:rFonts w:ascii="Quicksand Light" w:cs="Quicksand Light" w:eastAsia="Quicksand Light" w:hAnsi="Quicksand Light"/>
          <w:color w:val="615F59"/>
          <w:sz w:val="15"/>
          <w:szCs w:val="15"/>
        </w:rPr>
        <w:t xml:space="preserve">, </w:t>
      </w:r>
      <w:hyperlink w:history="1" w:anchor="src_P3">
        <w:r>
          <w:rPr>
            <w:rFonts w:ascii="Quicksand Light" w:cs="Quicksand Light" w:eastAsia="Quicksand Light" w:hAnsi="Quicksand Light"/>
            <w:color w:val="615F59"/>
            <w:sz w:val="15"/>
            <w:szCs w:val="15"/>
          </w:rPr>
          <w:t xml:space="preserve">P3</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The weaknesses are a client base that is sensitive to hiring and business formation, and competition from ADP and software-led rivals that limits pricing.</w:t>
      </w:r>
    </w:p>
    <w:p>
      <w:pPr>
        <w:keepNext/>
        <w:keepLines/>
        <w:spacing w:after="50" w:before="110"/>
      </w:pPr>
      <w:r>
        <w:rPr>
          <w:rFonts w:ascii="Agus Sans" w:cs="Agus Sans" w:eastAsia="Agus Sans" w:hAnsi="Agus Sans"/>
          <w:color w:val="790E17"/>
          <w:sz w:val="20"/>
          <w:szCs w:val="20"/>
        </w:rPr>
        <w:t xml:space="preserve">3  TOP-DOWN INVESTMENT CASE</w:t>
      </w:r>
    </w:p>
    <w:p>
      <w:pPr>
        <w:keepLines/>
        <w:spacing w:after="70" w:before="0" w:line="240" w:lineRule="auto"/>
        <w:jc w:val="both"/>
      </w:pPr>
      <w:r>
        <w:rPr>
          <w:rFonts w:ascii="Quicksand Medium" w:cs="Quicksand Medium" w:eastAsia="Quicksand Medium" w:hAnsi="Quicksand Medium"/>
          <w:color w:val="000000"/>
          <w:sz w:val="18"/>
          <w:szCs w:val="18"/>
        </w:rPr>
        <w:t xml:space="preserve">Trend to demand.</w:t>
      </w:r>
      <w:r>
        <w:rPr>
          <w:rFonts w:ascii="Quicksand Light" w:cs="Quicksand Light" w:eastAsia="Quicksand Light" w:hAnsi="Quicksand Light"/>
          <w:color w:val="000000"/>
          <w:sz w:val="18"/>
          <w:szCs w:val="18"/>
        </w:rPr>
        <w:t xml:space="preserve"> Rising payroll, tax and benefits complexity pushes small employers to outsource, and demand for bundled benefits drives PEO adoption. </w:t>
      </w:r>
      <w:r>
        <w:rPr>
          <w:rFonts w:ascii="Quicksand Medium" w:cs="Quicksand Medium" w:eastAsia="Quicksand Medium" w:hAnsi="Quicksand Medium"/>
          <w:color w:val="000000"/>
          <w:sz w:val="18"/>
          <w:szCs w:val="18"/>
        </w:rPr>
        <w:t xml:space="preserve">Demand to revenue (evidenced).</w:t>
      </w:r>
      <w:r>
        <w:rPr>
          <w:rFonts w:ascii="Quicksand Light" w:cs="Quicksand Light" w:eastAsia="Quicksand Light" w:hAnsi="Quicksand Light"/>
          <w:color w:val="000000"/>
          <w:sz w:val="18"/>
          <w:szCs w:val="18"/>
        </w:rPr>
        <w:t xml:space="preserve"> In Q1 FY2027, PEO and Insurance Solutions grew 12% and its full-year guidance was raised to 7–8%. Management Solutions, about three-quarters of revenue, grew 4% </w:t>
      </w:r>
      <w:r>
        <w:rPr>
          <w:rFonts w:ascii="Quicksand Light" w:cs="Quicksand Light" w:eastAsia="Quicksand Light" w:hAnsi="Quicksand Light"/>
          <w:color w:val="615F59"/>
          <w:sz w:val="15"/>
          <w:szCs w:val="15"/>
        </w:rPr>
        <w:t xml:space="preserve">[</w:t>
      </w:r>
      <w:hyperlink w:history="1" w:anchor="src_P3">
        <w:r>
          <w:rPr>
            <w:rFonts w:ascii="Quicksand Light" w:cs="Quicksand Light" w:eastAsia="Quicksand Light" w:hAnsi="Quicksand Light"/>
            <w:color w:val="615F59"/>
            <w:sz w:val="15"/>
            <w:szCs w:val="15"/>
          </w:rPr>
          <w:t xml:space="preserve">P3</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Revenue to profit and cash (evidenced).</w:t>
      </w:r>
      <w:r>
        <w:rPr>
          <w:rFonts w:ascii="Quicksand Light" w:cs="Quicksand Light" w:eastAsia="Quicksand Light" w:hAnsi="Quicksand Light"/>
          <w:color w:val="000000"/>
          <w:sz w:val="18"/>
          <w:szCs w:val="18"/>
        </w:rPr>
        <w:t xml:space="preserve"> The Q1 adjusted operating margin rose to 42.0% from 40.7%; GAAP diluted EPS grew 14% to $1.21 and adjusted EPS 10% to $1.34 </w:t>
      </w:r>
      <w:r>
        <w:rPr>
          <w:rFonts w:ascii="Quicksand Light" w:cs="Quicksand Light" w:eastAsia="Quicksand Light" w:hAnsi="Quicksand Light"/>
          <w:color w:val="615F59"/>
          <w:sz w:val="15"/>
          <w:szCs w:val="15"/>
        </w:rPr>
        <w:t xml:space="preserve">[</w:t>
      </w:r>
      <w:hyperlink w:history="1" w:anchor="src_P3">
        <w:r>
          <w:rPr>
            <w:rFonts w:ascii="Quicksand Light" w:cs="Quicksand Light" w:eastAsia="Quicksand Light" w:hAnsi="Quicksand Light"/>
            <w:color w:val="615F59"/>
            <w:sz w:val="15"/>
            <w:szCs w:val="15"/>
          </w:rPr>
          <w:t xml:space="preserve">P3</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Assumption.</w:t>
      </w:r>
      <w:r>
        <w:rPr>
          <w:rFonts w:ascii="Quicksand Light" w:cs="Quicksand Light" w:eastAsia="Quicksand Light" w:hAnsi="Quicksand Light"/>
          <w:color w:val="000000"/>
          <w:sz w:val="18"/>
          <w:szCs w:val="18"/>
        </w:rPr>
        <w:t xml:space="preserve"> Our case needs cross-selling into Paycor’s larger-employer base to lift Management Solutions growth to the guided 5–6%. Q1 was below that rate.</w:t>
      </w:r>
    </w:p>
    <w:p>
      <w:pPr>
        <w:keepLines/>
        <w:spacing w:after="70" w:before="0" w:line="240" w:lineRule="auto"/>
        <w:jc w:val="both"/>
      </w:pPr>
      <w:r>
        <w:rPr>
          <w:rFonts w:ascii="Quicksand Medium" w:cs="Quicksand Medium" w:eastAsia="Quicksand Medium" w:hAnsi="Quicksand Medium"/>
          <w:color w:val="000000"/>
          <w:sz w:val="18"/>
          <w:szCs w:val="18"/>
        </w:rPr>
        <w:t xml:space="preserve">Catalyst (internal).</w:t>
      </w:r>
      <w:r>
        <w:rPr>
          <w:rFonts w:ascii="Quicksand Light" w:cs="Quicksand Light" w:eastAsia="Quicksand Light" w:hAnsi="Quicksand Light"/>
          <w:color w:val="000000"/>
          <w:sz w:val="18"/>
          <w:szCs w:val="18"/>
        </w:rPr>
        <w:t xml:space="preserve"> Paycor integration synergies feeding the guided 44% adjusted margin. </w:t>
      </w:r>
      <w:r>
        <w:rPr>
          <w:rFonts w:ascii="Quicksand Medium" w:cs="Quicksand Medium" w:eastAsia="Quicksand Medium" w:hAnsi="Quicksand Medium"/>
          <w:color w:val="000000"/>
          <w:sz w:val="18"/>
          <w:szCs w:val="18"/>
        </w:rPr>
        <w:t xml:space="preserve">Offset (external).</w:t>
      </w:r>
      <w:r>
        <w:rPr>
          <w:rFonts w:ascii="Quicksand Light" w:cs="Quicksand Light" w:eastAsia="Quicksand Light" w:hAnsi="Quicksand Light"/>
          <w:color w:val="000000"/>
          <w:sz w:val="18"/>
          <w:szCs w:val="18"/>
        </w:rPr>
        <w:t xml:space="preserve"> Lower interest rates would reduce client-fund income, although Paychex has just raised that guidance.</w:t>
      </w:r>
    </w:p>
    <w:p>
      <w:pPr>
        <w:keepNext/>
        <w:keepLines/>
        <w:spacing w:after="50" w:before="110"/>
      </w:pPr>
      <w:r>
        <w:rPr>
          <w:rFonts w:ascii="Agus Sans" w:cs="Agus Sans" w:eastAsia="Agus Sans" w:hAnsi="Agus Sans"/>
          <w:color w:val="790E17"/>
          <w:sz w:val="20"/>
          <w:szCs w:val="20"/>
        </w:rPr>
        <w:t xml:space="preserve">4  FINANCIAL PERFORMANCE AND MANAGEMENT OUTLOOK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550"/>
        <w:gridCol w:w="1200"/>
        <w:gridCol w:w="1800"/>
        <w:gridCol w:w="1200"/>
        <w:gridCol w:w="1300"/>
        <w:gridCol w:w="1586"/>
      </w:tblGrid>
      <w:tr>
        <w:trPr>
          <w:cantSplit/>
          <w:tblHeader/>
        </w:trPr>
        <w:tc>
          <w:tcPr>
            <w:tcW w:type="dxa" w:w="13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Fiscal year</w:t>
            </w:r>
          </w:p>
        </w:tc>
        <w:tc>
          <w:tcPr>
            <w:tcW w:type="dxa" w:w="155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Revenue ($bn)</w:t>
            </w:r>
          </w:p>
        </w:tc>
        <w:tc>
          <w:tcPr>
            <w:tcW w:type="dxa" w:w="12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Growth</w:t>
            </w:r>
          </w:p>
        </w:tc>
        <w:tc>
          <w:tcPr>
            <w:tcW w:type="dxa" w:w="18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GAAP net income ($bn)</w:t>
            </w:r>
          </w:p>
        </w:tc>
        <w:tc>
          <w:tcPr>
            <w:tcW w:type="dxa" w:w="12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Growth</w:t>
            </w:r>
          </w:p>
        </w:tc>
        <w:tc>
          <w:tcPr>
            <w:tcW w:type="dxa" w:w="13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Net margin</w:t>
            </w:r>
          </w:p>
        </w:tc>
        <w:tc>
          <w:tcPr>
            <w:tcW w:type="dxa" w:w="1586"/>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GAAP diluted EPS</w:t>
            </w:r>
          </w:p>
        </w:tc>
      </w:tr>
      <w:tr>
        <w:trPr>
          <w:cantSplit/>
        </w:trPr>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FY2024</w:t>
            </w:r>
          </w:p>
        </w:tc>
        <w:tc>
          <w:tcPr>
            <w:tcW w:type="dxa" w:w="15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5.28</w:t>
            </w:r>
          </w:p>
        </w:tc>
        <w:tc>
          <w:tcPr>
            <w:tcW w:type="dxa" w:w="12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w:t>
            </w:r>
          </w:p>
        </w:tc>
        <w:tc>
          <w:tcPr>
            <w:tcW w:type="dxa" w:w="18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1.69</w:t>
            </w:r>
          </w:p>
        </w:tc>
        <w:tc>
          <w:tcPr>
            <w:tcW w:type="dxa" w:w="12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w:t>
            </w:r>
          </w:p>
        </w:tc>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32.0%</w:t>
            </w:r>
          </w:p>
        </w:tc>
        <w:tc>
          <w:tcPr>
            <w:tcW w:type="dxa" w:w="158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$4.67</w:t>
            </w:r>
          </w:p>
        </w:tc>
      </w:tr>
      <w:tr>
        <w:trPr>
          <w:cantSplit/>
        </w:trPr>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FY2025</w:t>
            </w:r>
          </w:p>
        </w:tc>
        <w:tc>
          <w:tcPr>
            <w:tcW w:type="dxa" w:w="15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5.57</w:t>
            </w:r>
          </w:p>
        </w:tc>
        <w:tc>
          <w:tcPr>
            <w:tcW w:type="dxa" w:w="12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+5.6%</w:t>
            </w:r>
          </w:p>
        </w:tc>
        <w:tc>
          <w:tcPr>
            <w:tcW w:type="dxa" w:w="18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1.66</w:t>
            </w:r>
          </w:p>
        </w:tc>
        <w:tc>
          <w:tcPr>
            <w:tcW w:type="dxa" w:w="12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−1.8%</w:t>
            </w:r>
          </w:p>
        </w:tc>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29.7%</w:t>
            </w:r>
          </w:p>
        </w:tc>
        <w:tc>
          <w:tcPr>
            <w:tcW w:type="dxa" w:w="158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$4.58</w:t>
            </w:r>
          </w:p>
        </w:tc>
      </w:tr>
      <w:tr>
        <w:trPr>
          <w:cantSplit/>
        </w:trPr>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FY2026</w:t>
            </w:r>
          </w:p>
        </w:tc>
        <w:tc>
          <w:tcPr>
            <w:tcW w:type="dxa" w:w="15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6.51</w:t>
            </w:r>
          </w:p>
        </w:tc>
        <w:tc>
          <w:tcPr>
            <w:tcW w:type="dxa" w:w="12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+16.9%</w:t>
            </w:r>
          </w:p>
        </w:tc>
        <w:tc>
          <w:tcPr>
            <w:tcW w:type="dxa" w:w="18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1.76</w:t>
            </w:r>
          </w:p>
        </w:tc>
        <w:tc>
          <w:tcPr>
            <w:tcW w:type="dxa" w:w="12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+6.2%</w:t>
            </w:r>
          </w:p>
        </w:tc>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27.0%</w:t>
            </w:r>
          </w:p>
        </w:tc>
        <w:tc>
          <w:tcPr>
            <w:tcW w:type="dxa" w:w="158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$4.89</w:t>
            </w:r>
          </w:p>
        </w:tc>
      </w:tr>
    </w:tbl>
    <w:p>
      <w:pPr>
        <w:keepLines/>
        <w:spacing w:after="60" w:before="0" w:line="240" w:lineRule="auto"/>
        <w:jc w:val="left"/>
      </w:pPr>
      <w:r>
        <w:rPr>
          <w:rFonts w:ascii="Quicksand Light" w:cs="Quicksand Light" w:eastAsia="Quicksand Light" w:hAnsi="Quicksand Light"/>
          <w:color w:val="615F59"/>
          <w:sz w:val="14"/>
          <w:szCs w:val="14"/>
        </w:rPr>
        <w:t xml:space="preserve">US GAAP. FY2026 includes a full year of Paycor (acquired April 2025), which contributed about 12 points of revenue growth, so FY2026 is not organically comparable. Sources: </w:t>
      </w:r>
      <w:r>
        <w:rPr>
          <w:rFonts w:ascii="Quicksand Light" w:cs="Quicksand Light" w:eastAsia="Quicksand Light" w:hAnsi="Quicksand Light"/>
          <w:color w:val="615F59"/>
          <w:sz w:val="11"/>
          <w:szCs w:val="11"/>
        </w:rPr>
        <w:t xml:space="preserve">[</w:t>
      </w:r>
      <w:hyperlink w:history="1" w:anchor="src_P1">
        <w:r>
          <w:rPr>
            <w:rFonts w:ascii="Quicksand Light" w:cs="Quicksand Light" w:eastAsia="Quicksand Light" w:hAnsi="Quicksand Light"/>
            <w:color w:val="615F59"/>
            <w:sz w:val="11"/>
            <w:szCs w:val="11"/>
          </w:rPr>
          <w:t xml:space="preserve">P1</w:t>
        </w:r>
      </w:hyperlink>
      <w:r>
        <w:rPr>
          <w:rFonts w:ascii="Quicksand Light" w:cs="Quicksand Light" w:eastAsia="Quicksand Light" w:hAnsi="Quicksand Light"/>
          <w:color w:val="615F59"/>
          <w:sz w:val="11"/>
          <w:szCs w:val="11"/>
        </w:rPr>
        <w:t xml:space="preserve">, </w:t>
      </w:r>
      <w:hyperlink w:history="1" w:anchor="src_P2">
        <w:r>
          <w:rPr>
            <w:rFonts w:ascii="Quicksand Light" w:cs="Quicksand Light" w:eastAsia="Quicksand Light" w:hAnsi="Quicksand Light"/>
            <w:color w:val="615F59"/>
            <w:sz w:val="11"/>
            <w:szCs w:val="11"/>
          </w:rPr>
          <w:t xml:space="preserve">P2</w:t>
        </w:r>
      </w:hyperlink>
      <w:r>
        <w:rPr>
          <w:rFonts w:ascii="Quicksand Light" w:cs="Quicksand Light" w:eastAsia="Quicksand Light" w:hAnsi="Quicksand Light"/>
          <w:color w:val="615F59"/>
          <w:sz w:val="11"/>
          <w:szCs w:val="11"/>
        </w:rPr>
        <w:t xml:space="preserve">, </w:t>
      </w:r>
      <w:hyperlink w:history="1" w:anchor="src_P4">
        <w:r>
          <w:rPr>
            <w:rFonts w:ascii="Quicksand Light" w:cs="Quicksand Light" w:eastAsia="Quicksand Light" w:hAnsi="Quicksand Light"/>
            <w:color w:val="615F59"/>
            <w:sz w:val="11"/>
            <w:szCs w:val="11"/>
          </w:rPr>
          <w:t xml:space="preserve">P4</w:t>
        </w:r>
      </w:hyperlink>
      <w:r>
        <w:rPr>
          <w:rFonts w:ascii="Quicksand Light" w:cs="Quicksand Light" w:eastAsia="Quicksand Light" w:hAnsi="Quicksand Light"/>
          <w:color w:val="615F59"/>
          <w:sz w:val="11"/>
          <w:szCs w:val="11"/>
        </w:rPr>
        <w:t xml:space="preserve">]</w:t>
      </w:r>
      <w:r>
        <w:rPr>
          <w:rFonts w:ascii="Quicksand Light" w:cs="Quicksand Light" w:eastAsia="Quicksand Light" w:hAnsi="Quicksand Light"/>
          <w:color w:val="615F59"/>
          <w:sz w:val="14"/>
          <w:szCs w:val="14"/>
        </w:rPr>
        <w:t xml:space="preserve">.</w:t>
      </w:r>
    </w:p>
    <w:p>
      <w:pPr>
        <w:keepNext/>
        <w:spacing w:after="30" w:before="30" w:line="240" w:lineRule="auto"/>
        <w:jc w:val="center"/>
      </w:pPr>
      <w:r>
        <w:drawing>
          <wp:inline distT="0" distB="0" distL="0" distR="0">
            <wp:extent cx="6309360" cy="1353312"/>
            <wp:effectExtent t="0" r="0" b="0" l="0"/>
            <wp:docPr id="1" name="paychex.png" descr="Bar charts of revenue and reported net profit" title="Revenue and net profi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309360" cy="1353312"/>
                    </a:xfrm>
                    <a:prstGeom prst="rect">
                      <a:avLst/>
                    </a:prstGeom>
                  </pic:spPr>
                </pic:pic>
              </a:graphicData>
            </a:graphic>
          </wp:inline>
        </w:drawing>
      </w:r>
    </w:p>
    <w:p>
      <w:pPr>
        <w:keepLines/>
        <w:spacing w:after="70" w:before="0" w:line="240" w:lineRule="auto"/>
        <w:jc w:val="both"/>
      </w:pPr>
      <w:r>
        <w:rPr>
          <w:rFonts w:ascii="Quicksand Light" w:cs="Quicksand Light" w:eastAsia="Quicksand Light" w:hAnsi="Quicksand Light"/>
          <w:color w:val="000000"/>
          <w:sz w:val="18"/>
          <w:szCs w:val="18"/>
        </w:rPr>
        <w:t xml:space="preserve">Revenue growth is mostly acquired, and the GAAP net margin has fallen five points in two years. FY2026 net income grew only 6.2% because of </w:t>
      </w:r>
      <w:r>
        <w:rPr>
          <w:rFonts w:ascii="Quicksand Medium" w:cs="Quicksand Medium" w:eastAsia="Quicksand Medium" w:hAnsi="Quicksand Medium"/>
          <w:color w:val="000000"/>
          <w:sz w:val="18"/>
          <w:szCs w:val="18"/>
        </w:rPr>
        <w:t xml:space="preserve">$304.2m of acquisition-related costs</w:t>
      </w:r>
      <w:r>
        <w:rPr>
          <w:rFonts w:ascii="Quicksand Light" w:cs="Quicksand Light" w:eastAsia="Quicksand Light" w:hAnsi="Quicksand Light"/>
          <w:color w:val="000000"/>
          <w:sz w:val="18"/>
          <w:szCs w:val="18"/>
        </w:rPr>
        <w:t xml:space="preserve"> (amortisation of acquired intangibles, integration compensation and professional fees) and because interest expense rose $164.1m to </w:t>
      </w:r>
      <w:r>
        <w:rPr>
          <w:rFonts w:ascii="Quicksand Medium" w:cs="Quicksand Medium" w:eastAsia="Quicksand Medium" w:hAnsi="Quicksand Medium"/>
          <w:color w:val="000000"/>
          <w:sz w:val="18"/>
          <w:szCs w:val="18"/>
        </w:rPr>
        <w:t xml:space="preserve">$269.5m</w:t>
      </w:r>
      <w:r>
        <w:rPr>
          <w:rFonts w:ascii="Quicksand Light" w:cs="Quicksand Light" w:eastAsia="Quicksand Light" w:hAnsi="Quicksand Light"/>
          <w:color w:val="000000"/>
          <w:sz w:val="18"/>
          <w:szCs w:val="18"/>
        </w:rPr>
        <w:t xml:space="preserve"> on Paycor debt </w:t>
      </w:r>
      <w:r>
        <w:rPr>
          <w:rFonts w:ascii="Quicksand Light" w:cs="Quicksand Light" w:eastAsia="Quicksand Light" w:hAnsi="Quicksand Light"/>
          <w:color w:val="615F59"/>
          <w:sz w:val="15"/>
          <w:szCs w:val="15"/>
        </w:rPr>
        <w:t xml:space="preserve">[</w:t>
      </w:r>
      <w:hyperlink w:history="1" w:anchor="src_P2">
        <w:r>
          <w:rPr>
            <w:rFonts w:ascii="Quicksand Light" w:cs="Quicksand Light" w:eastAsia="Quicksand Light" w:hAnsi="Quicksand Light"/>
            <w:color w:val="615F59"/>
            <w:sz w:val="15"/>
            <w:szCs w:val="15"/>
          </w:rPr>
          <w:t xml:space="preserve">P2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Adjusted earnings (company non-GAAP measure, shown separately):</w:t>
      </w:r>
      <w:r>
        <w:rPr>
          <w:rFonts w:ascii="Quicksand Light" w:cs="Quicksand Light" w:eastAsia="Quicksand Light" w:hAnsi="Quicksand Light"/>
          <w:color w:val="000000"/>
          <w:sz w:val="18"/>
          <w:szCs w:val="18"/>
        </w:rPr>
        <w:t xml:space="preserve"> adjusted net income of $1,984.8m equals GAAP $1,760.1m plus $304.2m of acquisition-related costs, less a $73.3m related tax benefit and $6.2m of other discrete tax items. </w:t>
      </w:r>
      <w:r>
        <w:rPr>
          <w:rFonts w:ascii="Quicksand Medium" w:cs="Quicksand Medium" w:eastAsia="Quicksand Medium" w:hAnsi="Quicksand Medium"/>
          <w:color w:val="000000"/>
          <w:sz w:val="18"/>
          <w:szCs w:val="18"/>
        </w:rPr>
        <w:t xml:space="preserve">Interest expense is not added back</w:t>
      </w:r>
      <w:r>
        <w:rPr>
          <w:rFonts w:ascii="Quicksand Light" w:cs="Quicksand Light" w:eastAsia="Quicksand Light" w:hAnsi="Quicksand Light"/>
          <w:color w:val="000000"/>
          <w:sz w:val="18"/>
          <w:szCs w:val="18"/>
        </w:rPr>
        <w:t xml:space="preserve"> to adjusted EPS; it is added back only in EBITDA </w:t>
      </w:r>
      <w:r>
        <w:rPr>
          <w:rFonts w:ascii="Quicksand Light" w:cs="Quicksand Light" w:eastAsia="Quicksand Light" w:hAnsi="Quicksand Light"/>
          <w:color w:val="615F59"/>
          <w:sz w:val="15"/>
          <w:szCs w:val="15"/>
        </w:rPr>
        <w:t xml:space="preserve">[</w:t>
      </w:r>
      <w:hyperlink w:history="1" w:anchor="src_P1">
        <w:r>
          <w:rPr>
            <w:rFonts w:ascii="Quicksand Light" w:cs="Quicksand Light" w:eastAsia="Quicksand Light" w:hAnsi="Quicksand Light"/>
            <w:color w:val="615F59"/>
            <w:sz w:val="15"/>
            <w:szCs w:val="15"/>
          </w:rPr>
          <w:t xml:space="preserve">P1</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Adjusted EPS rose 10.6% to $5.51, from $4.98. Long-term debt consists of $0.4bn of senior notes due 2029 and $4.2bn of bonds due 2030–2035 </w:t>
      </w:r>
      <w:r>
        <w:rPr>
          <w:rFonts w:ascii="Quicksand Light" w:cs="Quicksand Light" w:eastAsia="Quicksand Light" w:hAnsi="Quicksand Light"/>
          <w:color w:val="615F59"/>
          <w:sz w:val="15"/>
          <w:szCs w:val="15"/>
        </w:rPr>
        <w:t xml:space="preserve">[</w:t>
      </w:r>
      <w:hyperlink w:history="1" w:anchor="src_P6">
        <w:r>
          <w:rPr>
            <w:rFonts w:ascii="Quicksand Light" w:cs="Quicksand Light" w:eastAsia="Quicksand Light" w:hAnsi="Quicksand Light"/>
            <w:color w:val="615F59"/>
            <w:sz w:val="15"/>
            <w:szCs w:val="15"/>
          </w:rPr>
          <w:t xml:space="preserve">P6</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w:t>
      </w:r>
    </w:p>
    <w:p>
      <w:pPr>
        <w:keepLines/>
        <w:spacing w:after="70" w:before="0" w:line="240" w:lineRule="auto"/>
        <w:jc w:val="both"/>
      </w:pPr>
      <w:r>
        <w:rPr>
          <w:rFonts w:ascii="Quicksand Medium" w:cs="Quicksand Medium" w:eastAsia="Quicksand Medium" w:hAnsi="Quicksand Medium"/>
          <w:color w:val="000000"/>
          <w:sz w:val="18"/>
          <w:szCs w:val="18"/>
        </w:rPr>
        <w:t xml:space="preserve">Management guidance (reaffirmed 23 September 2026):</w:t>
      </w:r>
      <w:r>
        <w:rPr>
          <w:rFonts w:ascii="Quicksand Light" w:cs="Quicksand Light" w:eastAsia="Quicksand Light" w:hAnsi="Quicksand Light"/>
          <w:color w:val="000000"/>
          <w:sz w:val="18"/>
          <w:szCs w:val="18"/>
        </w:rPr>
        <w:t xml:space="preserve"> revenue +5–6%, Management Solutions +5–6%, PEO and Insurance +7–8% (raised), client-fund interest $200–210m (raised), adjusted operating margin about 44% and adjusted EPS growth of 7–9% </w:t>
      </w:r>
      <w:r>
        <w:rPr>
          <w:rFonts w:ascii="Quicksand Light" w:cs="Quicksand Light" w:eastAsia="Quicksand Light" w:hAnsi="Quicksand Light"/>
          <w:color w:val="615F59"/>
          <w:sz w:val="15"/>
          <w:szCs w:val="15"/>
        </w:rPr>
        <w:t xml:space="preserve">[</w:t>
      </w:r>
      <w:hyperlink w:history="1" w:anchor="src_P3">
        <w:r>
          <w:rPr>
            <w:rFonts w:ascii="Quicksand Light" w:cs="Quicksand Light" w:eastAsia="Quicksand Light" w:hAnsi="Quicksand Light"/>
            <w:color w:val="615F59"/>
            <w:sz w:val="15"/>
            <w:szCs w:val="15"/>
          </w:rPr>
          <w:t xml:space="preserve">P3</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The $1.19 quarterly dividend implies $4.76 a year, a 4.4% yield if maintained </w:t>
      </w:r>
      <w:r>
        <w:rPr>
          <w:rFonts w:ascii="Quicksand Light" w:cs="Quicksand Light" w:eastAsia="Quicksand Light" w:hAnsi="Quicksand Light"/>
          <w:color w:val="615F59"/>
          <w:sz w:val="15"/>
          <w:szCs w:val="15"/>
        </w:rPr>
        <w:t xml:space="preserve">[</w:t>
      </w:r>
      <w:hyperlink w:history="1" w:anchor="src_P5">
        <w:r>
          <w:rPr>
            <w:rFonts w:ascii="Quicksand Light" w:cs="Quicksand Light" w:eastAsia="Quicksand Light" w:hAnsi="Quicksand Light"/>
            <w:color w:val="615F59"/>
            <w:sz w:val="15"/>
            <w:szCs w:val="15"/>
          </w:rPr>
          <w:t xml:space="preserve">P5</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That is </w:t>
      </w:r>
      <w:r>
        <w:rPr>
          <w:rFonts w:ascii="Quicksand Medium" w:cs="Quicksand Medium" w:eastAsia="Quicksand Medium" w:hAnsi="Quicksand Medium"/>
          <w:color w:val="000000"/>
          <w:sz w:val="18"/>
          <w:szCs w:val="18"/>
        </w:rPr>
        <w:t xml:space="preserve">97% of FY2026 GAAP EPS</w:t>
      </w:r>
      <w:r>
        <w:rPr>
          <w:rFonts w:ascii="Quicksand Light" w:cs="Quicksand Light" w:eastAsia="Quicksand Light" w:hAnsi="Quicksand Light"/>
          <w:color w:val="000000"/>
          <w:sz w:val="18"/>
          <w:szCs w:val="18"/>
        </w:rPr>
        <w:t xml:space="preserve"> and 86% of adjusted EPS, so further dividend growth now depends on earnings growth.</w:t>
      </w:r>
    </w:p>
    <w:p>
      <w:pPr>
        <w:keepNext/>
        <w:keepLines/>
        <w:spacing w:after="50" w:before="110"/>
      </w:pPr>
      <w:r>
        <w:rPr>
          <w:rFonts w:ascii="Agus Sans" w:cs="Agus Sans" w:eastAsia="Agus Sans" w:hAnsi="Agus Sans"/>
          <w:color w:val="790E17"/>
          <w:sz w:val="20"/>
          <w:szCs w:val="20"/>
        </w:rPr>
        <w:t xml:space="preserve">5  VALUATION AND RISKS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050"/>
        <w:gridCol w:w="5026"/>
        <w:gridCol w:w="700"/>
        <w:gridCol w:w="1100"/>
        <w:gridCol w:w="1300"/>
      </w:tblGrid>
      <w:tr>
        <w:trPr>
          <w:cantSplit/>
          <w:tblHeader/>
        </w:trPr>
        <w:tc>
          <w:tcPr>
            <w:tcW w:type="dxa" w:w="76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Case</w:t>
            </w:r>
          </w:p>
        </w:tc>
        <w:tc>
          <w:tcPr>
            <w:tcW w:type="dxa" w:w="105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FY2027 EPS</w:t>
            </w:r>
          </w:p>
        </w:tc>
        <w:tc>
          <w:tcPr>
            <w:tcW w:type="dxa" w:w="5026"/>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FFFFFF"/>
                <w:sz w:val="15"/>
                <w:szCs w:val="15"/>
              </w:rPr>
              <w:t xml:space="preserve">Key assumptions (EPS = company-adjusted diluted, year to May 2027)</w:t>
            </w:r>
          </w:p>
        </w:tc>
        <w:tc>
          <w:tcPr>
            <w:tcW w:type="dxa" w:w="7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P/E</w:t>
            </w:r>
          </w:p>
        </w:tc>
        <w:tc>
          <w:tcPr>
            <w:tcW w:type="dxa" w:w="11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Value</w:t>
            </w:r>
          </w:p>
        </w:tc>
        <w:tc>
          <w:tcPr>
            <w:tcW w:type="dxa" w:w="1300"/>
            <w:tcBorders>
              <w:top w:val="single" w:color="D9D9D9" w:sz="4"/>
              <w:left w:val="none" w:color="FFFFFF" w:sz="0"/>
              <w:bottom w:val="single" w:color="D9D9D9" w:sz="4"/>
              <w:right w:val="none" w:color="FFFFFF" w:sz="0"/>
            </w:tcBorders>
            <w:shd w:fill="790E17" w:color="auto" w:val="clear"/>
            <w:tcMar>
              <w:top w:type="dxa" w:w="45"/>
              <w:left w:type="dxa" w:w="80"/>
              <w:bottom w:type="dxa" w:w="45"/>
              <w:right w:type="dxa" w:w="80"/>
            </w:tcMar>
            <w:vAlign w:val="center"/>
          </w:tcPr>
          <w:p>
            <w:pPr>
              <w:keepNext/>
              <w:keepLines/>
              <w:spacing w:after="0" w:before="0" w:line="228"/>
              <w:jc w:val="right"/>
            </w:pPr>
            <w:r>
              <w:rPr>
                <w:rFonts w:ascii="Quicksand Medium" w:cs="Quicksand Medium" w:eastAsia="Quicksand Medium" w:hAnsi="Quicksand Medium"/>
                <w:color w:val="FFFFFF"/>
                <w:sz w:val="15"/>
                <w:szCs w:val="15"/>
              </w:rPr>
              <w:t xml:space="preserve">vs $108.21</w:t>
            </w:r>
          </w:p>
        </w:tc>
      </w:tr>
      <w:tr>
        <w:trPr>
          <w:cantSplit/>
        </w:trPr>
        <w:tc>
          <w:tcPr>
            <w:tcW w:type="dxa" w:w="76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Bear</w:t>
            </w:r>
          </w:p>
        </w:tc>
        <w:tc>
          <w:tcPr>
            <w:tcW w:type="dxa" w:w="10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$5.50</w:t>
            </w:r>
          </w:p>
        </w:tc>
        <w:tc>
          <w:tcPr>
            <w:tcW w:type="dxa" w:w="502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Flat adjusted EPS; Management Solutions stays near 4%</w:t>
            </w:r>
          </w:p>
        </w:tc>
        <w:tc>
          <w:tcPr>
            <w:tcW w:type="dxa" w:w="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17x</w:t>
            </w:r>
          </w:p>
        </w:tc>
        <w:tc>
          <w:tcPr>
            <w:tcW w:type="dxa" w:w="1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$93.50</w:t>
            </w:r>
          </w:p>
        </w:tc>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−13.6%</w:t>
            </w:r>
          </w:p>
        </w:tc>
      </w:tr>
      <w:tr>
        <w:trPr>
          <w:cantSplit/>
        </w:trPr>
        <w:tc>
          <w:tcPr>
            <w:tcW w:type="dxa" w:w="76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Base</w:t>
            </w:r>
          </w:p>
        </w:tc>
        <w:tc>
          <w:tcPr>
            <w:tcW w:type="dxa" w:w="105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$5.95</w:t>
            </w:r>
          </w:p>
        </w:tc>
        <w:tc>
          <w:tcPr>
            <w:tcW w:type="dxa" w:w="5026"/>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Light" w:cs="Quicksand Light" w:eastAsia="Quicksand Light" w:hAnsi="Quicksand Light"/>
                <w:color w:val="000000"/>
                <w:sz w:val="16"/>
                <w:szCs w:val="16"/>
              </w:rPr>
              <w:t xml:space="preserve">Guidance midpoint: $5.51 × 1.08</w:t>
            </w:r>
          </w:p>
        </w:tc>
        <w:tc>
          <w:tcPr>
            <w:tcW w:type="dxa" w:w="7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20x</w:t>
            </w:r>
          </w:p>
        </w:tc>
        <w:tc>
          <w:tcPr>
            <w:tcW w:type="dxa" w:w="11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$119.00</w:t>
            </w:r>
          </w:p>
        </w:tc>
        <w:tc>
          <w:tcPr>
            <w:tcW w:type="dxa" w:w="13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right"/>
            </w:pPr>
            <w:r>
              <w:rPr>
                <w:rFonts w:ascii="Quicksand Light" w:cs="Quicksand Light" w:eastAsia="Quicksand Light" w:hAnsi="Quicksand Light"/>
                <w:color w:val="000000"/>
                <w:sz w:val="16"/>
                <w:szCs w:val="16"/>
              </w:rPr>
              <w:t xml:space="preserve">+10.0%</w:t>
            </w:r>
          </w:p>
        </w:tc>
      </w:tr>
      <w:tr>
        <w:trPr>
          <w:cantSplit/>
        </w:trPr>
        <w:tc>
          <w:tcPr>
            <w:tcW w:type="dxa" w:w="76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Bull</w:t>
            </w:r>
          </w:p>
        </w:tc>
        <w:tc>
          <w:tcPr>
            <w:tcW w:type="dxa" w:w="105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$6.15</w:t>
            </w:r>
          </w:p>
        </w:tc>
        <w:tc>
          <w:tcPr>
            <w:tcW w:type="dxa" w:w="5026"/>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Light" w:cs="Quicksand Light" w:eastAsia="Quicksand Light" w:hAnsi="Quicksand Light"/>
                <w:color w:val="000000"/>
                <w:sz w:val="16"/>
                <w:szCs w:val="16"/>
              </w:rPr>
              <w:t xml:space="preserve">Above the top of guidance (+11.6%)</w:t>
            </w:r>
          </w:p>
        </w:tc>
        <w:tc>
          <w:tcPr>
            <w:tcW w:type="dxa" w:w="7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22x</w:t>
            </w:r>
          </w:p>
        </w:tc>
        <w:tc>
          <w:tcPr>
            <w:tcW w:type="dxa" w:w="11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$135.30</w:t>
            </w:r>
          </w:p>
        </w:tc>
        <w:tc>
          <w:tcPr>
            <w:tcW w:type="dxa" w:w="1300"/>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right"/>
            </w:pPr>
            <w:r>
              <w:rPr>
                <w:rFonts w:ascii="Quicksand Light" w:cs="Quicksand Light" w:eastAsia="Quicksand Light" w:hAnsi="Quicksand Light"/>
                <w:color w:val="000000"/>
                <w:sz w:val="16"/>
                <w:szCs w:val="16"/>
              </w:rPr>
              <w:t xml:space="preserve">+25.0%</w:t>
            </w:r>
          </w:p>
        </w:tc>
      </w:tr>
    </w:tbl>
    <w:p>
      <w:pPr>
        <w:keepLines/>
        <w:spacing w:after="60" w:before="0" w:line="240" w:lineRule="auto"/>
        <w:jc w:val="left"/>
      </w:pPr>
      <w:r>
        <w:rPr>
          <w:rFonts w:ascii="Quicksand Light" w:cs="Quicksand Light" w:eastAsia="Quicksand Light" w:hAnsi="Quicksand Light"/>
          <w:color w:val="615F59"/>
          <w:sz w:val="14"/>
          <w:szCs w:val="14"/>
        </w:rPr>
        <w:t xml:space="preserve">Our scenarios, without probabilities. We have no GAAP FY2027 forecast; GAAP EPS will be lower by the after-tax acquisition-related costs.</w:t>
      </w:r>
    </w:p>
    <w:p>
      <w:pPr>
        <w:keepLines/>
        <w:spacing w:after="70" w:before="0" w:line="240" w:lineRule="auto"/>
        <w:jc w:val="both"/>
      </w:pPr>
      <w:r>
        <w:rPr>
          <w:rFonts w:ascii="Quicksand Medium" w:cs="Quicksand Medium" w:eastAsia="Quicksand Medium" w:hAnsi="Quicksand Medium"/>
          <w:color w:val="000000"/>
          <w:sz w:val="18"/>
          <w:szCs w:val="18"/>
        </w:rPr>
        <w:t xml:space="preserve">Revision.</w:t>
      </w:r>
      <w:r>
        <w:rPr>
          <w:rFonts w:ascii="Quicksand Light" w:cs="Quicksand Light" w:eastAsia="Quicksand Light" w:hAnsi="Quicksand Light"/>
          <w:color w:val="000000"/>
          <w:sz w:val="18"/>
          <w:szCs w:val="18"/>
        </w:rPr>
        <w:t xml:space="preserve"> Our previous base used 22x ($130.90). We cut it to 20x because consensus is Hold, the shares have fallen and core growth is below guidance, so the evidence does not support an ADP-level rating; 22x moves to the bull case. </w:t>
      </w:r>
      <w:r>
        <w:rPr>
          <w:rFonts w:ascii="Quicksand Medium" w:cs="Quicksand Medium" w:eastAsia="Quicksand Medium" w:hAnsi="Quicksand Medium"/>
          <w:color w:val="000000"/>
          <w:sz w:val="18"/>
          <w:szCs w:val="18"/>
        </w:rPr>
        <w:t xml:space="preserve">Multiple.</w:t>
      </w:r>
      <w:r>
        <w:rPr>
          <w:rFonts w:ascii="Quicksand Light" w:cs="Quicksand Light" w:eastAsia="Quicksand Light" w:hAnsi="Quicksand Light"/>
          <w:color w:val="000000"/>
          <w:sz w:val="18"/>
          <w:szCs w:val="18"/>
        </w:rPr>
        <w:t xml:space="preserve"> 20x sits between today’s 18.2x on FY2027 adjusted EPS and ADP at about 22.8x consensus forward earnings, although the periods and adjustments are not identical </w:t>
      </w:r>
      <w:r>
        <w:rPr>
          <w:rFonts w:ascii="Quicksand Light" w:cs="Quicksand Light" w:eastAsia="Quicksand Light" w:hAnsi="Quicksand Light"/>
          <w:color w:val="615F59"/>
          <w:sz w:val="15"/>
          <w:szCs w:val="15"/>
        </w:rPr>
        <w:t xml:space="preserve">[</w:t>
      </w:r>
      <w:hyperlink w:history="1" w:anchor="src_M9">
        <w:r>
          <w:rPr>
            <w:rFonts w:ascii="Quicksand Light" w:cs="Quicksand Light" w:eastAsia="Quicksand Light" w:hAnsi="Quicksand Light"/>
            <w:color w:val="615F59"/>
            <w:sz w:val="15"/>
            <w:szCs w:val="15"/>
          </w:rPr>
          <w:t xml:space="preserve">M9</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t>
      </w:r>
      <w:r>
        <w:rPr>
          <w:rFonts w:ascii="Quicksand Medium" w:cs="Quicksand Medium" w:eastAsia="Quicksand Medium" w:hAnsi="Quicksand Medium"/>
          <w:color w:val="000000"/>
          <w:sz w:val="18"/>
          <w:szCs w:val="18"/>
        </w:rPr>
        <w:t xml:space="preserve">Earnings versus rating.</w:t>
      </w:r>
      <w:r>
        <w:rPr>
          <w:rFonts w:ascii="Quicksand Light" w:cs="Quicksand Light" w:eastAsia="Quicksand Light" w:hAnsi="Quicksand Light"/>
          <w:color w:val="000000"/>
          <w:sz w:val="18"/>
          <w:szCs w:val="18"/>
        </w:rPr>
        <w:t xml:space="preserve"> At today’s 19.6x trailing adjusted multiple, guided EPS of $5.95 alone is worth $116.85 (+8.0%), and re-rating to 20x adds 2.0 points. The base therefore depends mainly on </w:t>
      </w:r>
      <w:r>
        <w:rPr>
          <w:rFonts w:ascii="Quicksand Medium" w:cs="Quicksand Medium" w:eastAsia="Quicksand Medium" w:hAnsi="Quicksand Medium"/>
          <w:color w:val="000000"/>
          <w:sz w:val="18"/>
          <w:szCs w:val="18"/>
        </w:rPr>
        <w:t xml:space="preserve">delivering guidance</w:t>
      </w:r>
      <w:r>
        <w:rPr>
          <w:rFonts w:ascii="Quicksand Light" w:cs="Quicksand Light" w:eastAsia="Quicksand Light" w:hAnsi="Quicksand Light"/>
          <w:color w:val="000000"/>
          <w:sz w:val="18"/>
          <w:szCs w:val="18"/>
        </w:rPr>
        <w:t xml:space="preserve">, not on re-rating. Note that $108.21 ÷ $5.95 = 18.19x, and 18.19x × $5.95 returns $108.21; that is an identity, not a forecast of zero return. The 22.1x GAAP trailing multiple and the 20x adjusted forward multiple are not interchangeable.</w:t>
      </w:r>
    </w:p>
    <w:p>
      <w:pPr>
        <w:keepLines/>
        <w:spacing w:after="70" w:before="0" w:line="240" w:lineRule="auto"/>
        <w:jc w:val="both"/>
      </w:pPr>
      <w:r>
        <w:rPr>
          <w:rFonts w:ascii="Quicksand Medium" w:cs="Quicksand Medium" w:eastAsia="Quicksand Medium" w:hAnsi="Quicksand Medium"/>
          <w:color w:val="000000"/>
          <w:sz w:val="18"/>
          <w:szCs w:val="18"/>
        </w:rPr>
        <w:t xml:space="preserve">Analyst context.</w:t>
      </w:r>
      <w:r>
        <w:rPr>
          <w:rFonts w:ascii="Quicksand Light" w:cs="Quicksand Light" w:eastAsia="Quicksand Light" w:hAnsi="Quicksand Light"/>
          <w:color w:val="000000"/>
          <w:sz w:val="18"/>
          <w:szCs w:val="18"/>
        </w:rPr>
        <w:t xml:space="preserve"> Stock Analysis consensus (retrieved 29 October) is Hold, with a mean target of $114.57 from 19 analysts </w:t>
      </w:r>
      <w:r>
        <w:rPr>
          <w:rFonts w:ascii="Quicksand Light" w:cs="Quicksand Light" w:eastAsia="Quicksand Light" w:hAnsi="Quicksand Light"/>
          <w:color w:val="615F59"/>
          <w:sz w:val="15"/>
          <w:szCs w:val="15"/>
        </w:rPr>
        <w:t xml:space="preserve">[</w:t>
      </w:r>
      <w:hyperlink w:history="1" w:anchor="src_M2">
        <w:r>
          <w:rPr>
            <w:rFonts w:ascii="Quicksand Light" w:cs="Quicksand Light" w:eastAsia="Quicksand Light" w:hAnsi="Quicksand Light"/>
            <w:color w:val="615F59"/>
            <w:sz w:val="15"/>
            <w:szCs w:val="15"/>
          </w:rPr>
          <w:t xml:space="preserve">M2</w:t>
        </w:r>
      </w:hyperlink>
      <w:r>
        <w:rPr>
          <w:rFonts w:ascii="Quicksand Light" w:cs="Quicksand Light" w:eastAsia="Quicksand Light" w:hAnsi="Quicksand Light"/>
          <w:color w:val="615F59"/>
          <w:sz w:val="15"/>
          <w:szCs w:val="15"/>
        </w:rPr>
        <w:t xml:space="preserve">]</w:t>
      </w:r>
      <w:r>
        <w:rPr>
          <w:rFonts w:ascii="Quicksand Light" w:cs="Quicksand Light" w:eastAsia="Quicksand Light" w:hAnsi="Quicksand Light"/>
          <w:color w:val="000000"/>
          <w:sz w:val="18"/>
          <w:szCs w:val="18"/>
        </w:rPr>
        <w:t xml:space="preserve">. We could not confirm current individual broker notes from full reports, so we cite none. </w:t>
      </w:r>
      <w:r>
        <w:rPr>
          <w:rFonts w:ascii="Quicksand Medium" w:cs="Quicksand Medium" w:eastAsia="Quicksand Medium" w:hAnsi="Quicksand Medium"/>
          <w:color w:val="000000"/>
          <w:sz w:val="18"/>
          <w:szCs w:val="18"/>
        </w:rPr>
        <w:t xml:space="preserve">Thesis-breaking risk:</w:t>
      </w:r>
      <w:r>
        <w:rPr>
          <w:rFonts w:ascii="Quicksand Light" w:cs="Quicksand Light" w:eastAsia="Quicksand Light" w:hAnsi="Quicksand Light"/>
          <w:color w:val="000000"/>
          <w:sz w:val="18"/>
          <w:szCs w:val="18"/>
        </w:rPr>
        <w:t xml:space="preserve"> weaker client retention or small-business employment slows Management Solutions further, leaving margin gains to cost cuts and the PEO while Paycor costs keep GAAP EPS below adjusted EPS. </w:t>
      </w:r>
      <w:r>
        <w:rPr>
          <w:rFonts w:ascii="Quicksand Medium" w:cs="Quicksand Medium" w:eastAsia="Quicksand Medium" w:hAnsi="Quicksand Medium"/>
          <w:color w:val="000000"/>
          <w:sz w:val="18"/>
          <w:szCs w:val="18"/>
        </w:rPr>
        <w:t xml:space="preserve">Next evidence:</w:t>
      </w:r>
      <w:r>
        <w:rPr>
          <w:rFonts w:ascii="Quicksand Light" w:cs="Quicksand Light" w:eastAsia="Quicksand Light" w:hAnsi="Quicksand Light"/>
          <w:color w:val="000000"/>
          <w:sz w:val="18"/>
          <w:szCs w:val="18"/>
        </w:rPr>
        <w:t xml:space="preserve"> Q2 FY2027 results (December): Management Solutions growth against 5–6%, retention, and debt reduction.</w:t>
      </w:r>
    </w:p>
    <w:p>
      <w:pPr>
        <w:keepNext/>
        <w:keepLines/>
        <w:spacing w:after="50" w:before="110"/>
      </w:pPr>
      <w:r>
        <w:rPr>
          <w:rFonts w:ascii="Agus Sans" w:cs="Agus Sans" w:eastAsia="Agus Sans" w:hAnsi="Agus Sans"/>
          <w:color w:val="790E17"/>
          <w:sz w:val="20"/>
          <w:szCs w:val="20"/>
        </w:rPr>
        <w:t xml:space="preserve">6  INVESTMENT PHILOSOPHY FIT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968"/>
        <w:gridCol w:w="2000"/>
        <w:gridCol w:w="2968"/>
      </w:tblGrid>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EPS growth ≥10% a year</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C21A27"/>
                <w:sz w:val="15"/>
                <w:szCs w:val="15"/>
              </w:rPr>
              <w:t xml:space="preserve">FAIL</w:t>
            </w:r>
            <w:r>
              <w:rPr>
                <w:rFonts w:ascii="Quicksand Light" w:cs="Quicksand Light" w:eastAsia="Quicksand Light" w:hAnsi="Quicksand Light"/>
                <w:color w:val="000000"/>
                <w:sz w:val="15"/>
                <w:szCs w:val="15"/>
              </w:rPr>
              <w:t xml:space="preserve">  FY2025 −1.9%, FY2026 +6.8% (GAAP)</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Net margin &gt;17.5%</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000000"/>
                <w:sz w:val="15"/>
                <w:szCs w:val="15"/>
              </w:rPr>
              <w:t xml:space="preserve">PASS</w:t>
            </w:r>
            <w:r>
              <w:rPr>
                <w:rFonts w:ascii="Quicksand Light" w:cs="Quicksand Light" w:eastAsia="Quicksand Light" w:hAnsi="Quicksand Light"/>
                <w:color w:val="000000"/>
                <w:sz w:val="15"/>
                <w:szCs w:val="15"/>
              </w:rPr>
              <w:t xml:space="preserve">  27.0% in FY2026, down from 32.0%</w:t>
            </w:r>
          </w:p>
        </w:tc>
      </w:tr>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ROE &gt;15%</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615F59"/>
                <w:sz w:val="15"/>
                <w:szCs w:val="15"/>
              </w:rPr>
              <w:t xml:space="preserve">UNVERIFIED</w:t>
            </w:r>
            <w:r>
              <w:rPr>
                <w:rFonts w:ascii="Quicksand Light" w:cs="Quicksand Light" w:eastAsia="Quicksand Light" w:hAnsi="Quicksand Light"/>
                <w:color w:val="000000"/>
                <w:sz w:val="15"/>
                <w:szCs w:val="15"/>
              </w:rPr>
              <w:t xml:space="preserve">  provider c.47%, not rebuilt</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Debt/equity &lt;1.5</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615F59"/>
                <w:sz w:val="15"/>
                <w:szCs w:val="15"/>
              </w:rPr>
              <w:t xml:space="preserve">UNVERIFIED</w:t>
            </w:r>
            <w:r>
              <w:rPr>
                <w:rFonts w:ascii="Quicksand Light" w:cs="Quicksand Light" w:eastAsia="Quicksand Light" w:hAnsi="Quicksand Light"/>
                <w:color w:val="000000"/>
                <w:sz w:val="15"/>
                <w:szCs w:val="15"/>
              </w:rPr>
              <w:t xml:space="preserve">  $4.6bn debt; provider c.1.25x</w:t>
            </w:r>
          </w:p>
        </w:tc>
      </w:tr>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Rising interest coverage</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C21A27"/>
                <w:sz w:val="15"/>
                <w:szCs w:val="15"/>
              </w:rPr>
              <w:t xml:space="preserve">FAIL</w:t>
            </w:r>
            <w:r>
              <w:rPr>
                <w:rFonts w:ascii="Quicksand Light" w:cs="Quicksand Light" w:eastAsia="Quicksand Light" w:hAnsi="Quicksand Light"/>
                <w:color w:val="000000"/>
                <w:sz w:val="15"/>
                <w:szCs w:val="15"/>
              </w:rPr>
              <w:t xml:space="preserve">  operating income ÷ interest 9.3x in FY2026, from above 20x</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790E17"/>
                <w:sz w:val="15"/>
                <w:szCs w:val="15"/>
              </w:rPr>
              <w:t xml:space="preserve">Positive, growing FCF</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keepLines/>
              <w:spacing w:after="0" w:before="0" w:line="228"/>
              <w:jc w:val="left"/>
            </w:pPr>
            <w:r>
              <w:rPr>
                <w:rFonts w:ascii="Quicksand Medium" w:cs="Quicksand Medium" w:eastAsia="Quicksand Medium" w:hAnsi="Quicksand Medium"/>
                <w:color w:val="615F59"/>
                <w:sz w:val="15"/>
                <w:szCs w:val="15"/>
              </w:rPr>
              <w:t xml:space="preserve">UNVERIFIED</w:t>
            </w:r>
            <w:r>
              <w:rPr>
                <w:rFonts w:ascii="Quicksand Light" w:cs="Quicksand Light" w:eastAsia="Quicksand Light" w:hAnsi="Quicksand Light"/>
                <w:color w:val="000000"/>
                <w:sz w:val="15"/>
                <w:szCs w:val="15"/>
              </w:rPr>
              <w:t xml:space="preserve">  five-year series not built</w:t>
            </w:r>
          </w:p>
        </w:tc>
      </w:tr>
      <w:tr>
        <w:trPr>
          <w:cantSplit/>
        </w:trPr>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790E17"/>
                <w:sz w:val="15"/>
                <w:szCs w:val="15"/>
              </w:rPr>
              <w:t xml:space="preserve">P/E and P/B below industry</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615F59"/>
                <w:sz w:val="15"/>
                <w:szCs w:val="15"/>
              </w:rPr>
              <w:t xml:space="preserve">NOT ESTABLISHED</w:t>
            </w:r>
            <w:r>
              <w:rPr>
                <w:rFonts w:ascii="Quicksand Light" w:cs="Quicksand Light" w:eastAsia="Quicksand Light" w:hAnsi="Quicksand Light"/>
                <w:color w:val="000000"/>
                <w:sz w:val="15"/>
                <w:szCs w:val="15"/>
              </w:rPr>
              <w:t xml:space="preserve">  no defined peer set</w:t>
            </w:r>
          </w:p>
        </w:tc>
        <w:tc>
          <w:tcPr>
            <w:tcW w:type="dxa" w:w="2000"/>
            <w:tcBorders>
              <w:top w:val="single" w:color="D9D9D9" w:sz="4"/>
              <w:left w:val="none" w:color="FFFFFF" w:sz="0"/>
              <w:bottom w:val="single" w:color="D9D9D9" w:sz="4"/>
              <w:right w:val="none" w:color="FFFFFF" w:sz="0"/>
            </w:tcBorders>
            <w:shd w:fill="F2F2F2" w:color="auto" w:val="clear"/>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790E17"/>
                <w:sz w:val="15"/>
                <w:szCs w:val="15"/>
              </w:rPr>
              <w:t xml:space="preserve">Sector preference</w:t>
            </w:r>
          </w:p>
        </w:tc>
        <w:tc>
          <w:tcPr>
            <w:tcW w:type="dxa" w:w="2968"/>
            <w:tcBorders>
              <w:top w:val="single" w:color="D9D9D9" w:sz="4"/>
              <w:left w:val="none" w:color="FFFFFF" w:sz="0"/>
              <w:bottom w:val="single" w:color="D9D9D9" w:sz="4"/>
              <w:right w:val="none" w:color="FFFFFF" w:sz="0"/>
            </w:tcBorders>
            <w:tcMar>
              <w:top w:type="dxa" w:w="45"/>
              <w:left w:type="dxa" w:w="80"/>
              <w:bottom w:type="dxa" w:w="45"/>
              <w:right w:type="dxa" w:w="80"/>
            </w:tcMar>
            <w:vAlign w:val="center"/>
          </w:tcPr>
          <w:p>
            <w:pPr>
              <w:keepNext w:val="false"/>
              <w:keepLines/>
              <w:spacing w:after="0" w:before="0" w:line="228"/>
              <w:jc w:val="left"/>
            </w:pPr>
            <w:r>
              <w:rPr>
                <w:rFonts w:ascii="Quicksand Medium" w:cs="Quicksand Medium" w:eastAsia="Quicksand Medium" w:hAnsi="Quicksand Medium"/>
                <w:color w:val="615F59"/>
                <w:sz w:val="15"/>
                <w:szCs w:val="15"/>
              </w:rPr>
              <w:t xml:space="preserve">NOT PREFERRED</w:t>
            </w:r>
            <w:r>
              <w:rPr>
                <w:rFonts w:ascii="Quicksand Light" w:cs="Quicksand Light" w:eastAsia="Quicksand Light" w:hAnsi="Quicksand Light"/>
                <w:color w:val="000000"/>
                <w:sz w:val="15"/>
                <w:szCs w:val="15"/>
              </w:rPr>
              <w:t xml:space="preserve">  Industrials (preference only)</w:t>
            </w:r>
          </w:p>
        </w:tc>
      </w:tr>
    </w:tbl>
    <w:p>
      <w:pPr>
        <w:keepLines/>
        <w:spacing w:after="70" w:before="60" w:line="240" w:lineRule="auto"/>
        <w:jc w:val="both"/>
      </w:pPr>
      <w:r>
        <w:rPr>
          <w:rFonts w:ascii="Quicksand Medium" w:cs="Quicksand Medium" w:eastAsia="Quicksand Medium" w:hAnsi="Quicksand Medium"/>
          <w:color w:val="000000"/>
          <w:sz w:val="18"/>
          <w:szCs w:val="18"/>
        </w:rPr>
        <w:t xml:space="preserve">Attractiveness versus eligibility.</w:t>
      </w:r>
      <w:r>
        <w:rPr>
          <w:rFonts w:ascii="Quicksand Light" w:cs="Quicksand Light" w:eastAsia="Quicksand Light" w:hAnsi="Quicksand Light"/>
          <w:color w:val="000000"/>
          <w:sz w:val="18"/>
          <w:szCs w:val="18"/>
        </w:rPr>
        <w:t xml:space="preserve"> Paychex fails </w:t>
      </w:r>
      <w:r>
        <w:rPr>
          <w:rFonts w:ascii="Quicksand Medium" w:cs="Quicksand Medium" w:eastAsia="Quicksand Medium" w:hAnsi="Quicksand Medium"/>
          <w:color w:val="000000"/>
          <w:sz w:val="18"/>
          <w:szCs w:val="18"/>
        </w:rPr>
        <w:t xml:space="preserve">two hard rules</w:t>
      </w:r>
      <w:r>
        <w:rPr>
          <w:rFonts w:ascii="Quicksand Light" w:cs="Quicksand Light" w:eastAsia="Quicksand Light" w:hAnsi="Quicksand Light"/>
          <w:color w:val="000000"/>
          <w:sz w:val="18"/>
          <w:szCs w:val="18"/>
        </w:rPr>
        <w:t xml:space="preserve">, EPS growth and rising interest coverage, both caused by the debt-funded Paycor deal, and it could pass them again once integration costs fade. Its investment case at today’s price is the least differentiated of the three: a modest base return that depends on guidance Q1 core growth did not yet support. Hold. Governance and ESG reviews are still open.</w:t>
      </w:r>
    </w:p>
    <w:p>
      <w:pPr>
        <w:keepNext/>
        <w:pageBreakBefore/>
        <w:spacing w:after="20" w:before="0"/>
      </w:pPr>
      <w:r>
        <w:rPr>
          <w:rFonts w:ascii="Agus Sans" w:cs="Agus Sans" w:eastAsia="Agus Sans" w:hAnsi="Agus Sans"/>
          <w:color w:val="C21A27"/>
          <w:sz w:val="30"/>
          <w:szCs w:val="30"/>
        </w:rPr>
        <w:t xml:space="preserve">SOURCES</w:t>
      </w:r>
    </w:p>
    <w:p>
      <w:pPr>
        <w:keepNext/>
        <w:pBdr>
          <w:bottom w:val="single" w:color="C21A27" w:sz="6" w:space="3"/>
        </w:pBdr>
        <w:spacing w:after="100" w:before="0"/>
      </w:pPr>
      <w:r>
        <w:rPr>
          <w:rFonts w:ascii="Agus Sans" w:cs="Agus Sans" w:eastAsia="Agus Sans" w:hAnsi="Agus Sans"/>
          <w:color w:val="615F59"/>
          <w:sz w:val="16"/>
          <w:szCs w:val="16"/>
        </w:rPr>
        <w:t xml:space="preserve">COMPANY FILINGS AND RELEASES ARE PRIMARY EVIDENCE; TRANSCRIPTS, PRESS SUMMARIES AND AGGREGATORS ARE SECONDARY</w:t>
      </w:r>
    </w:p>
    <w:p>
      <w:pPr>
        <w:keepNext/>
        <w:spacing w:after="20" w:before="60"/>
      </w:pPr>
      <w:r>
        <w:rPr>
          <w:rFonts w:ascii="Agus Sans" w:cs="Agus Sans" w:eastAsia="Agus Sans" w:hAnsi="Agus Sans"/>
          <w:color w:val="790E17"/>
          <w:sz w:val="17"/>
          <w:szCs w:val="17"/>
        </w:rPr>
        <w:t xml:space="preserve">JEME</w:t>
      </w:r>
    </w:p>
    <w:p>
      <w:pPr>
        <w:spacing w:after="20" w:before="0" w:line="216" w:lineRule="auto"/>
        <w:ind w:left="360" w:hanging="360"/>
      </w:pPr>
      <w:bookmarkStart w:name="src_J1" w:id="101"/>
      <w:r>
        <w:rPr>
          <w:rFonts w:ascii="Quicksand Medium" w:cs="Quicksand Medium" w:eastAsia="Quicksand Medium" w:hAnsi="Quicksand Medium"/>
          <w:color w:val="C21A27"/>
          <w:sz w:val="15"/>
          <w:szCs w:val="15"/>
        </w:rPr>
        <w:t xml:space="preserve">J1  </w:t>
      </w:r>
      <w:bookmarkEnd w:id="101"/>
      <w:r>
        <w:rPr>
          <w:rFonts w:ascii="Quicksand Light" w:cs="Quicksand Light" w:eastAsia="Quicksand Light" w:hAnsi="Quicksand Light"/>
          <w:color w:val="000000"/>
          <w:sz w:val="15"/>
          <w:szCs w:val="15"/>
        </w:rPr>
        <w:t xml:space="preserve">JEME Capital Investment Philosophy, section 3 (equity selection criteria) and section 7. Attached PDF.</w:t>
      </w:r>
    </w:p>
    <w:p>
      <w:pPr>
        <w:spacing w:after="20" w:before="0" w:line="216" w:lineRule="auto"/>
        <w:ind w:left="360" w:hanging="360"/>
      </w:pPr>
      <w:bookmarkStart w:name="src_J2" w:id="102"/>
      <w:r>
        <w:rPr>
          <w:rFonts w:ascii="Quicksand Medium" w:cs="Quicksand Medium" w:eastAsia="Quicksand Medium" w:hAnsi="Quicksand Medium"/>
          <w:color w:val="C21A27"/>
          <w:sz w:val="15"/>
          <w:szCs w:val="15"/>
        </w:rPr>
        <w:t xml:space="preserve">J2  </w:t>
      </w:r>
      <w:bookmarkEnd w:id="102"/>
      <w:r>
        <w:rPr>
          <w:rFonts w:ascii="Quicksand Light" w:cs="Quicksand Light" w:eastAsia="Quicksand Light" w:hAnsi="Quicksand Light"/>
          <w:color w:val="000000"/>
          <w:sz w:val="15"/>
          <w:szCs w:val="15"/>
        </w:rPr>
        <w:t xml:space="preserve">JEME Capital Fall 2026 Guidelines, AI usage and research guidelines. Attached Word file.</w:t>
      </w:r>
    </w:p>
    <w:p>
      <w:pPr>
        <w:keepNext/>
        <w:spacing w:after="20" w:before="60"/>
      </w:pPr>
      <w:r>
        <w:rPr>
          <w:rFonts w:ascii="Agus Sans" w:cs="Agus Sans" w:eastAsia="Agus Sans" w:hAnsi="Agus Sans"/>
          <w:color w:val="790E17"/>
          <w:sz w:val="17"/>
          <w:szCs w:val="17"/>
        </w:rPr>
        <w:t xml:space="preserve">VINCI</w:t>
      </w:r>
    </w:p>
    <w:p>
      <w:pPr>
        <w:spacing w:after="20" w:before="0" w:line="216" w:lineRule="auto"/>
        <w:ind w:left="360" w:hanging="360"/>
      </w:pPr>
      <w:bookmarkStart w:name="src_V1" w:id="103"/>
      <w:r>
        <w:rPr>
          <w:rFonts w:ascii="Quicksand Medium" w:cs="Quicksand Medium" w:eastAsia="Quicksand Medium" w:hAnsi="Quicksand Medium"/>
          <w:color w:val="C21A27"/>
          <w:sz w:val="15"/>
          <w:szCs w:val="15"/>
        </w:rPr>
        <w:t xml:space="preserve">V1  </w:t>
      </w:r>
      <w:bookmarkEnd w:id="103"/>
      <w:r>
        <w:rPr>
          <w:rFonts w:ascii="Quicksand Light" w:cs="Quicksand Light" w:eastAsia="Quicksand Light" w:hAnsi="Quicksand Light"/>
          <w:color w:val="000000"/>
          <w:sz w:val="15"/>
          <w:szCs w:val="15"/>
        </w:rPr>
        <w:t xml:space="preserve">VINCI, 2025 annual results press release (February 2026): revenue, Ebit, net income, EPS, exceptional tax, FCF, dividend. </w:t>
      </w:r>
      <w:hyperlink w:history="1" r:id="rIdrj9wrvlevhmhiwn8ythfm">
        <w:r>
          <w:rPr>
            <w:rFonts w:ascii="Quicksand Light" w:cs="Quicksand Light" w:eastAsia="Quicksand Light" w:hAnsi="Quicksand Light"/>
            <w:color w:val="C21A27"/>
            <w:sz w:val="13"/>
            <w:szCs w:val="13"/>
            <w:u w:val="single"/>
          </w:rPr>
          <w:t xml:space="preserve">vinci.com/sites/default/files/medias/communiques/file/2026-02/press-release-vinci-full-year-2025.pdf</w:t>
        </w:r>
      </w:hyperlink>
    </w:p>
    <w:p>
      <w:pPr>
        <w:spacing w:after="20" w:before="0" w:line="216" w:lineRule="auto"/>
        <w:ind w:left="360" w:hanging="360"/>
      </w:pPr>
      <w:bookmarkStart w:name="src_V2" w:id="104"/>
      <w:r>
        <w:rPr>
          <w:rFonts w:ascii="Quicksand Medium" w:cs="Quicksand Medium" w:eastAsia="Quicksand Medium" w:hAnsi="Quicksand Medium"/>
          <w:color w:val="C21A27"/>
          <w:sz w:val="15"/>
          <w:szCs w:val="15"/>
        </w:rPr>
        <w:t xml:space="preserve">V2  </w:t>
      </w:r>
      <w:bookmarkEnd w:id="104"/>
      <w:r>
        <w:rPr>
          <w:rFonts w:ascii="Quicksand Light" w:cs="Quicksand Light" w:eastAsia="Quicksand Light" w:hAnsi="Quicksand Light"/>
          <w:color w:val="000000"/>
          <w:sz w:val="15"/>
          <w:szCs w:val="15"/>
        </w:rPr>
        <w:t xml:space="preserve">VINCI, consolidated financial statements at 31 December 2025: segment information and operating income notes. </w:t>
      </w:r>
      <w:hyperlink w:history="1" r:id="rId41gsby2pqqfsu3dbtgtb3">
        <w:r>
          <w:rPr>
            <w:rFonts w:ascii="Quicksand Light" w:cs="Quicksand Light" w:eastAsia="Quicksand Light" w:hAnsi="Quicksand Light"/>
            <w:color w:val="C21A27"/>
            <w:sz w:val="13"/>
            <w:szCs w:val="13"/>
            <w:u w:val="single"/>
          </w:rPr>
          <w:t xml:space="preserve">vinci.com/publi/vinci/vinci-consolidated-financial-statements-at-31-december-2025-en.pdf</w:t>
        </w:r>
      </w:hyperlink>
    </w:p>
    <w:p>
      <w:pPr>
        <w:spacing w:after="20" w:before="0" w:line="216" w:lineRule="auto"/>
        <w:ind w:left="360" w:hanging="360"/>
      </w:pPr>
      <w:bookmarkStart w:name="src_V3" w:id="105"/>
      <w:r>
        <w:rPr>
          <w:rFonts w:ascii="Quicksand Medium" w:cs="Quicksand Medium" w:eastAsia="Quicksand Medium" w:hAnsi="Quicksand Medium"/>
          <w:color w:val="C21A27"/>
          <w:sz w:val="15"/>
          <w:szCs w:val="15"/>
        </w:rPr>
        <w:t xml:space="preserve">V3  </w:t>
      </w:r>
      <w:bookmarkEnd w:id="105"/>
      <w:r>
        <w:rPr>
          <w:rFonts w:ascii="Quicksand Light" w:cs="Quicksand Light" w:eastAsia="Quicksand Light" w:hAnsi="Quicksand Light"/>
          <w:color w:val="000000"/>
          <w:sz w:val="15"/>
          <w:szCs w:val="15"/>
        </w:rPr>
        <w:t xml:space="preserve">VINCI, H1 2026 results press release (30 July 2026): €323m surtax in H1, EPS €3.70, guidance. </w:t>
      </w:r>
      <w:hyperlink w:history="1" r:id="rIdt5rfmgquddgciqogzyrrd">
        <w:r>
          <w:rPr>
            <w:rFonts w:ascii="Quicksand Light" w:cs="Quicksand Light" w:eastAsia="Quicksand Light" w:hAnsi="Quicksand Light"/>
            <w:color w:val="C21A27"/>
            <w:sz w:val="13"/>
            <w:szCs w:val="13"/>
            <w:u w:val="single"/>
          </w:rPr>
          <w:t xml:space="preserve">vinci.com/sites/default/files/medias/communiques/file/2026-07/CP%20VINCI%20H1%202026%20EN.pdf</w:t>
        </w:r>
      </w:hyperlink>
    </w:p>
    <w:p>
      <w:pPr>
        <w:spacing w:after="20" w:before="0" w:line="216" w:lineRule="auto"/>
        <w:ind w:left="360" w:hanging="360"/>
      </w:pPr>
      <w:bookmarkStart w:name="src_V4" w:id="106"/>
      <w:r>
        <w:rPr>
          <w:rFonts w:ascii="Quicksand Medium" w:cs="Quicksand Medium" w:eastAsia="Quicksand Medium" w:hAnsi="Quicksand Medium"/>
          <w:color w:val="C21A27"/>
          <w:sz w:val="15"/>
          <w:szCs w:val="15"/>
        </w:rPr>
        <w:t xml:space="preserve">V4  </w:t>
      </w:r>
      <w:bookmarkEnd w:id="106"/>
      <w:r>
        <w:rPr>
          <w:rFonts w:ascii="Quicksand Light" w:cs="Quicksand Light" w:eastAsia="Quicksand Light" w:hAnsi="Quicksand Light"/>
          <w:color w:val="000000"/>
          <w:sz w:val="15"/>
          <w:szCs w:val="15"/>
        </w:rPr>
        <w:t xml:space="preserve">VINCI, 9M 2026 revenue release (22 October 2026): revenue, order intake, order book, outlook and TEITLD exclusion. </w:t>
      </w:r>
      <w:hyperlink w:history="1" r:id="rIddfe0psqvmyf5ht7ur6zqj">
        <w:r>
          <w:rPr>
            <w:rFonts w:ascii="Quicksand Light" w:cs="Quicksand Light" w:eastAsia="Quicksand Light" w:hAnsi="Quicksand Light"/>
            <w:color w:val="C21A27"/>
            <w:sz w:val="13"/>
            <w:szCs w:val="13"/>
            <w:u w:val="single"/>
          </w:rPr>
          <w:t xml:space="preserve">globenewswire.com/news-release/2026/10/22/3386691/0/en/vinci-9m-2026-further-growth-in-revenue-and-order-intake.html</w:t>
        </w:r>
      </w:hyperlink>
    </w:p>
    <w:p>
      <w:pPr>
        <w:spacing w:after="20" w:before="0" w:line="216" w:lineRule="auto"/>
        <w:ind w:left="360" w:hanging="360"/>
      </w:pPr>
      <w:bookmarkStart w:name="src_V5" w:id="107"/>
      <w:r>
        <w:rPr>
          <w:rFonts w:ascii="Quicksand Medium" w:cs="Quicksand Medium" w:eastAsia="Quicksand Medium" w:hAnsi="Quicksand Medium"/>
          <w:color w:val="C21A27"/>
          <w:sz w:val="15"/>
          <w:szCs w:val="15"/>
        </w:rPr>
        <w:t xml:space="preserve">V5  </w:t>
      </w:r>
      <w:bookmarkEnd w:id="107"/>
      <w:r>
        <w:rPr>
          <w:rFonts w:ascii="Quicksand Light" w:cs="Quicksand Light" w:eastAsia="Quicksand Light" w:hAnsi="Quicksand Light"/>
          <w:color w:val="000000"/>
          <w:sz w:val="15"/>
          <w:szCs w:val="15"/>
        </w:rPr>
        <w:t xml:space="preserve">VINCI Q3 2026 conference call transcript (Investing.com, 22 October 2026): about €450m TEITLD charge to 2026 earnings, payable 2027. </w:t>
      </w:r>
      <w:hyperlink w:history="1" r:id="rIdoty9nwl7neo4s1can9pxg">
        <w:r>
          <w:rPr>
            <w:rFonts w:ascii="Quicksand Light" w:cs="Quicksand Light" w:eastAsia="Quicksand Light" w:hAnsi="Quicksand Light"/>
            <w:color w:val="C21A27"/>
            <w:sz w:val="13"/>
            <w:szCs w:val="13"/>
            <w:u w:val="single"/>
          </w:rPr>
          <w:t xml:space="preserve">investing.com/news/transcripts/earnings-call-transcript-vinci-q3-2026-revenue-growth-lifts-outlook-93CH-4967044</w:t>
        </w:r>
      </w:hyperlink>
    </w:p>
    <w:p>
      <w:pPr>
        <w:spacing w:after="20" w:before="0" w:line="216" w:lineRule="auto"/>
        <w:ind w:left="360" w:hanging="360"/>
      </w:pPr>
      <w:bookmarkStart w:name="src_V6" w:id="108"/>
      <w:r>
        <w:rPr>
          <w:rFonts w:ascii="Quicksand Medium" w:cs="Quicksand Medium" w:eastAsia="Quicksand Medium" w:hAnsi="Quicksand Medium"/>
          <w:color w:val="C21A27"/>
          <w:sz w:val="15"/>
          <w:szCs w:val="15"/>
        </w:rPr>
        <w:t xml:space="preserve">V6  </w:t>
      </w:r>
      <w:bookmarkEnd w:id="108"/>
      <w:r>
        <w:rPr>
          <w:rFonts w:ascii="Quicksand Light" w:cs="Quicksand Light" w:eastAsia="Quicksand Light" w:hAnsi="Quicksand Light"/>
          <w:color w:val="000000"/>
          <w:sz w:val="15"/>
          <w:szCs w:val="15"/>
        </w:rPr>
        <w:t xml:space="preserve">Légifiscal, 2026 Finance Law: extension of the exceptional contribution on large-company profits (Article 12; Law of 19 February 2026); PLF 2027 proposes a further year. </w:t>
      </w:r>
      <w:hyperlink w:history="1" r:id="rIdhtyhtizlvd_8kqwcdcc0k">
        <w:r>
          <w:rPr>
            <w:rFonts w:ascii="Quicksand Light" w:cs="Quicksand Light" w:eastAsia="Quicksand Light" w:hAnsi="Quicksand Light"/>
            <w:color w:val="C21A27"/>
            <w:sz w:val="13"/>
            <w:szCs w:val="13"/>
            <w:u w:val="single"/>
          </w:rPr>
          <w:t xml:space="preserve">legifiscal.fr/actualites-fiscales/4402-plf-2026-49-3-maintien-contribution-exceptionnelle-benefices-grandes-entreprises.html</w:t>
        </w:r>
      </w:hyperlink>
    </w:p>
    <w:p>
      <w:pPr>
        <w:spacing w:after="20" w:before="0" w:line="216" w:lineRule="auto"/>
        <w:ind w:left="360" w:hanging="360"/>
      </w:pPr>
      <w:bookmarkStart w:name="src_V7" w:id="109"/>
      <w:r>
        <w:rPr>
          <w:rFonts w:ascii="Quicksand Medium" w:cs="Quicksand Medium" w:eastAsia="Quicksand Medium" w:hAnsi="Quicksand Medium"/>
          <w:color w:val="C21A27"/>
          <w:sz w:val="15"/>
          <w:szCs w:val="15"/>
        </w:rPr>
        <w:t xml:space="preserve">V7  </w:t>
      </w:r>
      <w:bookmarkEnd w:id="109"/>
      <w:r>
        <w:rPr>
          <w:rFonts w:ascii="Quicksand Light" w:cs="Quicksand Light" w:eastAsia="Quicksand Light" w:hAnsi="Quicksand Light"/>
          <w:color w:val="000000"/>
          <w:sz w:val="15"/>
          <w:szCs w:val="15"/>
        </w:rPr>
        <w:t xml:space="preserve">Reuters via Yahoo Finance, "Eiffage, Vinci shares fall as France plans to raise motorway, airport tax" (2026): TEITLD proposal and Morgan Stanley estimate (public summary). </w:t>
      </w:r>
      <w:hyperlink w:history="1" r:id="rIdmdoglunqqurzhnxqc4oz4">
        <w:r>
          <w:rPr>
            <w:rFonts w:ascii="Quicksand Light" w:cs="Quicksand Light" w:eastAsia="Quicksand Light" w:hAnsi="Quicksand Light"/>
            <w:color w:val="C21A27"/>
            <w:sz w:val="13"/>
            <w:szCs w:val="13"/>
            <w:u w:val="single"/>
          </w:rPr>
          <w:t xml:space="preserve">au.finance.yahoo.com/news/eiffage-vinci-shares-fall-france-094809464.html</w:t>
        </w:r>
      </w:hyperlink>
    </w:p>
    <w:p>
      <w:pPr>
        <w:spacing w:after="20" w:before="0" w:line="216" w:lineRule="auto"/>
        <w:ind w:left="360" w:hanging="360"/>
      </w:pPr>
      <w:bookmarkStart w:name="src_V8" w:id="110"/>
      <w:r>
        <w:rPr>
          <w:rFonts w:ascii="Quicksand Medium" w:cs="Quicksand Medium" w:eastAsia="Quicksand Medium" w:hAnsi="Quicksand Medium"/>
          <w:color w:val="C21A27"/>
          <w:sz w:val="15"/>
          <w:szCs w:val="15"/>
        </w:rPr>
        <w:t xml:space="preserve">V8  </w:t>
      </w:r>
      <w:bookmarkEnd w:id="110"/>
      <w:r>
        <w:rPr>
          <w:rFonts w:ascii="Quicksand Light" w:cs="Quicksand Light" w:eastAsia="Quicksand Light" w:hAnsi="Quicksand Light"/>
          <w:color w:val="000000"/>
          <w:sz w:val="15"/>
          <w:szCs w:val="15"/>
        </w:rPr>
        <w:t xml:space="preserve">VINCI, 2024 annual results (6 February 2025): 2023 and 2024 comparatives. </w:t>
      </w:r>
      <w:hyperlink w:history="1" r:id="rIdr3znos0i1pwx5u8f588iw">
        <w:r>
          <w:rPr>
            <w:rFonts w:ascii="Quicksand Light" w:cs="Quicksand Light" w:eastAsia="Quicksand Light" w:hAnsi="Quicksand Light"/>
            <w:color w:val="C21A27"/>
            <w:sz w:val="13"/>
            <w:szCs w:val="13"/>
            <w:u w:val="single"/>
          </w:rPr>
          <w:t xml:space="preserve">globenewswire.com/news-release/2025/02/06/3022248/0/en/VINCI-2024-Annual-Results.html</w:t>
        </w:r>
      </w:hyperlink>
    </w:p>
    <w:p>
      <w:pPr>
        <w:spacing w:after="20" w:before="0" w:line="216" w:lineRule="auto"/>
        <w:ind w:left="360" w:hanging="360"/>
      </w:pPr>
      <w:bookmarkStart w:name="src_V9" w:id="111"/>
      <w:r>
        <w:rPr>
          <w:rFonts w:ascii="Quicksand Medium" w:cs="Quicksand Medium" w:eastAsia="Quicksand Medium" w:hAnsi="Quicksand Medium"/>
          <w:color w:val="C21A27"/>
          <w:sz w:val="15"/>
          <w:szCs w:val="15"/>
        </w:rPr>
        <w:t xml:space="preserve">V9  </w:t>
      </w:r>
      <w:bookmarkEnd w:id="111"/>
      <w:r>
        <w:rPr>
          <w:rFonts w:ascii="Quicksand Light" w:cs="Quicksand Light" w:eastAsia="Quicksand Light" w:hAnsi="Quicksand Light"/>
          <w:color w:val="000000"/>
          <w:sz w:val="15"/>
          <w:szCs w:val="15"/>
        </w:rPr>
        <w:t xml:space="preserve">VINCI, analysts and consensus page (coverage list). </w:t>
      </w:r>
      <w:hyperlink w:history="1" r:id="rId52eyv6b1twneu1b2wvgea">
        <w:r>
          <w:rPr>
            <w:rFonts w:ascii="Quicksand Light" w:cs="Quicksand Light" w:eastAsia="Quicksand Light" w:hAnsi="Quicksand Light"/>
            <w:color w:val="C21A27"/>
            <w:sz w:val="13"/>
            <w:szCs w:val="13"/>
            <w:u w:val="single"/>
          </w:rPr>
          <w:t xml:space="preserve">vinci.com/en/finance/share/analysts-and-consensus</w:t>
        </w:r>
      </w:hyperlink>
    </w:p>
    <w:p>
      <w:pPr>
        <w:keepNext/>
        <w:spacing w:after="20" w:before="60"/>
      </w:pPr>
      <w:r>
        <w:rPr>
          <w:rFonts w:ascii="Agus Sans" w:cs="Agus Sans" w:eastAsia="Agus Sans" w:hAnsi="Agus Sans"/>
          <w:color w:val="790E17"/>
          <w:sz w:val="17"/>
          <w:szCs w:val="17"/>
        </w:rPr>
        <w:t xml:space="preserve">COPART</w:t>
      </w:r>
    </w:p>
    <w:p>
      <w:pPr>
        <w:spacing w:after="20" w:before="0" w:line="216" w:lineRule="auto"/>
        <w:ind w:left="360" w:hanging="360"/>
      </w:pPr>
      <w:bookmarkStart w:name="src_C1" w:id="112"/>
      <w:r>
        <w:rPr>
          <w:rFonts w:ascii="Quicksand Medium" w:cs="Quicksand Medium" w:eastAsia="Quicksand Medium" w:hAnsi="Quicksand Medium"/>
          <w:color w:val="C21A27"/>
          <w:sz w:val="15"/>
          <w:szCs w:val="15"/>
        </w:rPr>
        <w:t xml:space="preserve">C1  </w:t>
      </w:r>
      <w:bookmarkEnd w:id="112"/>
      <w:r>
        <w:rPr>
          <w:rFonts w:ascii="Quicksand Light" w:cs="Quicksand Light" w:eastAsia="Quicksand Light" w:hAnsi="Quicksand Light"/>
          <w:color w:val="000000"/>
          <w:sz w:val="15"/>
          <w:szCs w:val="15"/>
        </w:rPr>
        <w:t xml:space="preserve">Copart, Form 10-K for the year ended 31 July 2026: Item 8 balance sheet (cash, held-to-maturity securities, equity) and income statement. </w:t>
      </w:r>
      <w:hyperlink w:history="1" r:id="rId0i5ldydaswpzwzeq0qudq">
        <w:r>
          <w:rPr>
            <w:rFonts w:ascii="Quicksand Light" w:cs="Quicksand Light" w:eastAsia="Quicksand Light" w:hAnsi="Quicksand Light"/>
            <w:color w:val="C21A27"/>
            <w:sz w:val="13"/>
            <w:szCs w:val="13"/>
            <w:u w:val="single"/>
          </w:rPr>
          <w:t xml:space="preserve">sec.gov/Archives/edgar/data/900075/000119312526405731/cprt-20260731.htm</w:t>
        </w:r>
      </w:hyperlink>
    </w:p>
    <w:p>
      <w:pPr>
        <w:spacing w:after="20" w:before="0" w:line="216" w:lineRule="auto"/>
        <w:ind w:left="360" w:hanging="360"/>
      </w:pPr>
      <w:bookmarkStart w:name="src_C2" w:id="113"/>
      <w:r>
        <w:rPr>
          <w:rFonts w:ascii="Quicksand Medium" w:cs="Quicksand Medium" w:eastAsia="Quicksand Medium" w:hAnsi="Quicksand Medium"/>
          <w:color w:val="C21A27"/>
          <w:sz w:val="15"/>
          <w:szCs w:val="15"/>
        </w:rPr>
        <w:t xml:space="preserve">C2  </w:t>
      </w:r>
      <w:bookmarkEnd w:id="113"/>
      <w:r>
        <w:rPr>
          <w:rFonts w:ascii="Quicksand Light" w:cs="Quicksand Light" w:eastAsia="Quicksand Light" w:hAnsi="Quicksand Light"/>
          <w:color w:val="000000"/>
          <w:sz w:val="15"/>
          <w:szCs w:val="15"/>
        </w:rPr>
        <w:t xml:space="preserve">Copart, Q4 and FY2026 results, Form 8-K Exhibit 99.1 (10 September 2026). </w:t>
      </w:r>
      <w:hyperlink w:history="1" r:id="rIdvj40e1mhgbjidwtgehxuk">
        <w:r>
          <w:rPr>
            <w:rFonts w:ascii="Quicksand Light" w:cs="Quicksand Light" w:eastAsia="Quicksand Light" w:hAnsi="Quicksand Light"/>
            <w:color w:val="C21A27"/>
            <w:sz w:val="13"/>
            <w:szCs w:val="13"/>
            <w:u w:val="single"/>
          </w:rPr>
          <w:t xml:space="preserve">sec.gov/Archives/edgar/data/0000900075/000119312526387902/cprt-ex99_1.htm</w:t>
        </w:r>
      </w:hyperlink>
    </w:p>
    <w:p>
      <w:pPr>
        <w:spacing w:after="20" w:before="0" w:line="216" w:lineRule="auto"/>
        <w:ind w:left="360" w:hanging="360"/>
      </w:pPr>
      <w:bookmarkStart w:name="src_C3" w:id="114"/>
      <w:r>
        <w:rPr>
          <w:rFonts w:ascii="Quicksand Medium" w:cs="Quicksand Medium" w:eastAsia="Quicksand Medium" w:hAnsi="Quicksand Medium"/>
          <w:color w:val="C21A27"/>
          <w:sz w:val="15"/>
          <w:szCs w:val="15"/>
        </w:rPr>
        <w:t xml:space="preserve">C3  </w:t>
      </w:r>
      <w:bookmarkEnd w:id="114"/>
      <w:r>
        <w:rPr>
          <w:rFonts w:ascii="Quicksand Light" w:cs="Quicksand Light" w:eastAsia="Quicksand Light" w:hAnsi="Quicksand Light"/>
          <w:color w:val="000000"/>
          <w:sz w:val="15"/>
          <w:szCs w:val="15"/>
        </w:rPr>
        <w:t xml:space="preserve">Copart, Q4 FY2026 earnings call transcript (Motley Fool, 11 September 2026): insurance units, lost customer, total-loss frequency. </w:t>
      </w:r>
      <w:hyperlink w:history="1" r:id="rIdvdvym-j-6j0ujbpuijrrx">
        <w:r>
          <w:rPr>
            <w:rFonts w:ascii="Quicksand Light" w:cs="Quicksand Light" w:eastAsia="Quicksand Light" w:hAnsi="Quicksand Light"/>
            <w:color w:val="C21A27"/>
            <w:sz w:val="13"/>
            <w:szCs w:val="13"/>
            <w:u w:val="single"/>
          </w:rPr>
          <w:t xml:space="preserve">fool.com/earnings/call-transcripts/2026/09/11/copart-cprt-q4-2026-earnings-call-transcript/</w:t>
        </w:r>
      </w:hyperlink>
    </w:p>
    <w:p>
      <w:pPr>
        <w:spacing w:after="20" w:before="0" w:line="216" w:lineRule="auto"/>
        <w:ind w:left="360" w:hanging="360"/>
      </w:pPr>
      <w:bookmarkStart w:name="src_C4" w:id="115"/>
      <w:r>
        <w:rPr>
          <w:rFonts w:ascii="Quicksand Medium" w:cs="Quicksand Medium" w:eastAsia="Quicksand Medium" w:hAnsi="Quicksand Medium"/>
          <w:color w:val="C21A27"/>
          <w:sz w:val="15"/>
          <w:szCs w:val="15"/>
        </w:rPr>
        <w:t xml:space="preserve">C4  </w:t>
      </w:r>
      <w:bookmarkEnd w:id="115"/>
      <w:r>
        <w:rPr>
          <w:rFonts w:ascii="Quicksand Light" w:cs="Quicksand Light" w:eastAsia="Quicksand Light" w:hAnsi="Quicksand Light"/>
          <w:color w:val="000000"/>
          <w:sz w:val="15"/>
          <w:szCs w:val="15"/>
        </w:rPr>
        <w:t xml:space="preserve">Copart, "Copart to Acquire ACV" press release (10 September 2026): price, funding, EPS neutrality in first full year. </w:t>
      </w:r>
      <w:hyperlink w:history="1" r:id="rIdg_bmfgruhxfqcbdwbp7em">
        <w:r>
          <w:rPr>
            <w:rFonts w:ascii="Quicksand Light" w:cs="Quicksand Light" w:eastAsia="Quicksand Light" w:hAnsi="Quicksand Light"/>
            <w:color w:val="C21A27"/>
            <w:sz w:val="13"/>
            <w:szCs w:val="13"/>
            <w:u w:val="single"/>
          </w:rPr>
          <w:t xml:space="preserve">investors.acvauto.com/news-events/press-releases/detail/113/copart-to-acquire-acv-expanding-position-across-the-vehicle-remarketing-ecosystem</w:t>
        </w:r>
      </w:hyperlink>
    </w:p>
    <w:p>
      <w:pPr>
        <w:spacing w:after="20" w:before="0" w:line="216" w:lineRule="auto"/>
        <w:ind w:left="360" w:hanging="360"/>
      </w:pPr>
      <w:bookmarkStart w:name="src_C5" w:id="116"/>
      <w:r>
        <w:rPr>
          <w:rFonts w:ascii="Quicksand Medium" w:cs="Quicksand Medium" w:eastAsia="Quicksand Medium" w:hAnsi="Quicksand Medium"/>
          <w:color w:val="C21A27"/>
          <w:sz w:val="15"/>
          <w:szCs w:val="15"/>
        </w:rPr>
        <w:t xml:space="preserve">C5  </w:t>
      </w:r>
      <w:bookmarkEnd w:id="116"/>
      <w:r>
        <w:rPr>
          <w:rFonts w:ascii="Quicksand Light" w:cs="Quicksand Light" w:eastAsia="Quicksand Light" w:hAnsi="Quicksand Light"/>
          <w:color w:val="000000"/>
          <w:sz w:val="15"/>
          <w:szCs w:val="15"/>
        </w:rPr>
        <w:t xml:space="preserve">Copart, completion of the ACV acquisition, Form 8-K Exhibit 99.1 (16 October 2026). </w:t>
      </w:r>
      <w:hyperlink w:history="1" r:id="rIdjhwlxxt1gxx--5sez2xox">
        <w:r>
          <w:rPr>
            <w:rFonts w:ascii="Quicksand Light" w:cs="Quicksand Light" w:eastAsia="Quicksand Light" w:hAnsi="Quicksand Light"/>
            <w:color w:val="C21A27"/>
            <w:sz w:val="13"/>
            <w:szCs w:val="13"/>
            <w:u w:val="single"/>
          </w:rPr>
          <w:t xml:space="preserve">sec.gov/Archives/edgar/data/0000900075/000119312526423478/d129535dex991.htm</w:t>
        </w:r>
      </w:hyperlink>
    </w:p>
    <w:p>
      <w:pPr>
        <w:spacing w:after="20" w:before="0" w:line="216" w:lineRule="auto"/>
        <w:ind w:left="360" w:hanging="360"/>
      </w:pPr>
      <w:bookmarkStart w:name="src_A1" w:id="117"/>
      <w:r>
        <w:rPr>
          <w:rFonts w:ascii="Quicksand Medium" w:cs="Quicksand Medium" w:eastAsia="Quicksand Medium" w:hAnsi="Quicksand Medium"/>
          <w:color w:val="C21A27"/>
          <w:sz w:val="15"/>
          <w:szCs w:val="15"/>
        </w:rPr>
        <w:t xml:space="preserve">A1  </w:t>
      </w:r>
      <w:bookmarkEnd w:id="117"/>
      <w:r>
        <w:rPr>
          <w:rFonts w:ascii="Quicksand Light" w:cs="Quicksand Light" w:eastAsia="Quicksand Light" w:hAnsi="Quicksand Light"/>
          <w:color w:val="000000"/>
          <w:sz w:val="15"/>
          <w:szCs w:val="15"/>
        </w:rPr>
        <w:t xml:space="preserve">Fintel via Nasdaq, "JP Morgan upgrades Copart to Overweight" (3 September 2026), public summary. </w:t>
      </w:r>
      <w:hyperlink w:history="1" r:id="rIdaqnnfslnrf_salf7f8hzz">
        <w:r>
          <w:rPr>
            <w:rFonts w:ascii="Quicksand Light" w:cs="Quicksand Light" w:eastAsia="Quicksand Light" w:hAnsi="Quicksand Light"/>
            <w:color w:val="C21A27"/>
            <w:sz w:val="13"/>
            <w:szCs w:val="13"/>
            <w:u w:val="single"/>
          </w:rPr>
          <w:t xml:space="preserve">nasdaq.com/articles/jp-morgan-upgrades-copart-cprt-overweight-neutral</w:t>
        </w:r>
      </w:hyperlink>
    </w:p>
    <w:p>
      <w:pPr>
        <w:spacing w:after="20" w:before="0" w:line="216" w:lineRule="auto"/>
        <w:ind w:left="360" w:hanging="360"/>
      </w:pPr>
      <w:bookmarkStart w:name="src_A2" w:id="118"/>
      <w:r>
        <w:rPr>
          <w:rFonts w:ascii="Quicksand Medium" w:cs="Quicksand Medium" w:eastAsia="Quicksand Medium" w:hAnsi="Quicksand Medium"/>
          <w:color w:val="C21A27"/>
          <w:sz w:val="15"/>
          <w:szCs w:val="15"/>
        </w:rPr>
        <w:t xml:space="preserve">A2  </w:t>
      </w:r>
      <w:bookmarkEnd w:id="118"/>
      <w:r>
        <w:rPr>
          <w:rFonts w:ascii="Quicksand Light" w:cs="Quicksand Light" w:eastAsia="Quicksand Light" w:hAnsi="Quicksand Light"/>
          <w:color w:val="000000"/>
          <w:sz w:val="15"/>
          <w:szCs w:val="15"/>
        </w:rPr>
        <w:t xml:space="preserve">Financial Modeling Prep, "HSBC downgrades Copart" (16 September 2026), public summary. </w:t>
      </w:r>
      <w:hyperlink w:history="1" r:id="rId-xdollwwcqarqn3cxouxa">
        <w:r>
          <w:rPr>
            <w:rFonts w:ascii="Quicksand Light" w:cs="Quicksand Light" w:eastAsia="Quicksand Light" w:hAnsi="Quicksand Light"/>
            <w:color w:val="C21A27"/>
            <w:sz w:val="13"/>
            <w:szCs w:val="13"/>
            <w:u w:val="single"/>
          </w:rPr>
          <w:t xml:space="preserve">site.financialmodelingprep.com/pt/market-news/hsbc-downgrades-copart-cprt-q4-growth-acv-acquisition</w:t>
        </w:r>
      </w:hyperlink>
    </w:p>
    <w:p>
      <w:pPr>
        <w:keepNext/>
        <w:spacing w:after="20" w:before="60"/>
      </w:pPr>
      <w:r>
        <w:rPr>
          <w:rFonts w:ascii="Agus Sans" w:cs="Agus Sans" w:eastAsia="Agus Sans" w:hAnsi="Agus Sans"/>
          <w:color w:val="790E17"/>
          <w:sz w:val="17"/>
          <w:szCs w:val="17"/>
        </w:rPr>
        <w:t xml:space="preserve">PAYCHEX</w:t>
      </w:r>
    </w:p>
    <w:p>
      <w:pPr>
        <w:spacing w:after="20" w:before="0" w:line="216" w:lineRule="auto"/>
        <w:ind w:left="360" w:hanging="360"/>
      </w:pPr>
      <w:bookmarkStart w:name="src_P1" w:id="119"/>
      <w:r>
        <w:rPr>
          <w:rFonts w:ascii="Quicksand Medium" w:cs="Quicksand Medium" w:eastAsia="Quicksand Medium" w:hAnsi="Quicksand Medium"/>
          <w:color w:val="C21A27"/>
          <w:sz w:val="15"/>
          <w:szCs w:val="15"/>
        </w:rPr>
        <w:t xml:space="preserve">P1  </w:t>
      </w:r>
      <w:bookmarkEnd w:id="119"/>
      <w:r>
        <w:rPr>
          <w:rFonts w:ascii="Quicksand Light" w:cs="Quicksand Light" w:eastAsia="Quicksand Light" w:hAnsi="Quicksand Light"/>
          <w:color w:val="000000"/>
          <w:sz w:val="15"/>
          <w:szCs w:val="15"/>
        </w:rPr>
        <w:t xml:space="preserve">Paychex, Q4 and FY2026 results, Form 8-K Exhibit 99.1 (24 June 2026): results, Paycor contribution, GAAP-to-adjusted reconciliation. </w:t>
      </w:r>
      <w:hyperlink w:history="1" r:id="rIdezn5d8spughyhgeg32q-2">
        <w:r>
          <w:rPr>
            <w:rFonts w:ascii="Quicksand Light" w:cs="Quicksand Light" w:eastAsia="Quicksand Light" w:hAnsi="Quicksand Light"/>
            <w:color w:val="C21A27"/>
            <w:sz w:val="13"/>
            <w:szCs w:val="13"/>
            <w:u w:val="single"/>
          </w:rPr>
          <w:t xml:space="preserve">sec.gov/Archives/edgar/data/0000723531/000119312526280314/payx-ex99_1.htm</w:t>
        </w:r>
      </w:hyperlink>
    </w:p>
    <w:p>
      <w:pPr>
        <w:spacing w:after="20" w:before="0" w:line="216" w:lineRule="auto"/>
        <w:ind w:left="360" w:hanging="360"/>
      </w:pPr>
      <w:bookmarkStart w:name="src_P2" w:id="120"/>
      <w:r>
        <w:rPr>
          <w:rFonts w:ascii="Quicksand Medium" w:cs="Quicksand Medium" w:eastAsia="Quicksand Medium" w:hAnsi="Quicksand Medium"/>
          <w:color w:val="C21A27"/>
          <w:sz w:val="15"/>
          <w:szCs w:val="15"/>
        </w:rPr>
        <w:t xml:space="preserve">P2  </w:t>
      </w:r>
      <w:bookmarkEnd w:id="120"/>
      <w:r>
        <w:rPr>
          <w:rFonts w:ascii="Quicksand Light" w:cs="Quicksand Light" w:eastAsia="Quicksand Light" w:hAnsi="Quicksand Light"/>
          <w:color w:val="000000"/>
          <w:sz w:val="15"/>
          <w:szCs w:val="15"/>
        </w:rPr>
        <w:t xml:space="preserve">Paychex, Form 10-K for the year ended 31 May 2026: MD&amp;A interest expense, acquisition-related costs, operating income. </w:t>
      </w:r>
      <w:hyperlink w:history="1" r:id="rIdbb2zxmpnhyws8s6yamkxw">
        <w:r>
          <w:rPr>
            <w:rFonts w:ascii="Quicksand Light" w:cs="Quicksand Light" w:eastAsia="Quicksand Light" w:hAnsi="Quicksand Light"/>
            <w:color w:val="C21A27"/>
            <w:sz w:val="13"/>
            <w:szCs w:val="13"/>
            <w:u w:val="single"/>
          </w:rPr>
          <w:t xml:space="preserve">sec.gov/Archives/edgar/data/0000723531/000119312526307785/payx-20260531.htm</w:t>
        </w:r>
      </w:hyperlink>
    </w:p>
    <w:p>
      <w:pPr>
        <w:spacing w:after="20" w:before="0" w:line="216" w:lineRule="auto"/>
        <w:ind w:left="360" w:hanging="360"/>
      </w:pPr>
      <w:bookmarkStart w:name="src_P3" w:id="121"/>
      <w:r>
        <w:rPr>
          <w:rFonts w:ascii="Quicksand Medium" w:cs="Quicksand Medium" w:eastAsia="Quicksand Medium" w:hAnsi="Quicksand Medium"/>
          <w:color w:val="C21A27"/>
          <w:sz w:val="15"/>
          <w:szCs w:val="15"/>
        </w:rPr>
        <w:t xml:space="preserve">P3  </w:t>
      </w:r>
      <w:bookmarkEnd w:id="121"/>
      <w:r>
        <w:rPr>
          <w:rFonts w:ascii="Quicksand Light" w:cs="Quicksand Light" w:eastAsia="Quicksand Light" w:hAnsi="Quicksand Light"/>
          <w:color w:val="000000"/>
          <w:sz w:val="15"/>
          <w:szCs w:val="15"/>
        </w:rPr>
        <w:t xml:space="preserve">Paychex, Q1 FY2027 results, Form 8-K Exhibit 99.1 (23 September 2026): segment growth, EPS, FY2027 outlook. </w:t>
      </w:r>
      <w:hyperlink w:history="1" r:id="rIdehditz3as-p6yjthq_aaz">
        <w:r>
          <w:rPr>
            <w:rFonts w:ascii="Quicksand Light" w:cs="Quicksand Light" w:eastAsia="Quicksand Light" w:hAnsi="Quicksand Light"/>
            <w:color w:val="C21A27"/>
            <w:sz w:val="13"/>
            <w:szCs w:val="13"/>
            <w:u w:val="single"/>
          </w:rPr>
          <w:t xml:space="preserve">sec.gov/Archives/edgar/data/0000723531/000072353126000004/payx-ex99_1.htm</w:t>
        </w:r>
      </w:hyperlink>
    </w:p>
    <w:p>
      <w:pPr>
        <w:spacing w:after="20" w:before="0" w:line="216" w:lineRule="auto"/>
        <w:ind w:left="360" w:hanging="360"/>
      </w:pPr>
      <w:bookmarkStart w:name="src_P4" w:id="122"/>
      <w:r>
        <w:rPr>
          <w:rFonts w:ascii="Quicksand Medium" w:cs="Quicksand Medium" w:eastAsia="Quicksand Medium" w:hAnsi="Quicksand Medium"/>
          <w:color w:val="C21A27"/>
          <w:sz w:val="15"/>
          <w:szCs w:val="15"/>
        </w:rPr>
        <w:t xml:space="preserve">P4  </w:t>
      </w:r>
      <w:bookmarkEnd w:id="122"/>
      <w:r>
        <w:rPr>
          <w:rFonts w:ascii="Quicksand Light" w:cs="Quicksand Light" w:eastAsia="Quicksand Light" w:hAnsi="Quicksand Light"/>
          <w:color w:val="000000"/>
          <w:sz w:val="15"/>
          <w:szCs w:val="15"/>
        </w:rPr>
        <w:t xml:space="preserve">Paychex, Form 10-K for the year ended 31 May 2025: FY2024 and FY2025 comparatives. </w:t>
      </w:r>
      <w:hyperlink w:history="1" r:id="rId91hnb4mcrag-i8xh8j-bs">
        <w:r>
          <w:rPr>
            <w:rFonts w:ascii="Quicksand Light" w:cs="Quicksand Light" w:eastAsia="Quicksand Light" w:hAnsi="Quicksand Light"/>
            <w:color w:val="C21A27"/>
            <w:sz w:val="13"/>
            <w:szCs w:val="13"/>
            <w:u w:val="single"/>
          </w:rPr>
          <w:t xml:space="preserve">sec.gov/Archives/edgar/data/723531/000095017025095300/payx-20250531.htm</w:t>
        </w:r>
      </w:hyperlink>
    </w:p>
    <w:p>
      <w:pPr>
        <w:spacing w:after="20" w:before="0" w:line="216" w:lineRule="auto"/>
        <w:ind w:left="360" w:hanging="360"/>
      </w:pPr>
      <w:bookmarkStart w:name="src_P5" w:id="123"/>
      <w:r>
        <w:rPr>
          <w:rFonts w:ascii="Quicksand Medium" w:cs="Quicksand Medium" w:eastAsia="Quicksand Medium" w:hAnsi="Quicksand Medium"/>
          <w:color w:val="C21A27"/>
          <w:sz w:val="15"/>
          <w:szCs w:val="15"/>
        </w:rPr>
        <w:t xml:space="preserve">P5  </w:t>
      </w:r>
      <w:bookmarkEnd w:id="123"/>
      <w:r>
        <w:rPr>
          <w:rFonts w:ascii="Quicksand Light" w:cs="Quicksand Light" w:eastAsia="Quicksand Light" w:hAnsi="Quicksand Light"/>
          <w:color w:val="000000"/>
          <w:sz w:val="15"/>
          <w:szCs w:val="15"/>
        </w:rPr>
        <w:t xml:space="preserve">Paychex, "Paychex Declares Quarterly Dividend" (15 October 2026): $1.19, record date 26 October. </w:t>
      </w:r>
      <w:hyperlink w:history="1" r:id="rIdzwejqvkrcgsrhjbxll9tv">
        <w:r>
          <w:rPr>
            <w:rFonts w:ascii="Quicksand Light" w:cs="Quicksand Light" w:eastAsia="Quicksand Light" w:hAnsi="Quicksand Light"/>
            <w:color w:val="C21A27"/>
            <w:sz w:val="13"/>
            <w:szCs w:val="13"/>
            <w:u w:val="single"/>
          </w:rPr>
          <w:t xml:space="preserve">investor.paychex.com/news-events/press-releases/detail/840/paychex-declares-quarterly-dividend</w:t>
        </w:r>
      </w:hyperlink>
    </w:p>
    <w:p>
      <w:pPr>
        <w:spacing w:after="20" w:before="0" w:line="216" w:lineRule="auto"/>
        <w:ind w:left="360" w:hanging="360"/>
      </w:pPr>
      <w:bookmarkStart w:name="src_P6" w:id="124"/>
      <w:r>
        <w:rPr>
          <w:rFonts w:ascii="Quicksand Medium" w:cs="Quicksand Medium" w:eastAsia="Quicksand Medium" w:hAnsi="Quicksand Medium"/>
          <w:color w:val="C21A27"/>
          <w:sz w:val="15"/>
          <w:szCs w:val="15"/>
        </w:rPr>
        <w:t xml:space="preserve">P6  </w:t>
      </w:r>
      <w:bookmarkEnd w:id="124"/>
      <w:r>
        <w:rPr>
          <w:rFonts w:ascii="Quicksand Light" w:cs="Quicksand Light" w:eastAsia="Quicksand Light" w:hAnsi="Quicksand Light"/>
          <w:color w:val="000000"/>
          <w:sz w:val="15"/>
          <w:szCs w:val="15"/>
        </w:rPr>
        <w:t xml:space="preserve">Paychex, Form 10-Q for the quarter ended 31 August 2026: borrowings and long-term financing note. </w:t>
      </w:r>
      <w:hyperlink w:history="1" r:id="rIdm0byz-sfgt1d2milaqzms">
        <w:r>
          <w:rPr>
            <w:rFonts w:ascii="Quicksand Light" w:cs="Quicksand Light" w:eastAsia="Quicksand Light" w:hAnsi="Quicksand Light"/>
            <w:color w:val="C21A27"/>
            <w:sz w:val="13"/>
            <w:szCs w:val="13"/>
            <w:u w:val="single"/>
          </w:rPr>
          <w:t xml:space="preserve">sec.gov/Archives/edgar/data/0000723531/000072353126000006/payx-20260831.htm</w:t>
        </w:r>
      </w:hyperlink>
    </w:p>
    <w:p>
      <w:pPr>
        <w:keepNext/>
        <w:spacing w:after="20" w:before="60"/>
      </w:pPr>
      <w:r>
        <w:rPr>
          <w:rFonts w:ascii="Agus Sans" w:cs="Agus Sans" w:eastAsia="Agus Sans" w:hAnsi="Agus Sans"/>
          <w:color w:val="790E17"/>
          <w:sz w:val="17"/>
          <w:szCs w:val="17"/>
        </w:rPr>
        <w:t xml:space="preserve">MARKET DATA (SECONDARY; SNAPSHOTS RETRIEVED 28–29 OCTOBER 2026)</w:t>
      </w:r>
    </w:p>
    <w:p>
      <w:pPr>
        <w:spacing w:after="20" w:before="0" w:line="216" w:lineRule="auto"/>
        <w:ind w:left="360" w:hanging="360"/>
      </w:pPr>
      <w:bookmarkStart w:name="src_M1" w:id="125"/>
      <w:r>
        <w:rPr>
          <w:rFonts w:ascii="Quicksand Medium" w:cs="Quicksand Medium" w:eastAsia="Quicksand Medium" w:hAnsi="Quicksand Medium"/>
          <w:color w:val="C21A27"/>
          <w:sz w:val="15"/>
          <w:szCs w:val="15"/>
        </w:rPr>
        <w:t xml:space="preserve">M1  </w:t>
      </w:r>
      <w:bookmarkEnd w:id="125"/>
      <w:r>
        <w:rPr>
          <w:rFonts w:ascii="Quicksand Light" w:cs="Quicksand Light" w:eastAsia="Quicksand Light" w:hAnsi="Quicksand Light"/>
          <w:color w:val="000000"/>
          <w:sz w:val="15"/>
          <w:szCs w:val="15"/>
        </w:rPr>
        <w:t xml:space="preserve">Stock Analysis, VINCI forecast and consensus. </w:t>
      </w:r>
      <w:hyperlink w:history="1" r:id="rIdgrk30dtcxfgirkjb6v5_n">
        <w:r>
          <w:rPr>
            <w:rFonts w:ascii="Quicksand Light" w:cs="Quicksand Light" w:eastAsia="Quicksand Light" w:hAnsi="Quicksand Light"/>
            <w:color w:val="C21A27"/>
            <w:sz w:val="13"/>
            <w:szCs w:val="13"/>
            <w:u w:val="single"/>
          </w:rPr>
          <w:t xml:space="preserve">stockanalysis.com/quote/epa/DG/forecast/</w:t>
        </w:r>
      </w:hyperlink>
    </w:p>
    <w:p>
      <w:pPr>
        <w:spacing w:after="20" w:before="0" w:line="216" w:lineRule="auto"/>
        <w:ind w:left="360" w:hanging="360"/>
      </w:pPr>
      <w:bookmarkStart w:name="src_M2" w:id="126"/>
      <w:r>
        <w:rPr>
          <w:rFonts w:ascii="Quicksand Medium" w:cs="Quicksand Medium" w:eastAsia="Quicksand Medium" w:hAnsi="Quicksand Medium"/>
          <w:color w:val="C21A27"/>
          <w:sz w:val="15"/>
          <w:szCs w:val="15"/>
        </w:rPr>
        <w:t xml:space="preserve">M2  </w:t>
      </w:r>
      <w:bookmarkEnd w:id="126"/>
      <w:r>
        <w:rPr>
          <w:rFonts w:ascii="Quicksand Light" w:cs="Quicksand Light" w:eastAsia="Quicksand Light" w:hAnsi="Quicksand Light"/>
          <w:color w:val="000000"/>
          <w:sz w:val="15"/>
          <w:szCs w:val="15"/>
        </w:rPr>
        <w:t xml:space="preserve">Stock Analysis, Paychex forecast and consensus. </w:t>
      </w:r>
      <w:hyperlink w:history="1" r:id="rIdv0idkgkvkxwh8sg4caeyf">
        <w:r>
          <w:rPr>
            <w:rFonts w:ascii="Quicksand Light" w:cs="Quicksand Light" w:eastAsia="Quicksand Light" w:hAnsi="Quicksand Light"/>
            <w:color w:val="C21A27"/>
            <w:sz w:val="13"/>
            <w:szCs w:val="13"/>
            <w:u w:val="single"/>
          </w:rPr>
          <w:t xml:space="preserve">stockanalysis.com/stocks/payx/forecast/</w:t>
        </w:r>
      </w:hyperlink>
    </w:p>
    <w:p>
      <w:pPr>
        <w:spacing w:after="20" w:before="0" w:line="216" w:lineRule="auto"/>
        <w:ind w:left="360" w:hanging="360"/>
      </w:pPr>
      <w:bookmarkStart w:name="src_M3" w:id="127"/>
      <w:r>
        <w:rPr>
          <w:rFonts w:ascii="Quicksand Medium" w:cs="Quicksand Medium" w:eastAsia="Quicksand Medium" w:hAnsi="Quicksand Medium"/>
          <w:color w:val="C21A27"/>
          <w:sz w:val="15"/>
          <w:szCs w:val="15"/>
        </w:rPr>
        <w:t xml:space="preserve">M3  </w:t>
      </w:r>
      <w:bookmarkEnd w:id="127"/>
      <w:r>
        <w:rPr>
          <w:rFonts w:ascii="Quicksand Light" w:cs="Quicksand Light" w:eastAsia="Quicksand Light" w:hAnsi="Quicksand Light"/>
          <w:color w:val="000000"/>
          <w:sz w:val="15"/>
          <w:szCs w:val="15"/>
        </w:rPr>
        <w:t xml:space="preserve">Stock Analysis, Copart forecast and consensus. </w:t>
      </w:r>
      <w:hyperlink w:history="1" r:id="rIdympcvxzbgjbanjuk0xv1-">
        <w:r>
          <w:rPr>
            <w:rFonts w:ascii="Quicksand Light" w:cs="Quicksand Light" w:eastAsia="Quicksand Light" w:hAnsi="Quicksand Light"/>
            <w:color w:val="C21A27"/>
            <w:sz w:val="13"/>
            <w:szCs w:val="13"/>
            <w:u w:val="single"/>
          </w:rPr>
          <w:t xml:space="preserve">stockanalysis.com/stocks/cprt/forecast/</w:t>
        </w:r>
      </w:hyperlink>
    </w:p>
    <w:p>
      <w:pPr>
        <w:spacing w:after="20" w:before="0" w:line="216" w:lineRule="auto"/>
        <w:ind w:left="360" w:hanging="360"/>
      </w:pPr>
      <w:bookmarkStart w:name="src_M4" w:id="128"/>
      <w:r>
        <w:rPr>
          <w:rFonts w:ascii="Quicksand Medium" w:cs="Quicksand Medium" w:eastAsia="Quicksand Medium" w:hAnsi="Quicksand Medium"/>
          <w:color w:val="C21A27"/>
          <w:sz w:val="15"/>
          <w:szCs w:val="15"/>
        </w:rPr>
        <w:t xml:space="preserve">M4  </w:t>
      </w:r>
      <w:bookmarkEnd w:id="128"/>
      <w:r>
        <w:rPr>
          <w:rFonts w:ascii="Quicksand Light" w:cs="Quicksand Light" w:eastAsia="Quicksand Light" w:hAnsi="Quicksand Light"/>
          <w:color w:val="000000"/>
          <w:sz w:val="15"/>
          <w:szCs w:val="15"/>
        </w:rPr>
        <w:t xml:space="preserve">Stock Analysis, VINCI historical ratios (year-end P/E). </w:t>
      </w:r>
      <w:hyperlink w:history="1" r:id="rId3blzslevyeypiynbjuaoq">
        <w:r>
          <w:rPr>
            <w:rFonts w:ascii="Quicksand Light" w:cs="Quicksand Light" w:eastAsia="Quicksand Light" w:hAnsi="Quicksand Light"/>
            <w:color w:val="C21A27"/>
            <w:sz w:val="13"/>
            <w:szCs w:val="13"/>
            <w:u w:val="single"/>
          </w:rPr>
          <w:t xml:space="preserve">stockanalysis.com/quote/epa/DG/financials/ratios/</w:t>
        </w:r>
      </w:hyperlink>
    </w:p>
    <w:p>
      <w:pPr>
        <w:spacing w:after="20" w:before="0" w:line="216" w:lineRule="auto"/>
        <w:ind w:left="360" w:hanging="360"/>
      </w:pPr>
      <w:bookmarkStart w:name="src_M5" w:id="129"/>
      <w:r>
        <w:rPr>
          <w:rFonts w:ascii="Quicksand Medium" w:cs="Quicksand Medium" w:eastAsia="Quicksand Medium" w:hAnsi="Quicksand Medium"/>
          <w:color w:val="C21A27"/>
          <w:sz w:val="15"/>
          <w:szCs w:val="15"/>
        </w:rPr>
        <w:t xml:space="preserve">M5  </w:t>
      </w:r>
      <w:bookmarkEnd w:id="129"/>
      <w:r>
        <w:rPr>
          <w:rFonts w:ascii="Quicksand Light" w:cs="Quicksand Light" w:eastAsia="Quicksand Light" w:hAnsi="Quicksand Light"/>
          <w:color w:val="000000"/>
          <w:sz w:val="15"/>
          <w:szCs w:val="15"/>
        </w:rPr>
        <w:t xml:space="preserve">Stock Analysis, VINCI daily price history (28 October close). </w:t>
      </w:r>
      <w:hyperlink w:history="1" r:id="rIdu6ikt5rtfvwbjkmf_-7uh">
        <w:r>
          <w:rPr>
            <w:rFonts w:ascii="Quicksand Light" w:cs="Quicksand Light" w:eastAsia="Quicksand Light" w:hAnsi="Quicksand Light"/>
            <w:color w:val="C21A27"/>
            <w:sz w:val="13"/>
            <w:szCs w:val="13"/>
            <w:u w:val="single"/>
          </w:rPr>
          <w:t xml:space="preserve">stockanalysis.com/quote/epa/DG/history/</w:t>
        </w:r>
      </w:hyperlink>
    </w:p>
    <w:p>
      <w:pPr>
        <w:spacing w:after="20" w:before="0" w:line="216" w:lineRule="auto"/>
        <w:ind w:left="360" w:hanging="360"/>
      </w:pPr>
      <w:bookmarkStart w:name="src_M6" w:id="130"/>
      <w:r>
        <w:rPr>
          <w:rFonts w:ascii="Quicksand Medium" w:cs="Quicksand Medium" w:eastAsia="Quicksand Medium" w:hAnsi="Quicksand Medium"/>
          <w:color w:val="C21A27"/>
          <w:sz w:val="15"/>
          <w:szCs w:val="15"/>
        </w:rPr>
        <w:t xml:space="preserve">M6  </w:t>
      </w:r>
      <w:bookmarkEnd w:id="130"/>
      <w:r>
        <w:rPr>
          <w:rFonts w:ascii="Quicksand Light" w:cs="Quicksand Light" w:eastAsia="Quicksand Light" w:hAnsi="Quicksand Light"/>
          <w:color w:val="000000"/>
          <w:sz w:val="15"/>
          <w:szCs w:val="15"/>
        </w:rPr>
        <w:t xml:space="preserve">Stock Analysis, Copart historical ratios (year-end P/E). </w:t>
      </w:r>
      <w:hyperlink w:history="1" r:id="rIdui-cl6befvpwzounyczb-">
        <w:r>
          <w:rPr>
            <w:rFonts w:ascii="Quicksand Light" w:cs="Quicksand Light" w:eastAsia="Quicksand Light" w:hAnsi="Quicksand Light"/>
            <w:color w:val="C21A27"/>
            <w:sz w:val="13"/>
            <w:szCs w:val="13"/>
            <w:u w:val="single"/>
          </w:rPr>
          <w:t xml:space="preserve">stockanalysis.com/stocks/cprt/financials/ratios/</w:t>
        </w:r>
      </w:hyperlink>
    </w:p>
    <w:p>
      <w:pPr>
        <w:spacing w:after="20" w:before="0" w:line="216" w:lineRule="auto"/>
        <w:ind w:left="360" w:hanging="360"/>
      </w:pPr>
      <w:bookmarkStart w:name="src_M7" w:id="131"/>
      <w:r>
        <w:rPr>
          <w:rFonts w:ascii="Quicksand Medium" w:cs="Quicksand Medium" w:eastAsia="Quicksand Medium" w:hAnsi="Quicksand Medium"/>
          <w:color w:val="C21A27"/>
          <w:sz w:val="15"/>
          <w:szCs w:val="15"/>
        </w:rPr>
        <w:t xml:space="preserve">M7  </w:t>
      </w:r>
      <w:bookmarkEnd w:id="131"/>
      <w:r>
        <w:rPr>
          <w:rFonts w:ascii="Quicksand Light" w:cs="Quicksand Light" w:eastAsia="Quicksand Light" w:hAnsi="Quicksand Light"/>
          <w:color w:val="000000"/>
          <w:sz w:val="15"/>
          <w:szCs w:val="15"/>
        </w:rPr>
        <w:t xml:space="preserve">Stock Analysis, Copart quote page (28 October close; Finviz shows the same close). </w:t>
      </w:r>
      <w:hyperlink w:history="1" r:id="rId4c_0cv5kjojbkcz4msuih">
        <w:r>
          <w:rPr>
            <w:rFonts w:ascii="Quicksand Light" w:cs="Quicksand Light" w:eastAsia="Quicksand Light" w:hAnsi="Quicksand Light"/>
            <w:color w:val="C21A27"/>
            <w:sz w:val="13"/>
            <w:szCs w:val="13"/>
            <w:u w:val="single"/>
          </w:rPr>
          <w:t xml:space="preserve">stockanalysis.com/stocks/cprt/</w:t>
        </w:r>
      </w:hyperlink>
    </w:p>
    <w:p>
      <w:pPr>
        <w:spacing w:after="20" w:before="0" w:line="216" w:lineRule="auto"/>
        <w:ind w:left="360" w:hanging="360"/>
      </w:pPr>
      <w:bookmarkStart w:name="src_M8" w:id="132"/>
      <w:r>
        <w:rPr>
          <w:rFonts w:ascii="Quicksand Medium" w:cs="Quicksand Medium" w:eastAsia="Quicksand Medium" w:hAnsi="Quicksand Medium"/>
          <w:color w:val="C21A27"/>
          <w:sz w:val="15"/>
          <w:szCs w:val="15"/>
        </w:rPr>
        <w:t xml:space="preserve">M8  </w:t>
      </w:r>
      <w:bookmarkEnd w:id="132"/>
      <w:r>
        <w:rPr>
          <w:rFonts w:ascii="Quicksand Light" w:cs="Quicksand Light" w:eastAsia="Quicksand Light" w:hAnsi="Quicksand Light"/>
          <w:color w:val="000000"/>
          <w:sz w:val="15"/>
          <w:szCs w:val="15"/>
        </w:rPr>
        <w:t xml:space="preserve">Yahoo Finance, Paychex price history (28 October close; Morningstar shows the same close). </w:t>
      </w:r>
      <w:hyperlink w:history="1" r:id="rIdwfeuivgfkgl3ompjwmmft">
        <w:r>
          <w:rPr>
            <w:rFonts w:ascii="Quicksand Light" w:cs="Quicksand Light" w:eastAsia="Quicksand Light" w:hAnsi="Quicksand Light"/>
            <w:color w:val="C21A27"/>
            <w:sz w:val="13"/>
            <w:szCs w:val="13"/>
            <w:u w:val="single"/>
          </w:rPr>
          <w:t xml:space="preserve">finance.yahoo.com/quote/PAYX/history/</w:t>
        </w:r>
      </w:hyperlink>
    </w:p>
    <w:p>
      <w:pPr>
        <w:spacing w:after="20" w:before="0" w:line="216" w:lineRule="auto"/>
        <w:ind w:left="360" w:hanging="360"/>
      </w:pPr>
      <w:bookmarkStart w:name="src_M9" w:id="133"/>
      <w:r>
        <w:rPr>
          <w:rFonts w:ascii="Quicksand Medium" w:cs="Quicksand Medium" w:eastAsia="Quicksand Medium" w:hAnsi="Quicksand Medium"/>
          <w:color w:val="C21A27"/>
          <w:sz w:val="15"/>
          <w:szCs w:val="15"/>
        </w:rPr>
        <w:t xml:space="preserve">M9  </w:t>
      </w:r>
      <w:bookmarkEnd w:id="133"/>
      <w:r>
        <w:rPr>
          <w:rFonts w:ascii="Quicksand Light" w:cs="Quicksand Light" w:eastAsia="Quicksand Light" w:hAnsi="Quicksand Light"/>
          <w:color w:val="000000"/>
          <w:sz w:val="15"/>
          <w:szCs w:val="15"/>
        </w:rPr>
        <w:t xml:space="preserve">Stock Analysis, ADP statistics (forward P/E cross-check). </w:t>
      </w:r>
      <w:hyperlink w:history="1" r:id="rIdhkzl-tdajyc86ldjdqfco">
        <w:r>
          <w:rPr>
            <w:rFonts w:ascii="Quicksand Light" w:cs="Quicksand Light" w:eastAsia="Quicksand Light" w:hAnsi="Quicksand Light"/>
            <w:color w:val="C21A27"/>
            <w:sz w:val="13"/>
            <w:szCs w:val="13"/>
            <w:u w:val="single"/>
          </w:rPr>
          <w:t xml:space="preserve">stockanalysis.com/stocks/adp/statistics/</w:t>
        </w:r>
      </w:hyperlink>
    </w:p>
    <w:p>
      <w:pPr>
        <w:keepLines/>
        <w:spacing w:after="70" w:before="80" w:line="240" w:lineRule="auto"/>
        <w:jc w:val="both"/>
      </w:pPr>
      <w:r>
        <w:rPr>
          <w:rFonts w:ascii="Quicksand Light" w:cs="Quicksand Light" w:eastAsia="Quicksand Light" w:hAnsi="Quicksand Light"/>
          <w:color w:val="615F59"/>
          <w:sz w:val="14"/>
          <w:szCs w:val="14"/>
        </w:rPr>
        <w:t xml:space="preserve">Scenario values, growth rates, margins, multiples and the Copart post-deal cash figure are our calculations from the sources above. Market prices are 28 October 2026 regular-session closes; consensus figures are aggregator snapshots and may differ across providers.</w:t>
      </w:r>
    </w:p>
    <w:sectPr>
      <w:headerReference w:type="default" r:id="rId7"/>
      <w:footerReference w:type="default" r:id="rId8"/>
      <w:pgSz w:w="12240" w:h="15840" w:orient="portrait"/>
      <w:pgMar w:top="1060" w:right="1152" w:bottom="820" w:left="1152"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936"/>
      </w:tabs>
    </w:pPr>
    <w:r>
      <w:rPr>
        <w:rFonts w:ascii="Quicksand Light" w:cs="Quicksand Light" w:eastAsia="Quicksand Light" w:hAnsi="Quicksand Light"/>
        <w:color w:val="615F59"/>
        <w:sz w:val="13"/>
        <w:szCs w:val="13"/>
      </w:rPr>
      <w:t xml:space="preserve">Internal research for JEME Capital associates. Not investment advice. Research date 29 October 2026.</w:t>
    </w:r>
    <w:r>
      <w:rPr>
        <w:rFonts w:ascii="Quicksand Light" w:cs="Quicksand Light" w:eastAsia="Quicksand Light" w:hAnsi="Quicksand Light"/>
        <w:color w:val="615F59"/>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1A27" w:sz="8" w:space="4"/>
      </w:pBdr>
      <w:tabs>
        <w:tab w:val="right" w:pos="9936"/>
      </w:tabs>
      <w:spacing w:after="0" w:line="240" w:lineRule="auto"/>
    </w:pPr>
    <w:r>
      <w:drawing>
        <wp:inline distT="0" distB="0" distL="0" distR="0">
          <wp:extent cx="868680" cy="327355"/>
          <wp:effectExtent t="0" r="0" b="0" l="0"/>
          <wp:docPr id="1" name="logo" descr="JEME Bocconi Studenti logo" title="JE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68680" cy="327355"/>
                  </a:xfrm>
                  <a:prstGeom prst="rect">
                    <a:avLst/>
                  </a:prstGeom>
                </pic:spPr>
              </pic:pic>
            </a:graphicData>
          </a:graphic>
        </wp:inline>
      </w:drawing>
    </w:r>
    <w:r>
      <w:rPr>
        <w:rFonts w:ascii="Agus Sans" w:cs="Agus Sans" w:eastAsia="Agus Sans" w:hAnsi="Agus Sans"/>
        <w:color w:val="615F59"/>
        <w:sz w:val="14"/>
        <w:szCs w:val="14"/>
      </w:rPr>
      <w:t xml:space="preserve">	JEME CAPITAL  |  INDUSTRIALS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Quicksand Light" w:cs="Quicksand Light" w:eastAsia="Quicksand Light" w:hAnsi="Quicksand Light"/>
        <w:sz w:val="18"/>
        <w:szCs w:val="18"/>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j9wrvlevhmhiwn8ythfm" Type="http://schemas.openxmlformats.org/officeDocument/2006/relationships/hyperlink" Target="https://www.vinci.com/sites/default/files/medias/communiques/file/2026-02/press-release-vinci-full-year-2025.pdf" TargetMode="External"/><Relationship Id="rId41gsby2pqqfsu3dbtgtb3" Type="http://schemas.openxmlformats.org/officeDocument/2006/relationships/hyperlink" Target="https://www.vinci.com/publi/vinci/vinci-consolidated-financial-statements-at-31-december-2025-en.pdf" TargetMode="External"/><Relationship Id="rIdt5rfmgquddgciqogzyrrd" Type="http://schemas.openxmlformats.org/officeDocument/2006/relationships/hyperlink" Target="https://www.vinci.com/sites/default/files/medias/communiques/file/2026-07/CP%20VINCI%20H1%202026%20EN.pdf" TargetMode="External"/><Relationship Id="rIddfe0psqvmyf5ht7ur6zqj" Type="http://schemas.openxmlformats.org/officeDocument/2006/relationships/hyperlink" Target="https://www.globenewswire.com/news-release/2026/10/22/3386691/0/en/vinci-9m-2026-further-growth-in-revenue-and-order-intake.html" TargetMode="External"/><Relationship Id="rIdoty9nwl7neo4s1can9pxg" Type="http://schemas.openxmlformats.org/officeDocument/2006/relationships/hyperlink" Target="https://www.investing.com/news/transcripts/earnings-call-transcript-vinci-q3-2026-revenue-growth-lifts-outlook-93CH-4967044" TargetMode="External"/><Relationship Id="rIdhtyhtizlvd_8kqwcdcc0k" Type="http://schemas.openxmlformats.org/officeDocument/2006/relationships/hyperlink" Target="https://www.legifiscal.fr/actualites-fiscales/4402-plf-2026-49-3-maintien-contribution-exceptionnelle-benefices-grandes-entreprises.html" TargetMode="External"/><Relationship Id="rIdmdoglunqqurzhnxqc4oz4" Type="http://schemas.openxmlformats.org/officeDocument/2006/relationships/hyperlink" Target="https://au.finance.yahoo.com/news/eiffage-vinci-shares-fall-france-094809464.html" TargetMode="External"/><Relationship Id="rIdr3znos0i1pwx5u8f588iw" Type="http://schemas.openxmlformats.org/officeDocument/2006/relationships/hyperlink" Target="https://www.globenewswire.com/news-release/2025/02/06/3022248/0/en/VINCI-2024-Annual-Results.html" TargetMode="External"/><Relationship Id="rId52eyv6b1twneu1b2wvgea" Type="http://schemas.openxmlformats.org/officeDocument/2006/relationships/hyperlink" Target="https://www.vinci.com/en/finance/share/analysts-and-consensus" TargetMode="External"/><Relationship Id="rId0i5ldydaswpzwzeq0qudq" Type="http://schemas.openxmlformats.org/officeDocument/2006/relationships/hyperlink" Target="https://www.sec.gov/Archives/edgar/data/900075/000119312526405731/cprt-20260731.htm" TargetMode="External"/><Relationship Id="rIdvj40e1mhgbjidwtgehxuk" Type="http://schemas.openxmlformats.org/officeDocument/2006/relationships/hyperlink" Target="https://www.sec.gov/Archives/edgar/data/0000900075/000119312526387902/cprt-ex99_1.htm" TargetMode="External"/><Relationship Id="rIdvdvym-j-6j0ujbpuijrrx" Type="http://schemas.openxmlformats.org/officeDocument/2006/relationships/hyperlink" Target="https://www.fool.com/earnings/call-transcripts/2026/09/11/copart-cprt-q4-2026-earnings-call-transcript/" TargetMode="External"/><Relationship Id="rIdg_bmfgruhxfqcbdwbp7em" Type="http://schemas.openxmlformats.org/officeDocument/2006/relationships/hyperlink" Target="https://investors.acvauto.com/news-events/press-releases/detail/113/copart-to-acquire-acv-expanding-position-across-the-vehicle-remarketing-ecosystem" TargetMode="External"/><Relationship Id="rIdjhwlxxt1gxx--5sez2xox" Type="http://schemas.openxmlformats.org/officeDocument/2006/relationships/hyperlink" Target="https://www.sec.gov/Archives/edgar/data/0000900075/000119312526423478/d129535dex991.htm" TargetMode="External"/><Relationship Id="rIdaqnnfslnrf_salf7f8hzz" Type="http://schemas.openxmlformats.org/officeDocument/2006/relationships/hyperlink" Target="https://www.nasdaq.com/articles/jp-morgan-upgrades-copart-cprt-overweight-neutral" TargetMode="External"/><Relationship Id="rId-xdollwwcqarqn3cxouxa" Type="http://schemas.openxmlformats.org/officeDocument/2006/relationships/hyperlink" Target="https://site.financialmodelingprep.com/pt/market-news/hsbc-downgrades-copart-cprt-q4-growth-acv-acquisition" TargetMode="External"/><Relationship Id="rIdezn5d8spughyhgeg32q-2" Type="http://schemas.openxmlformats.org/officeDocument/2006/relationships/hyperlink" Target="https://www.sec.gov/Archives/edgar/data/0000723531/000119312526280314/payx-ex99_1.htm" TargetMode="External"/><Relationship Id="rIdbb2zxmpnhyws8s6yamkxw" Type="http://schemas.openxmlformats.org/officeDocument/2006/relationships/hyperlink" Target="https://www.sec.gov/Archives/edgar/data/0000723531/000119312526307785/payx-20260531.htm" TargetMode="External"/><Relationship Id="rIdehditz3as-p6yjthq_aaz" Type="http://schemas.openxmlformats.org/officeDocument/2006/relationships/hyperlink" Target="https://www.sec.gov/Archives/edgar/data/0000723531/000072353126000004/payx-ex99_1.htm" TargetMode="External"/><Relationship Id="rId91hnb4mcrag-i8xh8j-bs" Type="http://schemas.openxmlformats.org/officeDocument/2006/relationships/hyperlink" Target="https://www.sec.gov/Archives/edgar/data/723531/000095017025095300/payx-20250531.htm" TargetMode="External"/><Relationship Id="rIdzwejqvkrcgsrhjbxll9tv" Type="http://schemas.openxmlformats.org/officeDocument/2006/relationships/hyperlink" Target="https://investor.paychex.com/news-events/press-releases/detail/840/paychex-declares-quarterly-dividend" TargetMode="External"/><Relationship Id="rIdm0byz-sfgt1d2milaqzms" Type="http://schemas.openxmlformats.org/officeDocument/2006/relationships/hyperlink" Target="https://www.sec.gov/Archives/edgar/data/0000723531/000072353126000006/payx-20260831.htm" TargetMode="External"/><Relationship Id="rIdgrk30dtcxfgirkjb6v5_n" Type="http://schemas.openxmlformats.org/officeDocument/2006/relationships/hyperlink" Target="https://stockanalysis.com/quote/epa/DG/forecast/" TargetMode="External"/><Relationship Id="rIdv0idkgkvkxwh8sg4caeyf" Type="http://schemas.openxmlformats.org/officeDocument/2006/relationships/hyperlink" Target="https://stockanalysis.com/stocks/payx/forecast/" TargetMode="External"/><Relationship Id="rIdympcvxzbgjbanjuk0xv1-" Type="http://schemas.openxmlformats.org/officeDocument/2006/relationships/hyperlink" Target="https://stockanalysis.com/stocks/cprt/forecast/" TargetMode="External"/><Relationship Id="rId3blzslevyeypiynbjuaoq" Type="http://schemas.openxmlformats.org/officeDocument/2006/relationships/hyperlink" Target="https://stockanalysis.com/quote/epa/DG/financials/ratios/" TargetMode="External"/><Relationship Id="rIdu6ikt5rtfvwbjkmf_-7uh" Type="http://schemas.openxmlformats.org/officeDocument/2006/relationships/hyperlink" Target="https://stockanalysis.com/quote/epa/DG/history/" TargetMode="External"/><Relationship Id="rIdui-cl6befvpwzounyczb-" Type="http://schemas.openxmlformats.org/officeDocument/2006/relationships/hyperlink" Target="https://stockanalysis.com/stocks/cprt/financials/ratios/" TargetMode="External"/><Relationship Id="rId4c_0cv5kjojbkcz4msuih" Type="http://schemas.openxmlformats.org/officeDocument/2006/relationships/hyperlink" Target="https://stockanalysis.com/stocks/cprt/" TargetMode="External"/><Relationship Id="rIdwfeuivgfkgl3ompjwmmft" Type="http://schemas.openxmlformats.org/officeDocument/2006/relationships/hyperlink" Target="https://finance.yahoo.com/quote/PAYX/history/" TargetMode="External"/><Relationship Id="rIdhkzl-tdajyc86ldjdqfco" Type="http://schemas.openxmlformats.org/officeDocument/2006/relationships/hyperlink" Target="https://stockanalysis.com/stocks/adp/statistics/" TargetMode="External"/><Relationship Id="rId9" Type="http://schemas.openxmlformats.org/officeDocument/2006/relationships/image" Target="media/8f6a7e5e8a0ae54009d1604503d768ab1264a8e2.png"/><Relationship Id="rId10" Type="http://schemas.openxmlformats.org/officeDocument/2006/relationships/image" Target="media/9da5502312d052d02386cf9f3d392761def5b336.png"/><Relationship Id="rId11" Type="http://schemas.openxmlformats.org/officeDocument/2006/relationships/image" Target="media/ba50b228d5c847225516981c50725de2cf873156.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c08f546930301b4a235d1ee47e6f10920b40b5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JEME Capital Industrials shortlist: VINCI, Copart, Paychex</dc:title>
  <dc:creator>Tanmay Gambhir</dc:creator>
  <dc:description>Industrials research submission for associate review, 29 October 2026</dc:description>
  <cp:lastModifiedBy>Un-named</cp:lastModifiedBy>
  <cp:revision>1</cp:revision>
  <dcterms:created xsi:type="dcterms:W3CDTF">2026-10-29T11:36:32.617Z</dcterms:created>
  <dcterms:modified xsi:type="dcterms:W3CDTF">2026-10-29T11:36:32.618Z</dcterms:modified>
</cp:coreProperties>
</file>

<file path=docProps/custom.xml><?xml version="1.0" encoding="utf-8"?>
<Properties xmlns="http://schemas.openxmlformats.org/officeDocument/2006/custom-properties" xmlns:vt="http://schemas.openxmlformats.org/officeDocument/2006/docPropsVTypes"/>
</file>