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gus Sans" w:cs="Agus Sans" w:eastAsia="Agus Sans" w:hAnsi="Agus Sans"/>
          <w:color w:val="790E17"/>
          <w:sz w:val="28"/>
          <w:szCs w:val="28"/>
        </w:rPr>
        <w:t xml:space="preserve">INDUSTRIALS INVESTMENT PROPOSALS</w:t>
      </w:r>
    </w:p>
    <w:p>
      <w:pPr>
        <w:spacing w:after="40"/>
      </w:pPr>
      <w:r>
        <w:rPr>
          <w:rFonts w:ascii="Agus Sans" w:cs="Agus Sans" w:eastAsia="Agus Sans" w:hAnsi="Agus Sans"/>
          <w:color w:val="C21A27"/>
          <w:sz w:val="18"/>
          <w:szCs w:val="18"/>
        </w:rPr>
        <w:t xml:space="preserve">SCHNEIDER ELECTRIC  |  HOWMET AEROSPACE  |  WOLTERS KLUWER</w:t>
      </w:r>
    </w:p>
    <w:p>
      <w:pPr>
        <w:keepLines/>
        <w:spacing w:after="120" w:before="0" w:line="240" w:lineRule="auto"/>
        <w:jc w:val="left"/>
      </w:pPr>
      <w:r>
        <w:rPr>
          <w:rFonts w:ascii="Quicksand Light" w:cs="Quicksand Light" w:eastAsia="Quicksand Light" w:hAnsi="Quicksand Light"/>
          <w:color w:val="615F59"/>
          <w:sz w:val="16"/>
          <w:szCs w:val="16"/>
        </w:rPr>
        <w:t xml:space="preserve">Prepared by </w:t>
      </w:r>
      <w:r>
        <w:rPr>
          <w:rFonts w:ascii="Quicksand Medium" w:cs="Quicksand Medium" w:eastAsia="Quicksand Medium" w:hAnsi="Quicksand Medium"/>
          <w:color w:val="615F59"/>
          <w:sz w:val="16"/>
          <w:szCs w:val="16"/>
        </w:rPr>
        <w:t xml:space="preserve">Tanmay Gambhir</w:t>
      </w:r>
      <w:r>
        <w:rPr>
          <w:rFonts w:ascii="Quicksand Light" w:cs="Quicksand Light" w:eastAsia="Quicksand Light" w:hAnsi="Quicksand Light"/>
          <w:color w:val="615F59"/>
          <w:sz w:val="16"/>
          <w:szCs w:val="16"/>
        </w:rPr>
        <w:t xml:space="preserve"> for </w:t>
      </w:r>
      <w:r>
        <w:rPr>
          <w:rFonts w:ascii="Quicksand Medium" w:cs="Quicksand Medium" w:eastAsia="Quicksand Medium" w:hAnsi="Quicksand Medium"/>
          <w:color w:val="615F59"/>
          <w:sz w:val="16"/>
          <w:szCs w:val="16"/>
        </w:rPr>
        <w:t xml:space="preserve">Adam Asztalos</w:t>
      </w:r>
      <w:r>
        <w:rPr>
          <w:rFonts w:ascii="Quicksand Light" w:cs="Quicksand Light" w:eastAsia="Quicksand Light" w:hAnsi="Quicksand Light"/>
          <w:color w:val="615F59"/>
          <w:sz w:val="16"/>
          <w:szCs w:val="16"/>
        </w:rPr>
        <w:t xml:space="preserve"> and </w:t>
      </w:r>
      <w:r>
        <w:rPr>
          <w:rFonts w:ascii="Quicksand Medium" w:cs="Quicksand Medium" w:eastAsia="Quicksand Medium" w:hAnsi="Quicksand Medium"/>
          <w:color w:val="615F59"/>
          <w:sz w:val="16"/>
          <w:szCs w:val="16"/>
        </w:rPr>
        <w:t xml:space="preserve">João Pedro Vieira</w:t>
      </w:r>
      <w:r>
        <w:rPr>
          <w:rFonts w:ascii="Quicksand Light" w:cs="Quicksand Light" w:eastAsia="Quicksand Light" w:hAnsi="Quicksand Light"/>
          <w:color w:val="615F59"/>
          <w:sz w:val="16"/>
          <w:szCs w:val="16"/>
        </w:rPr>
        <w:t xml:space="preserve">  |  Research date: 29 October 2026  |  Valuation date: 28 October 2026 closing prices</w:t>
      </w:r>
    </w:p>
    <w:p>
      <w:pPr>
        <w:keepNext/>
        <w:spacing w:after="20" w:before="0"/>
      </w:pPr>
      <w:r>
        <w:rPr>
          <w:rFonts w:ascii="Agus Sans" w:cs="Agus Sans" w:eastAsia="Agus Sans" w:hAnsi="Agus Sans"/>
          <w:color w:val="C21A27"/>
          <w:sz w:val="30"/>
          <w:szCs w:val="30"/>
        </w:rPr>
        <w:t xml:space="preserve">SCHNEIDER ELECTRIC</w:t>
      </w:r>
    </w:p>
    <w:p>
      <w:pPr>
        <w:keepNext/>
        <w:pBdr>
          <w:bottom w:val="single" w:color="C21A27" w:sz="6" w:space="3"/>
        </w:pBdr>
        <w:spacing w:after="100" w:before="0"/>
      </w:pPr>
      <w:r>
        <w:rPr>
          <w:rFonts w:ascii="Agus Sans" w:cs="Agus Sans" w:eastAsia="Agus Sans" w:hAnsi="Agus Sans"/>
          <w:color w:val="615F59"/>
          <w:sz w:val="16"/>
          <w:szCs w:val="16"/>
        </w:rPr>
        <w:t xml:space="preserve">SU  |  EURONEXT PARIS  |  GICS INDUSTRIALS: ELECTRICAL COMPONENTS AND EQUIPMENT  |  FISCAL YEAR TO 31 DECEMBER</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8036"/>
      </w:tblGrid>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RECOMMENDATION</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000000"/>
                <w:sz w:val="17"/>
                <w:szCs w:val="17"/>
              </w:rPr>
              <w:t xml:space="preserve">BUY at €246.20</w:t>
            </w:r>
            <w:r>
              <w:rPr>
                <w:rFonts w:ascii="Quicksand Light" w:cs="Quicksand Light" w:eastAsia="Quicksand Light" w:hAnsi="Quicksand Light"/>
                <w:color w:val="000000"/>
                <w:sz w:val="17"/>
                <w:szCs w:val="17"/>
              </w:rPr>
              <w:t xml:space="preserve"> (28 October close) </w:t>
            </w:r>
            <w:r>
              <w:rPr>
                <w:rFonts w:ascii="Quicksand Light" w:cs="Quicksand Light" w:eastAsia="Quicksand Light" w:hAnsi="Quicksand Light"/>
                <w:color w:val="615F59"/>
                <w:sz w:val="14"/>
                <w:szCs w:val="14"/>
              </w:rPr>
              <w:t xml:space="preserve">[</w:t>
            </w:r>
            <w:hyperlink w:history="1" w:anchor="src_S10">
              <w:r>
                <w:rPr>
                  <w:rFonts w:ascii="Quicksand Light" w:cs="Quicksand Light" w:eastAsia="Quicksand Light" w:hAnsi="Quicksand Light"/>
                  <w:color w:val="615F59"/>
                  <w:sz w:val="14"/>
                  <w:szCs w:val="14"/>
                </w:rPr>
                <w:t xml:space="preserve">S10</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 Base twelve-month value €274 (+11.5%), plus about 1.8% in dividends.</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CENTRAL REASON</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Data-centre demand is lifting Energy Management (+18.8% organic in Q3), while the shares trade at 21x deal-adjusted 2027 EPS </w:t>
            </w:r>
            <w:r>
              <w:rPr>
                <w:rFonts w:ascii="Quicksand Light" w:cs="Quicksand Light" w:eastAsia="Quicksand Light" w:hAnsi="Quicksand Light"/>
                <w:color w:val="615F59"/>
                <w:sz w:val="14"/>
                <w:szCs w:val="14"/>
              </w:rPr>
              <w:t xml:space="preserve">[</w:t>
            </w:r>
            <w:hyperlink w:history="1" w:anchor="src_S3">
              <w:r>
                <w:rPr>
                  <w:rFonts w:ascii="Quicksand Light" w:cs="Quicksand Light" w:eastAsia="Quicksand Light" w:hAnsi="Quicksand Light"/>
                  <w:color w:val="615F59"/>
                  <w:sz w:val="14"/>
                  <w:szCs w:val="14"/>
                </w:rPr>
                <w:t xml:space="preserve">S3</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ADVANTAGE</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In our view, one of very few suppliers of the full power chain for large data centres, from switchgear and cooling to software.</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CATALYST</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FY2026 results and 2027 guidance on </w:t>
            </w:r>
            <w:r>
              <w:rPr>
                <w:rFonts w:ascii="Quicksand Medium" w:cs="Quicksand Medium" w:eastAsia="Quicksand Medium" w:hAnsi="Quicksand Medium"/>
                <w:color w:val="000000"/>
                <w:sz w:val="17"/>
                <w:szCs w:val="17"/>
              </w:rPr>
              <w:t xml:space="preserve">18 February 2027</w:t>
            </w:r>
            <w:r>
              <w:rPr>
                <w:rFonts w:ascii="Quicksand Light" w:cs="Quicksand Light" w:eastAsia="Quicksand Light" w:hAnsi="Quicksand Light"/>
                <w:color w:val="000000"/>
                <w:sz w:val="17"/>
                <w:szCs w:val="17"/>
              </w:rPr>
              <w:t xml:space="preserve">; PTC shareholder vote and regulatory clearances to follow </w:t>
            </w:r>
            <w:r>
              <w:rPr>
                <w:rFonts w:ascii="Quicksand Light" w:cs="Quicksand Light" w:eastAsia="Quicksand Light" w:hAnsi="Quicksand Light"/>
                <w:color w:val="615F59"/>
                <w:sz w:val="14"/>
                <w:szCs w:val="14"/>
              </w:rPr>
              <w:t xml:space="preserve">[</w:t>
            </w:r>
            <w:hyperlink w:history="1" w:anchor="src_S4">
              <w:r>
                <w:rPr>
                  <w:rFonts w:ascii="Quicksand Light" w:cs="Quicksand Light" w:eastAsia="Quicksand Light" w:hAnsi="Quicksand Light"/>
                  <w:color w:val="615F59"/>
                  <w:sz w:val="14"/>
                  <w:szCs w:val="14"/>
                </w:rPr>
                <w:t xml:space="preserve">S4</w:t>
              </w:r>
            </w:hyperlink>
            <w:r>
              <w:rPr>
                <w:rFonts w:ascii="Quicksand Light" w:cs="Quicksand Light" w:eastAsia="Quicksand Light" w:hAnsi="Quicksand Light"/>
                <w:color w:val="615F59"/>
                <w:sz w:val="14"/>
                <w:szCs w:val="14"/>
              </w:rPr>
              <w:t xml:space="preserve">, </w:t>
            </w:r>
            <w:hyperlink w:history="1" w:anchor="src_S19">
              <w:r>
                <w:rPr>
                  <w:rFonts w:ascii="Quicksand Light" w:cs="Quicksand Light" w:eastAsia="Quicksand Light" w:hAnsi="Quicksand Light"/>
                  <w:color w:val="615F59"/>
                  <w:sz w:val="14"/>
                  <w:szCs w:val="14"/>
                </w:rPr>
                <w:t xml:space="preserve">S19</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COUNTERARGUMENT</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A pause in hyperscaler spending would hit the fastest-growing business just as Schneider adds about €16–17bn of debt for PTC </w:t>
            </w:r>
            <w:r>
              <w:rPr>
                <w:rFonts w:ascii="Quicksand Light" w:cs="Quicksand Light" w:eastAsia="Quicksand Light" w:hAnsi="Quicksand Light"/>
                <w:color w:val="615F59"/>
                <w:sz w:val="14"/>
                <w:szCs w:val="14"/>
              </w:rPr>
              <w:t xml:space="preserve">[</w:t>
            </w:r>
            <w:hyperlink w:history="1" w:anchor="src_S4">
              <w:r>
                <w:rPr>
                  <w:rFonts w:ascii="Quicksand Light" w:cs="Quicksand Light" w:eastAsia="Quicksand Light" w:hAnsi="Quicksand Light"/>
                  <w:color w:val="615F59"/>
                  <w:sz w:val="14"/>
                  <w:szCs w:val="14"/>
                </w:rPr>
                <w:t xml:space="preserve">S4</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w:t>
            </w:r>
          </w:p>
        </w:tc>
      </w:tr>
    </w:tbl>
    <w:p>
      <w:pPr>
        <w:keepNext/>
        <w:keepLines/>
        <w:spacing w:after="50" w:before="110"/>
      </w:pPr>
      <w:r>
        <w:rPr>
          <w:rFonts w:ascii="Agus Sans" w:cs="Agus Sans" w:eastAsia="Agus Sans" w:hAnsi="Agus Sans"/>
          <w:color w:val="790E17"/>
          <w:sz w:val="20"/>
          <w:szCs w:val="20"/>
        </w:rPr>
        <w:t xml:space="preserve">1  INDUSTRY TRENDS</w:t>
      </w:r>
    </w:p>
    <w:p>
      <w:pPr>
        <w:keepLines/>
        <w:spacing w:after="70" w:before="0" w:line="240" w:lineRule="auto"/>
        <w:jc w:val="both"/>
      </w:pPr>
      <w:r>
        <w:rPr>
          <w:rFonts w:ascii="Quicksand Medium" w:cs="Quicksand Medium" w:eastAsia="Quicksand Medium" w:hAnsi="Quicksand Medium"/>
          <w:color w:val="000000"/>
          <w:sz w:val="18"/>
          <w:szCs w:val="18"/>
        </w:rPr>
        <w:t xml:space="preserve">AI data centres need far more power equipment.</w:t>
      </w:r>
      <w:r>
        <w:rPr>
          <w:rFonts w:ascii="Quicksand Light" w:cs="Quicksand Light" w:eastAsia="Quicksand Light" w:hAnsi="Quicksand Light"/>
          <w:color w:val="000000"/>
          <w:sz w:val="18"/>
          <w:szCs w:val="18"/>
        </w:rPr>
        <w:t xml:space="preserve"> The IEA projects data-centre electricity use roughly doubling to about </w:t>
      </w:r>
      <w:r>
        <w:rPr>
          <w:rFonts w:ascii="Quicksand Medium" w:cs="Quicksand Medium" w:eastAsia="Quicksand Medium" w:hAnsi="Quicksand Medium"/>
          <w:color w:val="000000"/>
          <w:sz w:val="18"/>
          <w:szCs w:val="18"/>
        </w:rPr>
        <w:t xml:space="preserve">945 TWh by 2030</w:t>
      </w:r>
      <w:r>
        <w:rPr>
          <w:rFonts w:ascii="Quicksand Light" w:cs="Quicksand Light" w:eastAsia="Quicksand Light" w:hAnsi="Quicksand Light"/>
          <w:color w:val="000000"/>
          <w:sz w:val="18"/>
          <w:szCs w:val="18"/>
        </w:rPr>
        <w:t xml:space="preserve"> </w:t>
      </w:r>
      <w:r>
        <w:rPr>
          <w:rFonts w:ascii="Quicksand Light" w:cs="Quicksand Light" w:eastAsia="Quicksand Light" w:hAnsi="Quicksand Light"/>
          <w:color w:val="615F59"/>
          <w:sz w:val="15"/>
          <w:szCs w:val="15"/>
        </w:rPr>
        <w:t xml:space="preserve">[</w:t>
      </w:r>
      <w:hyperlink w:history="1" w:anchor="src_I1">
        <w:r>
          <w:rPr>
            <w:rFonts w:ascii="Quicksand Light" w:cs="Quicksand Light" w:eastAsia="Quicksand Light" w:hAnsi="Quicksand Light"/>
            <w:color w:val="615F59"/>
            <w:sz w:val="15"/>
            <w:szCs w:val="15"/>
          </w:rPr>
          <w:t xml:space="preserve">I1</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The spending is still rising: on 28 October Alphabet held 2026 capex guidance at $195–205bn and said 2027 will be significantly higher, and Meta raised the bottom of its 2026 range to $135–145bn </w:t>
      </w:r>
      <w:r>
        <w:rPr>
          <w:rFonts w:ascii="Quicksand Light" w:cs="Quicksand Light" w:eastAsia="Quicksand Light" w:hAnsi="Quicksand Light"/>
          <w:color w:val="615F59"/>
          <w:sz w:val="15"/>
          <w:szCs w:val="15"/>
        </w:rPr>
        <w:t xml:space="preserve">[</w:t>
      </w:r>
      <w:hyperlink w:history="1" w:anchor="src_I3">
        <w:r>
          <w:rPr>
            <w:rFonts w:ascii="Quicksand Light" w:cs="Quicksand Light" w:eastAsia="Quicksand Light" w:hAnsi="Quicksand Light"/>
            <w:color w:val="615F59"/>
            <w:sz w:val="15"/>
            <w:szCs w:val="15"/>
          </w:rPr>
          <w:t xml:space="preserve">I3</w:t>
        </w:r>
      </w:hyperlink>
      <w:r>
        <w:rPr>
          <w:rFonts w:ascii="Quicksand Light" w:cs="Quicksand Light" w:eastAsia="Quicksand Light" w:hAnsi="Quicksand Light"/>
          <w:color w:val="615F59"/>
          <w:sz w:val="15"/>
          <w:szCs w:val="15"/>
        </w:rPr>
        <w:t xml:space="preserve">, </w:t>
      </w:r>
      <w:hyperlink w:history="1" w:anchor="src_I4">
        <w:r>
          <w:rPr>
            <w:rFonts w:ascii="Quicksand Light" w:cs="Quicksand Light" w:eastAsia="Quicksand Light" w:hAnsi="Quicksand Light"/>
            <w:color w:val="615F59"/>
            <w:sz w:val="15"/>
            <w:szCs w:val="15"/>
          </w:rPr>
          <w:t xml:space="preserve">I4</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Investors are nervous all the same: on 22 October Meta’s outlook revived worries about how the build-out is financed, and Eaton, Vertiv and GE Vernova fell 6–11% </w:t>
      </w:r>
      <w:r>
        <w:rPr>
          <w:rFonts w:ascii="Quicksand Light" w:cs="Quicksand Light" w:eastAsia="Quicksand Light" w:hAnsi="Quicksand Light"/>
          <w:color w:val="615F59"/>
          <w:sz w:val="15"/>
          <w:szCs w:val="15"/>
        </w:rPr>
        <w:t xml:space="preserve">[</w:t>
      </w:r>
      <w:hyperlink w:history="1" w:anchor="src_I2">
        <w:r>
          <w:rPr>
            <w:rFonts w:ascii="Quicksand Light" w:cs="Quicksand Light" w:eastAsia="Quicksand Light" w:hAnsi="Quicksand Light"/>
            <w:color w:val="615F59"/>
            <w:sz w:val="15"/>
            <w:szCs w:val="15"/>
          </w:rPr>
          <w:t xml:space="preserve">I2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p>
      <w:pPr>
        <w:keepNext/>
        <w:keepLines/>
        <w:spacing w:after="50" w:before="110"/>
      </w:pPr>
      <w:r>
        <w:rPr>
          <w:rFonts w:ascii="Agus Sans" w:cs="Agus Sans" w:eastAsia="Agus Sans" w:hAnsi="Agus Sans"/>
          <w:color w:val="790E17"/>
          <w:sz w:val="20"/>
          <w:szCs w:val="20"/>
        </w:rPr>
        <w:t xml:space="preserve">2  HOW SCHNEIDER BENEFITS</w:t>
      </w:r>
    </w:p>
    <w:p>
      <w:pPr>
        <w:keepLines/>
        <w:spacing w:after="70" w:before="0" w:line="240" w:lineRule="auto"/>
        <w:jc w:val="both"/>
      </w:pPr>
      <w:r>
        <w:rPr>
          <w:rFonts w:ascii="Quicksand Light" w:cs="Quicksand Light" w:eastAsia="Quicksand Light" w:hAnsi="Quicksand Light"/>
          <w:color w:val="000000"/>
          <w:sz w:val="18"/>
          <w:szCs w:val="18"/>
        </w:rPr>
        <w:t xml:space="preserve">Every megawatt of data-centre capacity needs switchgear, transformers, uninterruptible power supplies, busways and cooling, which is Schneider’s </w:t>
      </w:r>
      <w:r>
        <w:rPr>
          <w:rFonts w:ascii="Quicksand Medium" w:cs="Quicksand Medium" w:eastAsia="Quicksand Medium" w:hAnsi="Quicksand Medium"/>
          <w:color w:val="000000"/>
          <w:sz w:val="18"/>
          <w:szCs w:val="18"/>
        </w:rPr>
        <w:t xml:space="preserve">Energy Management</w:t>
      </w:r>
      <w:r>
        <w:rPr>
          <w:rFonts w:ascii="Quicksand Light" w:cs="Quicksand Light" w:eastAsia="Quicksand Light" w:hAnsi="Quicksand Light"/>
          <w:color w:val="000000"/>
          <w:sz w:val="18"/>
          <w:szCs w:val="18"/>
        </w:rPr>
        <w:t xml:space="preserve"> offer. That business produced €9.62bn of the €11.46bn Q3 2026 revenue (84%) and grew 18.8% organically, against 8% for Industrial Automation </w:t>
      </w:r>
      <w:r>
        <w:rPr>
          <w:rFonts w:ascii="Quicksand Light" w:cs="Quicksand Light" w:eastAsia="Quicksand Light" w:hAnsi="Quicksand Light"/>
          <w:color w:val="615F59"/>
          <w:sz w:val="15"/>
          <w:szCs w:val="15"/>
        </w:rPr>
        <w:t xml:space="preserve">[</w:t>
      </w:r>
      <w:hyperlink w:history="1" w:anchor="src_S3">
        <w:r>
          <w:rPr>
            <w:rFonts w:ascii="Quicksand Light" w:cs="Quicksand Light" w:eastAsia="Quicksand Light" w:hAnsi="Quicksand Light"/>
            <w:color w:val="615F59"/>
            <w:sz w:val="15"/>
            <w:szCs w:val="15"/>
          </w:rPr>
          <w:t xml:space="preserve">S3</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Schneider reported triple-digit growth in data-centre demand and another record backlog </w:t>
      </w:r>
      <w:r>
        <w:rPr>
          <w:rFonts w:ascii="Quicksand Light" w:cs="Quicksand Light" w:eastAsia="Quicksand Light" w:hAnsi="Quicksand Light"/>
          <w:color w:val="615F59"/>
          <w:sz w:val="15"/>
          <w:szCs w:val="15"/>
        </w:rPr>
        <w:t xml:space="preserve">[</w:t>
      </w:r>
      <w:hyperlink w:history="1" w:anchor="src_S3">
        <w:r>
          <w:rPr>
            <w:rFonts w:ascii="Quicksand Light" w:cs="Quicksand Light" w:eastAsia="Quicksand Light" w:hAnsi="Quicksand Light"/>
            <w:color w:val="615F59"/>
            <w:sz w:val="15"/>
            <w:szCs w:val="15"/>
          </w:rPr>
          <w:t xml:space="preserve">S3</w:t>
        </w:r>
      </w:hyperlink>
      <w:r>
        <w:rPr>
          <w:rFonts w:ascii="Quicksand Light" w:cs="Quicksand Light" w:eastAsia="Quicksand Light" w:hAnsi="Quicksand Light"/>
          <w:color w:val="615F59"/>
          <w:sz w:val="15"/>
          <w:szCs w:val="15"/>
        </w:rPr>
        <w:t xml:space="preserve">, </w:t>
      </w:r>
      <w:hyperlink w:history="1" w:anchor="src_S5">
        <w:r>
          <w:rPr>
            <w:rFonts w:ascii="Quicksand Light" w:cs="Quicksand Light" w:eastAsia="Quicksand Light" w:hAnsi="Quicksand Light"/>
            <w:color w:val="615F59"/>
            <w:sz w:val="15"/>
            <w:szCs w:val="15"/>
          </w:rPr>
          <w:t xml:space="preserve">S5</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w:t>
      </w:r>
      <w:r>
        <w:rPr>
          <w:rFonts w:ascii="Quicksand Medium" w:cs="Quicksand Medium" w:eastAsia="Quicksand Medium" w:hAnsi="Quicksand Medium"/>
          <w:color w:val="000000"/>
          <w:sz w:val="18"/>
          <w:szCs w:val="18"/>
        </w:rPr>
        <w:t xml:space="preserve">Exposure, measured carefully:</w:t>
      </w:r>
      <w:r>
        <w:rPr>
          <w:rFonts w:ascii="Quicksand Light" w:cs="Quicksand Light" w:eastAsia="Quicksand Light" w:hAnsi="Quicksand Light"/>
          <w:color w:val="000000"/>
          <w:sz w:val="18"/>
          <w:szCs w:val="18"/>
        </w:rPr>
        <w:t xml:space="preserve"> Data Center &amp; Networks was 30% of 2025 </w:t>
      </w:r>
      <w:r>
        <w:rPr>
          <w:rFonts w:ascii="Quicksand Medium" w:cs="Quicksand Medium" w:eastAsia="Quicksand Medium" w:hAnsi="Quicksand Medium"/>
          <w:color w:val="000000"/>
          <w:sz w:val="18"/>
          <w:szCs w:val="18"/>
        </w:rPr>
        <w:t xml:space="preserve">orders</w:t>
      </w:r>
      <w:r>
        <w:rPr>
          <w:rFonts w:ascii="Quicksand Light" w:cs="Quicksand Light" w:eastAsia="Quicksand Light" w:hAnsi="Quicksand Light"/>
          <w:color w:val="000000"/>
          <w:sz w:val="18"/>
          <w:szCs w:val="18"/>
        </w:rPr>
        <w:t xml:space="preserve"> </w:t>
      </w:r>
      <w:r>
        <w:rPr>
          <w:rFonts w:ascii="Quicksand Light" w:cs="Quicksand Light" w:eastAsia="Quicksand Light" w:hAnsi="Quicksand Light"/>
          <w:color w:val="615F59"/>
          <w:sz w:val="15"/>
          <w:szCs w:val="15"/>
        </w:rPr>
        <w:t xml:space="preserve">[</w:t>
      </w:r>
      <w:hyperlink w:history="1" w:anchor="src_S8">
        <w:r>
          <w:rPr>
            <w:rFonts w:ascii="Quicksand Light" w:cs="Quicksand Light" w:eastAsia="Quicksand Light" w:hAnsi="Quicksand Light"/>
            <w:color w:val="615F59"/>
            <w:sz w:val="15"/>
            <w:szCs w:val="15"/>
          </w:rPr>
          <w:t xml:space="preserve">S8</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and Morningstar </w:t>
      </w:r>
      <w:r>
        <w:rPr>
          <w:rFonts w:ascii="Quicksand Medium" w:cs="Quicksand Medium" w:eastAsia="Quicksand Medium" w:hAnsi="Quicksand Medium"/>
          <w:color w:val="000000"/>
          <w:sz w:val="18"/>
          <w:szCs w:val="18"/>
        </w:rPr>
        <w:t xml:space="preserve">estimates</w:t>
      </w:r>
      <w:r>
        <w:rPr>
          <w:rFonts w:ascii="Quicksand Light" w:cs="Quicksand Light" w:eastAsia="Quicksand Light" w:hAnsi="Quicksand Light"/>
          <w:color w:val="000000"/>
          <w:sz w:val="18"/>
          <w:szCs w:val="18"/>
        </w:rPr>
        <w:t xml:space="preserve"> data centres at about 29% of </w:t>
      </w:r>
      <w:r>
        <w:rPr>
          <w:rFonts w:ascii="Quicksand Medium" w:cs="Quicksand Medium" w:eastAsia="Quicksand Medium" w:hAnsi="Quicksand Medium"/>
          <w:color w:val="000000"/>
          <w:sz w:val="18"/>
          <w:szCs w:val="18"/>
        </w:rPr>
        <w:t xml:space="preserve">revenue</w:t>
      </w:r>
      <w:r>
        <w:rPr>
          <w:rFonts w:ascii="Quicksand Light" w:cs="Quicksand Light" w:eastAsia="Quicksand Light" w:hAnsi="Quicksand Light"/>
          <w:color w:val="000000"/>
          <w:sz w:val="18"/>
          <w:szCs w:val="18"/>
        </w:rPr>
        <w:t xml:space="preserve"> </w:t>
      </w:r>
      <w:r>
        <w:rPr>
          <w:rFonts w:ascii="Quicksand Light" w:cs="Quicksand Light" w:eastAsia="Quicksand Light" w:hAnsi="Quicksand Light"/>
          <w:color w:val="615F59"/>
          <w:sz w:val="15"/>
          <w:szCs w:val="15"/>
        </w:rPr>
        <w:t xml:space="preserve">[</w:t>
      </w:r>
      <w:hyperlink w:history="1" w:anchor="src_S7">
        <w:r>
          <w:rPr>
            <w:rFonts w:ascii="Quicksand Light" w:cs="Quicksand Light" w:eastAsia="Quicksand Light" w:hAnsi="Quicksand Light"/>
            <w:color w:val="615F59"/>
            <w:sz w:val="15"/>
            <w:szCs w:val="15"/>
          </w:rPr>
          <w:t xml:space="preserve">S7</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Neither figure isolates AI, because data-centre sales include colocation, enterprise and network sites. </w:t>
      </w:r>
      <w:r>
        <w:rPr>
          <w:rFonts w:ascii="Quicksand Medium" w:cs="Quicksand Medium" w:eastAsia="Quicksand Medium" w:hAnsi="Quicksand Medium"/>
          <w:color w:val="000000"/>
          <w:sz w:val="18"/>
          <w:szCs w:val="18"/>
        </w:rPr>
        <w:t xml:space="preserve">Industrial AI</w:t>
      </w:r>
      <w:r>
        <w:rPr>
          <w:rFonts w:ascii="Quicksand Light" w:cs="Quicksand Light" w:eastAsia="Quicksand Light" w:hAnsi="Quicksand Light"/>
          <w:color w:val="000000"/>
          <w:sz w:val="18"/>
          <w:szCs w:val="18"/>
        </w:rPr>
        <w:t xml:space="preserve"> comes through AVEVA and, once completed, PTC. PTC’s fiscal 2025 </w:t>
      </w:r>
      <w:r>
        <w:rPr>
          <w:rFonts w:ascii="Quicksand Medium" w:cs="Quicksand Medium" w:eastAsia="Quicksand Medium" w:hAnsi="Quicksand Medium"/>
          <w:color w:val="000000"/>
          <w:sz w:val="18"/>
          <w:szCs w:val="18"/>
        </w:rPr>
        <w:t xml:space="preserve">revenue</w:t>
      </w:r>
      <w:r>
        <w:rPr>
          <w:rFonts w:ascii="Quicksand Light" w:cs="Quicksand Light" w:eastAsia="Quicksand Light" w:hAnsi="Quicksand Light"/>
          <w:color w:val="000000"/>
          <w:sz w:val="18"/>
          <w:szCs w:val="18"/>
        </w:rPr>
        <w:t xml:space="preserve"> was $2.74bn, about 6% of the combined group; its $2.48bn ARR is a subscription run-rate, not revenue </w:t>
      </w:r>
      <w:r>
        <w:rPr>
          <w:rFonts w:ascii="Quicksand Light" w:cs="Quicksand Light" w:eastAsia="Quicksand Light" w:hAnsi="Quicksand Light"/>
          <w:color w:val="615F59"/>
          <w:sz w:val="15"/>
          <w:szCs w:val="15"/>
        </w:rPr>
        <w:t xml:space="preserve">[</w:t>
      </w:r>
      <w:hyperlink w:history="1" w:anchor="src_S12">
        <w:r>
          <w:rPr>
            <w:rFonts w:ascii="Quicksand Light" w:cs="Quicksand Light" w:eastAsia="Quicksand Light" w:hAnsi="Quicksand Light"/>
            <w:color w:val="615F59"/>
            <w:sz w:val="15"/>
            <w:szCs w:val="15"/>
          </w:rPr>
          <w:t xml:space="preserve">S12</w:t>
        </w:r>
      </w:hyperlink>
      <w:r>
        <w:rPr>
          <w:rFonts w:ascii="Quicksand Light" w:cs="Quicksand Light" w:eastAsia="Quicksand Light" w:hAnsi="Quicksand Light"/>
          <w:color w:val="615F59"/>
          <w:sz w:val="15"/>
          <w:szCs w:val="15"/>
        </w:rPr>
        <w:t xml:space="preserve">, </w:t>
      </w:r>
      <w:hyperlink w:history="1" w:anchor="src_S18">
        <w:r>
          <w:rPr>
            <w:rFonts w:ascii="Quicksand Light" w:cs="Quicksand Light" w:eastAsia="Quicksand Light" w:hAnsi="Quicksand Light"/>
            <w:color w:val="615F59"/>
            <w:sz w:val="15"/>
            <w:szCs w:val="15"/>
          </w:rPr>
          <w:t xml:space="preserve">S18</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p>
      <w:pPr>
        <w:keepNext/>
        <w:keepLines/>
        <w:spacing w:after="50" w:before="110"/>
      </w:pPr>
      <w:r>
        <w:rPr>
          <w:rFonts w:ascii="Agus Sans" w:cs="Agus Sans" w:eastAsia="Agus Sans" w:hAnsi="Agus Sans"/>
          <w:color w:val="790E17"/>
          <w:sz w:val="20"/>
          <w:szCs w:val="20"/>
        </w:rPr>
        <w:t xml:space="preserve">3  BUSINESS MODEL AND FINANCIAL PERFORMANCE</w:t>
      </w:r>
    </w:p>
    <w:p>
      <w:pPr>
        <w:keepLines/>
        <w:spacing w:after="70" w:before="0" w:line="240" w:lineRule="auto"/>
        <w:jc w:val="both"/>
      </w:pPr>
      <w:r>
        <w:rPr>
          <w:rFonts w:ascii="Quicksand Light" w:cs="Quicksand Light" w:eastAsia="Quicksand Light" w:hAnsi="Quicksand Light"/>
          <w:color w:val="000000"/>
          <w:sz w:val="18"/>
          <w:szCs w:val="18"/>
        </w:rPr>
        <w:t xml:space="preserve">Schneider sells electrical equipment, energy-management systems and automation through distributors and directly on projects. Profit comes from scale in standard products, pricing in mission-critical equipment and growing software and services. The main costs are materials, labour, and R&amp;D and selling. The H1 2026 adjusted EBITA margin was </w:t>
      </w:r>
      <w:r>
        <w:rPr>
          <w:rFonts w:ascii="Quicksand Medium" w:cs="Quicksand Medium" w:eastAsia="Quicksand Medium" w:hAnsi="Quicksand Medium"/>
          <w:color w:val="000000"/>
          <w:sz w:val="18"/>
          <w:szCs w:val="18"/>
        </w:rPr>
        <w:t xml:space="preserve">19.3%</w:t>
      </w:r>
      <w:r>
        <w:rPr>
          <w:rFonts w:ascii="Quicksand Light" w:cs="Quicksand Light" w:eastAsia="Quicksand Light" w:hAnsi="Quicksand Light"/>
          <w:color w:val="000000"/>
          <w:sz w:val="18"/>
          <w:szCs w:val="18"/>
        </w:rPr>
        <w:t xml:space="preserve">; 2025 cash conversion was 111% </w:t>
      </w:r>
      <w:r>
        <w:rPr>
          <w:rFonts w:ascii="Quicksand Light" w:cs="Quicksand Light" w:eastAsia="Quicksand Light" w:hAnsi="Quicksand Light"/>
          <w:color w:val="615F59"/>
          <w:sz w:val="15"/>
          <w:szCs w:val="15"/>
        </w:rPr>
        <w:t xml:space="preserve">[</w:t>
      </w:r>
      <w:hyperlink w:history="1" w:anchor="src_S1">
        <w:r>
          <w:rPr>
            <w:rFonts w:ascii="Quicksand Light" w:cs="Quicksand Light" w:eastAsia="Quicksand Light" w:hAnsi="Quicksand Light"/>
            <w:color w:val="615F59"/>
            <w:sz w:val="15"/>
            <w:szCs w:val="15"/>
          </w:rPr>
          <w:t xml:space="preserve">S1</w:t>
        </w:r>
      </w:hyperlink>
      <w:r>
        <w:rPr>
          <w:rFonts w:ascii="Quicksand Light" w:cs="Quicksand Light" w:eastAsia="Quicksand Light" w:hAnsi="Quicksand Light"/>
          <w:color w:val="615F59"/>
          <w:sz w:val="15"/>
          <w:szCs w:val="15"/>
        </w:rPr>
        <w:t xml:space="preserve">, </w:t>
      </w:r>
      <w:hyperlink w:history="1" w:anchor="src_S2">
        <w:r>
          <w:rPr>
            <w:rFonts w:ascii="Quicksand Light" w:cs="Quicksand Light" w:eastAsia="Quicksand Light" w:hAnsi="Quicksand Light"/>
            <w:color w:val="615F59"/>
            <w:sz w:val="15"/>
            <w:szCs w:val="15"/>
          </w:rPr>
          <w:t xml:space="preserve">S2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700"/>
        <w:gridCol w:w="1400"/>
        <w:gridCol w:w="2100"/>
        <w:gridCol w:w="1600"/>
        <w:gridCol w:w="1836"/>
      </w:tblGrid>
      <w:tr>
        <w:trPr>
          <w:cantSplit/>
          <w:tblHeader/>
        </w:trPr>
        <w:tc>
          <w:tcPr>
            <w:tcW w:type="dxa" w:w="13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Year</w:t>
            </w:r>
          </w:p>
        </w:tc>
        <w:tc>
          <w:tcPr>
            <w:tcW w:type="dxa" w:w="17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Revenue (€bn)</w:t>
            </w:r>
          </w:p>
        </w:tc>
        <w:tc>
          <w:tcPr>
            <w:tcW w:type="dxa" w:w="14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Growth</w:t>
            </w:r>
          </w:p>
        </w:tc>
        <w:tc>
          <w:tcPr>
            <w:tcW w:type="dxa" w:w="21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Net income (€bn)</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Growth</w:t>
            </w:r>
          </w:p>
        </w:tc>
        <w:tc>
          <w:tcPr>
            <w:tcW w:type="dxa" w:w="183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Net margin</w:t>
            </w:r>
          </w:p>
        </w:tc>
      </w:tr>
      <w:tr>
        <w:trPr>
          <w:cantSplit/>
        </w:trPr>
        <w:tc>
          <w:tcPr>
            <w:tcW w:type="dxa" w:w="1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2023</w:t>
            </w:r>
          </w:p>
        </w:tc>
        <w:tc>
          <w:tcPr>
            <w:tcW w:type="dxa" w:w="17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35.90</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w:t>
            </w:r>
          </w:p>
        </w:tc>
        <w:tc>
          <w:tcPr>
            <w:tcW w:type="dxa" w:w="21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4.00</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w:t>
            </w:r>
          </w:p>
        </w:tc>
        <w:tc>
          <w:tcPr>
            <w:tcW w:type="dxa" w:w="18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11.1%</w:t>
            </w:r>
          </w:p>
        </w:tc>
      </w:tr>
      <w:tr>
        <w:trPr>
          <w:cantSplit/>
        </w:trPr>
        <w:tc>
          <w:tcPr>
            <w:tcW w:type="dxa" w:w="1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2024</w:t>
            </w:r>
          </w:p>
        </w:tc>
        <w:tc>
          <w:tcPr>
            <w:tcW w:type="dxa" w:w="17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38.15</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+6.3%</w:t>
            </w:r>
          </w:p>
        </w:tc>
        <w:tc>
          <w:tcPr>
            <w:tcW w:type="dxa" w:w="21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4.27</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+6.6%</w:t>
            </w:r>
          </w:p>
        </w:tc>
        <w:tc>
          <w:tcPr>
            <w:tcW w:type="dxa" w:w="18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11.2%</w:t>
            </w:r>
          </w:p>
        </w:tc>
      </w:tr>
      <w:tr>
        <w:trPr>
          <w:cantSplit/>
        </w:trPr>
        <w:tc>
          <w:tcPr>
            <w:tcW w:type="dxa" w:w="1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2025</w:t>
            </w:r>
          </w:p>
        </w:tc>
        <w:tc>
          <w:tcPr>
            <w:tcW w:type="dxa" w:w="17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40.15</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+5.2%</w:t>
            </w:r>
          </w:p>
        </w:tc>
        <w:tc>
          <w:tcPr>
            <w:tcW w:type="dxa" w:w="21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4.16</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−2.5%</w:t>
            </w:r>
          </w:p>
        </w:tc>
        <w:tc>
          <w:tcPr>
            <w:tcW w:type="dxa" w:w="18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10.4%</w:t>
            </w:r>
          </w:p>
        </w:tc>
      </w:tr>
    </w:tbl>
    <w:p>
      <w:pPr>
        <w:keepLines/>
        <w:spacing w:after="60" w:before="0" w:line="240" w:lineRule="auto"/>
        <w:jc w:val="left"/>
      </w:pPr>
      <w:r>
        <w:rPr>
          <w:rFonts w:ascii="Quicksand Light" w:cs="Quicksand Light" w:eastAsia="Quicksand Light" w:hAnsi="Quicksand Light"/>
          <w:color w:val="615F59"/>
          <w:sz w:val="14"/>
          <w:szCs w:val="14"/>
        </w:rPr>
        <w:t xml:space="preserve">IFRS, attributable to owners of the parent. Reported growth includes currency effects; 2025 organic revenue growth was 8.9%. Sources: </w:t>
      </w:r>
      <w:r>
        <w:rPr>
          <w:rFonts w:ascii="Quicksand Light" w:cs="Quicksand Light" w:eastAsia="Quicksand Light" w:hAnsi="Quicksand Light"/>
          <w:color w:val="615F59"/>
          <w:sz w:val="11"/>
          <w:szCs w:val="11"/>
        </w:rPr>
        <w:t xml:space="preserve">[</w:t>
      </w:r>
      <w:hyperlink w:history="1" w:anchor="src_S1">
        <w:r>
          <w:rPr>
            <w:rFonts w:ascii="Quicksand Light" w:cs="Quicksand Light" w:eastAsia="Quicksand Light" w:hAnsi="Quicksand Light"/>
            <w:color w:val="615F59"/>
            <w:sz w:val="11"/>
            <w:szCs w:val="11"/>
          </w:rPr>
          <w:t xml:space="preserve">S1</w:t>
        </w:r>
      </w:hyperlink>
      <w:r>
        <w:rPr>
          <w:rFonts w:ascii="Quicksand Light" w:cs="Quicksand Light" w:eastAsia="Quicksand Light" w:hAnsi="Quicksand Light"/>
          <w:color w:val="615F59"/>
          <w:sz w:val="11"/>
          <w:szCs w:val="11"/>
        </w:rPr>
        <w:t xml:space="preserve">, </w:t>
      </w:r>
      <w:hyperlink w:history="1" w:anchor="src_S11">
        <w:r>
          <w:rPr>
            <w:rFonts w:ascii="Quicksand Light" w:cs="Quicksand Light" w:eastAsia="Quicksand Light" w:hAnsi="Quicksand Light"/>
            <w:color w:val="615F59"/>
            <w:sz w:val="11"/>
            <w:szCs w:val="11"/>
          </w:rPr>
          <w:t xml:space="preserve">S11</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615F59"/>
          <w:sz w:val="14"/>
          <w:szCs w:val="14"/>
        </w:rPr>
        <w:t xml:space="preserve">.</w:t>
      </w:r>
    </w:p>
    <w:p>
      <w:pPr>
        <w:keepNext/>
        <w:spacing w:after="30" w:before="30" w:line="240" w:lineRule="auto"/>
        <w:jc w:val="center"/>
      </w:pPr>
      <w:r>
        <w:drawing>
          <wp:inline distT="0" distB="0" distL="0" distR="0">
            <wp:extent cx="6309360" cy="1097280"/>
            <wp:effectExtent t="0" r="0" b="0" l="0"/>
            <wp:docPr id="1" name="schneider.png" descr="Bar charts of revenue and reported net profit" title="Revenue and net profi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309360" cy="1097280"/>
                    </a:xfrm>
                    <a:prstGeom prst="rect">
                      <a:avLst/>
                    </a:prstGeom>
                  </pic:spPr>
                </pic:pic>
              </a:graphicData>
            </a:graphic>
          </wp:inline>
        </w:drawing>
      </w:r>
    </w:p>
    <w:p>
      <w:pPr>
        <w:keepLines/>
        <w:spacing w:after="70" w:before="0" w:line="240" w:lineRule="auto"/>
        <w:jc w:val="both"/>
      </w:pPr>
      <w:r>
        <w:rPr>
          <w:rFonts w:ascii="Quicksand Medium" w:cs="Quicksand Medium" w:eastAsia="Quicksand Medium" w:hAnsi="Quicksand Medium"/>
          <w:color w:val="000000"/>
          <w:sz w:val="18"/>
          <w:szCs w:val="18"/>
        </w:rPr>
        <w:t xml:space="preserve">Reported versus adjusted.</w:t>
      </w:r>
      <w:r>
        <w:rPr>
          <w:rFonts w:ascii="Quicksand Light" w:cs="Quicksand Light" w:eastAsia="Quicksand Light" w:hAnsi="Quicksand Light"/>
          <w:color w:val="000000"/>
          <w:sz w:val="18"/>
          <w:szCs w:val="18"/>
        </w:rPr>
        <w:t xml:space="preserve"> 2025 reported diluted EPS was €7.33; adjusted EPS (excluding purchase-accounting amortisation and restructuring) was €8.59 </w:t>
      </w:r>
      <w:r>
        <w:rPr>
          <w:rFonts w:ascii="Quicksand Light" w:cs="Quicksand Light" w:eastAsia="Quicksand Light" w:hAnsi="Quicksand Light"/>
          <w:color w:val="615F59"/>
          <w:sz w:val="15"/>
          <w:szCs w:val="15"/>
        </w:rPr>
        <w:t xml:space="preserve">[</w:t>
      </w:r>
      <w:hyperlink w:history="1" w:anchor="src_S1">
        <w:r>
          <w:rPr>
            <w:rFonts w:ascii="Quicksand Light" w:cs="Quicksand Light" w:eastAsia="Quicksand Light" w:hAnsi="Quicksand Light"/>
            <w:color w:val="615F59"/>
            <w:sz w:val="15"/>
            <w:szCs w:val="15"/>
          </w:rPr>
          <w:t xml:space="preserve">S1</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H1 2026 net income rose 30% and adjusted EPS 21% to €4.79 </w:t>
      </w:r>
      <w:r>
        <w:rPr>
          <w:rFonts w:ascii="Quicksand Light" w:cs="Quicksand Light" w:eastAsia="Quicksand Light" w:hAnsi="Quicksand Light"/>
          <w:color w:val="615F59"/>
          <w:sz w:val="15"/>
          <w:szCs w:val="15"/>
        </w:rPr>
        <w:t xml:space="preserve">[</w:t>
      </w:r>
      <w:hyperlink w:history="1" w:anchor="src_S2">
        <w:r>
          <w:rPr>
            <w:rFonts w:ascii="Quicksand Light" w:cs="Quicksand Light" w:eastAsia="Quicksand Light" w:hAnsi="Quicksand Light"/>
            <w:color w:val="615F59"/>
            <w:sz w:val="15"/>
            <w:szCs w:val="15"/>
          </w:rPr>
          <w:t xml:space="preserve">S2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w:t>
      </w:r>
      <w:r>
        <w:rPr>
          <w:rFonts w:ascii="Quicksand Medium" w:cs="Quicksand Medium" w:eastAsia="Quicksand Medium" w:hAnsi="Quicksand Medium"/>
          <w:color w:val="000000"/>
          <w:sz w:val="18"/>
          <w:szCs w:val="18"/>
        </w:rPr>
        <w:t xml:space="preserve">Guidance (16 October):</w:t>
      </w:r>
      <w:r>
        <w:rPr>
          <w:rFonts w:ascii="Quicksand Light" w:cs="Quicksand Light" w:eastAsia="Quicksand Light" w:hAnsi="Quicksand Light"/>
          <w:color w:val="000000"/>
          <w:sz w:val="18"/>
          <w:szCs w:val="18"/>
        </w:rPr>
        <w:t xml:space="preserve"> 2026 organic revenue +12–14%, organic adjusted EBITA +18–21% </w:t>
      </w:r>
      <w:r>
        <w:rPr>
          <w:rFonts w:ascii="Quicksand Light" w:cs="Quicksand Light" w:eastAsia="Quicksand Light" w:hAnsi="Quicksand Light"/>
          <w:color w:val="615F59"/>
          <w:sz w:val="15"/>
          <w:szCs w:val="15"/>
        </w:rPr>
        <w:t xml:space="preserve">[</w:t>
      </w:r>
      <w:hyperlink w:history="1" w:anchor="src_S3">
        <w:r>
          <w:rPr>
            <w:rFonts w:ascii="Quicksand Light" w:cs="Quicksand Light" w:eastAsia="Quicksand Light" w:hAnsi="Quicksand Light"/>
            <w:color w:val="615F59"/>
            <w:sz w:val="15"/>
            <w:szCs w:val="15"/>
          </w:rPr>
          <w:t xml:space="preserve">S3</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p>
      <w:pPr>
        <w:keepNext/>
        <w:keepLines/>
        <w:spacing w:after="50" w:before="110"/>
      </w:pPr>
      <w:r>
        <w:rPr>
          <w:rFonts w:ascii="Agus Sans" w:cs="Agus Sans" w:eastAsia="Agus Sans" w:hAnsi="Agus Sans"/>
          <w:color w:val="790E17"/>
          <w:sz w:val="20"/>
          <w:szCs w:val="20"/>
        </w:rPr>
        <w:t xml:space="preserve">4  INVESTMENT CASE AND VALUATION</w:t>
      </w:r>
    </w:p>
    <w:p>
      <w:pPr>
        <w:keepLines/>
        <w:spacing w:after="70" w:before="0" w:line="240" w:lineRule="auto"/>
        <w:jc w:val="both"/>
      </w:pPr>
      <w:r>
        <w:rPr>
          <w:rFonts w:ascii="Quicksand Medium" w:cs="Quicksand Medium" w:eastAsia="Quicksand Medium" w:hAnsi="Quicksand Medium"/>
          <w:color w:val="000000"/>
          <w:sz w:val="18"/>
          <w:szCs w:val="18"/>
        </w:rPr>
        <w:t xml:space="preserve">PTC financing is largely in place.</w:t>
      </w:r>
      <w:r>
        <w:rPr>
          <w:rFonts w:ascii="Quicksand Light" w:cs="Quicksand Light" w:eastAsia="Quicksand Light" w:hAnsi="Quicksand Light"/>
          <w:color w:val="000000"/>
          <w:sz w:val="18"/>
          <w:szCs w:val="18"/>
        </w:rPr>
        <w:t xml:space="preserve"> For PTC ($205 a share, $22.6bn), Schneider sold </w:t>
      </w:r>
      <w:r>
        <w:rPr>
          <w:rFonts w:ascii="Quicksand Medium" w:cs="Quicksand Medium" w:eastAsia="Quicksand Medium" w:hAnsi="Quicksand Medium"/>
          <w:color w:val="000000"/>
          <w:sz w:val="18"/>
          <w:szCs w:val="18"/>
        </w:rPr>
        <w:t xml:space="preserve">25.0m new shares at €240</w:t>
      </w:r>
      <w:r>
        <w:rPr>
          <w:rFonts w:ascii="Quicksand Light" w:cs="Quicksand Light" w:eastAsia="Quicksand Light" w:hAnsi="Quicksand Light"/>
          <w:color w:val="000000"/>
          <w:sz w:val="18"/>
          <w:szCs w:val="18"/>
        </w:rPr>
        <w:t xml:space="preserve"> on 20 October and issued €6.0bn of bonds at about 4.3%; closing is expected by Q3 2027 </w:t>
      </w:r>
      <w:r>
        <w:rPr>
          <w:rFonts w:ascii="Quicksand Light" w:cs="Quicksand Light" w:eastAsia="Quicksand Light" w:hAnsi="Quicksand Light"/>
          <w:color w:val="615F59"/>
          <w:sz w:val="15"/>
          <w:szCs w:val="15"/>
        </w:rPr>
        <w:t xml:space="preserve">[</w:t>
      </w:r>
      <w:hyperlink w:history="1" w:anchor="src_S4">
        <w:r>
          <w:rPr>
            <w:rFonts w:ascii="Quicksand Light" w:cs="Quicksand Light" w:eastAsia="Quicksand Light" w:hAnsi="Quicksand Light"/>
            <w:color w:val="615F59"/>
            <w:sz w:val="15"/>
            <w:szCs w:val="15"/>
          </w:rPr>
          <w:t xml:space="preserve">S4</w:t>
        </w:r>
      </w:hyperlink>
      <w:r>
        <w:rPr>
          <w:rFonts w:ascii="Quicksand Light" w:cs="Quicksand Light" w:eastAsia="Quicksand Light" w:hAnsi="Quicksand Light"/>
          <w:color w:val="615F59"/>
          <w:sz w:val="15"/>
          <w:szCs w:val="15"/>
        </w:rPr>
        <w:t xml:space="preserve">, </w:t>
      </w:r>
      <w:hyperlink w:history="1" w:anchor="src_S13">
        <w:r>
          <w:rPr>
            <w:rFonts w:ascii="Quicksand Light" w:cs="Quicksand Light" w:eastAsia="Quicksand Light" w:hAnsi="Quicksand Light"/>
            <w:color w:val="615F59"/>
            <w:sz w:val="15"/>
            <w:szCs w:val="15"/>
          </w:rPr>
          <w:t xml:space="preserve">S13</w:t>
        </w:r>
      </w:hyperlink>
      <w:r>
        <w:rPr>
          <w:rFonts w:ascii="Quicksand Light" w:cs="Quicksand Light" w:eastAsia="Quicksand Light" w:hAnsi="Quicksand Light"/>
          <w:color w:val="615F59"/>
          <w:sz w:val="15"/>
          <w:szCs w:val="15"/>
        </w:rPr>
        <w:t xml:space="preserve">, </w:t>
      </w:r>
      <w:hyperlink w:history="1" w:anchor="src_S14">
        <w:r>
          <w:rPr>
            <w:rFonts w:ascii="Quicksand Light" w:cs="Quicksand Light" w:eastAsia="Quicksand Light" w:hAnsi="Quicksand Light"/>
            <w:color w:val="615F59"/>
            <w:sz w:val="15"/>
            <w:szCs w:val="15"/>
          </w:rPr>
          <w:t xml:space="preserve">S14</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The latest consensus we found (11 August) predates the deal, so we adjust it </w:t>
      </w:r>
      <w:r>
        <w:rPr>
          <w:rFonts w:ascii="Quicksand Light" w:cs="Quicksand Light" w:eastAsia="Quicksand Light" w:hAnsi="Quicksand Light"/>
          <w:color w:val="615F59"/>
          <w:sz w:val="15"/>
          <w:szCs w:val="15"/>
        </w:rPr>
        <w:t xml:space="preserve">[</w:t>
      </w:r>
      <w:hyperlink w:history="1" w:anchor="src_S6">
        <w:r>
          <w:rPr>
            <w:rFonts w:ascii="Quicksand Light" w:cs="Quicksand Light" w:eastAsia="Quicksand Light" w:hAnsi="Quicksand Light"/>
            <w:color w:val="615F59"/>
            <w:sz w:val="15"/>
            <w:szCs w:val="15"/>
          </w:rPr>
          <w:t xml:space="preserve">S6</w:t>
        </w:r>
      </w:hyperlink>
      <w:r>
        <w:rPr>
          <w:rFonts w:ascii="Quicksand Light" w:cs="Quicksand Light" w:eastAsia="Quicksand Light" w:hAnsi="Quicksand Light"/>
          <w:color w:val="615F59"/>
          <w:sz w:val="15"/>
          <w:szCs w:val="15"/>
        </w:rPr>
        <w:t xml:space="preserve">, </w:t>
      </w:r>
      <w:hyperlink w:history="1" w:anchor="src_S19">
        <w:r>
          <w:rPr>
            <w:rFonts w:ascii="Quicksand Light" w:cs="Quicksand Light" w:eastAsia="Quicksand Light" w:hAnsi="Quicksand Light"/>
            <w:color w:val="615F59"/>
            <w:sz w:val="15"/>
            <w:szCs w:val="15"/>
          </w:rPr>
          <w:t xml:space="preserve">S19</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2900"/>
        <w:gridCol w:w="1736"/>
      </w:tblGrid>
      <w:tr>
        <w:trPr>
          <w:cantSplit/>
          <w:tblHeader/>
        </w:trPr>
        <w:tc>
          <w:tcPr>
            <w:tcW w:type="dxa" w:w="53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Step (company-adjusted EPS, before PTC purchase accounting)</w:t>
            </w:r>
          </w:p>
        </w:tc>
        <w:tc>
          <w:tcPr>
            <w:tcW w:type="dxa" w:w="29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Basis</w:t>
            </w:r>
          </w:p>
        </w:tc>
        <w:tc>
          <w:tcPr>
            <w:tcW w:type="dxa" w:w="173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EPS</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2027 consensus before the deal (11 August)</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Analyst consensus</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€12.23</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Spread over 603.7m shares after the 25.0m issue (−4.1%)</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Our calculation</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€11.72</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Pre-closing carry: 4.3% bond coupon vs interest on cash held</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Our assumption: about neutral</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€11.72</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2028 standalone: +10% core growth on €12.23</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Our estimate</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€13.45</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PTC accretion: "low-single-digit" in first full year; we use +2%</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Management guidance</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€13.72</w:t>
            </w:r>
          </w:p>
        </w:tc>
      </w:tr>
    </w:tbl>
    <w:p>
      <w:pPr>
        <w:keepLines/>
        <w:spacing w:after="60" w:before="0" w:line="240" w:lineRule="auto"/>
        <w:jc w:val="left"/>
      </w:pPr>
      <w:r>
        <w:rPr>
          <w:rFonts w:ascii="Quicksand Light" w:cs="Quicksand Light" w:eastAsia="Quicksand Light" w:hAnsi="Quicksand Light"/>
          <w:color w:val="615F59"/>
          <w:sz w:val="14"/>
          <w:szCs w:val="14"/>
        </w:rPr>
        <w:t xml:space="preserve">Carry assumption: the €12bn already raised earns interest until closing, which we assume roughly offsets the coupon on €6bn of bonds. Management’s accretion guidance already includes the new shares and debt, so we do not deduct financing costs a second time in 2028. Cost synergies (€250m by year 3) are profit; the ~€800m of revenue synergies are sales, not profit </w:t>
      </w:r>
      <w:r>
        <w:rPr>
          <w:rFonts w:ascii="Quicksand Light" w:cs="Quicksand Light" w:eastAsia="Quicksand Light" w:hAnsi="Quicksand Light"/>
          <w:color w:val="615F59"/>
          <w:sz w:val="11"/>
          <w:szCs w:val="11"/>
        </w:rPr>
        <w:t xml:space="preserve">[</w:t>
      </w:r>
      <w:hyperlink w:history="1" w:anchor="src_S4">
        <w:r>
          <w:rPr>
            <w:rFonts w:ascii="Quicksand Light" w:cs="Quicksand Light" w:eastAsia="Quicksand Light" w:hAnsi="Quicksand Light"/>
            <w:color w:val="615F59"/>
            <w:sz w:val="11"/>
            <w:szCs w:val="11"/>
          </w:rPr>
          <w:t xml:space="preserve">S4</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615F59"/>
          <w:sz w:val="14"/>
          <w:szCs w:val="14"/>
        </w:rP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400"/>
        <w:gridCol w:w="2900"/>
        <w:gridCol w:w="1600"/>
        <w:gridCol w:w="1736"/>
      </w:tblGrid>
      <w:tr>
        <w:trPr>
          <w:cantSplit/>
          <w:tblHeader/>
        </w:trPr>
        <w:tc>
          <w:tcPr>
            <w:tcW w:type="dxa" w:w="23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Company (28 Oct close)</w:t>
            </w:r>
          </w:p>
        </w:tc>
        <w:tc>
          <w:tcPr>
            <w:tcW w:type="dxa" w:w="14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Price</w:t>
            </w:r>
          </w:p>
        </w:tc>
        <w:tc>
          <w:tcPr>
            <w:tcW w:type="dxa" w:w="29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2026 EPS basis (company-adjusted)</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EPS</w:t>
            </w:r>
          </w:p>
        </w:tc>
        <w:tc>
          <w:tcPr>
            <w:tcW w:type="dxa" w:w="173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P/E 2026</w:t>
            </w:r>
          </w:p>
        </w:tc>
      </w:tr>
      <w:tr>
        <w:trPr>
          <w:cantSplit/>
        </w:trPr>
        <w:tc>
          <w:tcPr>
            <w:tcW w:type="dxa" w:w="23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Schneider Electric</w:t>
            </w:r>
          </w:p>
        </w:tc>
        <w:tc>
          <w:tcPr>
            <w:tcW w:type="dxa" w:w="14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€246.20</w:t>
            </w:r>
          </w:p>
        </w:tc>
        <w:tc>
          <w:tcPr>
            <w:tcW w:type="dxa" w:w="2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Consensus adjusted for new shares</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€10.31</w:t>
            </w:r>
          </w:p>
        </w:tc>
        <w:tc>
          <w:tcPr>
            <w:tcW w:type="dxa" w:w="1736"/>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23.9x</w:t>
            </w:r>
          </w:p>
        </w:tc>
      </w:tr>
      <w:tr>
        <w:trPr>
          <w:cantSplit/>
        </w:trPr>
        <w:tc>
          <w:tcPr>
            <w:tcW w:type="dxa" w:w="2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Eaton</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$392.88</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Guidance midpoint (July)</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$13.50</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29.1x</w:t>
            </w:r>
          </w:p>
        </w:tc>
      </w:tr>
      <w:tr>
        <w:trPr>
          <w:cantSplit/>
        </w:trPr>
        <w:tc>
          <w:tcPr>
            <w:tcW w:type="dxa" w:w="2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Hubbell</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$437.33</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Guidance midpoint (October)</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$20.50</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21.3x</w:t>
            </w:r>
          </w:p>
        </w:tc>
      </w:tr>
      <w:tr>
        <w:trPr>
          <w:cantSplit/>
        </w:trPr>
        <w:tc>
          <w:tcPr>
            <w:tcW w:type="dxa" w:w="2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Vertiv</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$242.94</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Guidance midpoint (October)</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$7.15</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34.0x</w:t>
            </w:r>
          </w:p>
        </w:tc>
      </w:tr>
    </w:tbl>
    <w:p>
      <w:pPr>
        <w:keepLines/>
        <w:spacing w:after="60" w:before="0" w:line="240" w:lineRule="auto"/>
        <w:jc w:val="left"/>
      </w:pPr>
      <w:r>
        <w:rPr>
          <w:rFonts w:ascii="Quicksand Light" w:cs="Quicksand Light" w:eastAsia="Quicksand Light" w:hAnsi="Quicksand Light"/>
          <w:color w:val="615F59"/>
          <w:sz w:val="14"/>
          <w:szCs w:val="14"/>
        </w:rPr>
        <w:t xml:space="preserve">Schneider trades below the 29.1x median of these peers but above Hubbell. Sources: </w:t>
      </w:r>
      <w:r>
        <w:rPr>
          <w:rFonts w:ascii="Quicksand Light" w:cs="Quicksand Light" w:eastAsia="Quicksand Light" w:hAnsi="Quicksand Light"/>
          <w:color w:val="615F59"/>
          <w:sz w:val="11"/>
          <w:szCs w:val="11"/>
        </w:rPr>
        <w:t xml:space="preserve">[</w:t>
      </w:r>
      <w:hyperlink w:history="1" w:anchor="src_S6">
        <w:r>
          <w:rPr>
            <w:rFonts w:ascii="Quicksand Light" w:cs="Quicksand Light" w:eastAsia="Quicksand Light" w:hAnsi="Quicksand Light"/>
            <w:color w:val="615F59"/>
            <w:sz w:val="11"/>
            <w:szCs w:val="11"/>
          </w:rPr>
          <w:t xml:space="preserve">S6</w:t>
        </w:r>
      </w:hyperlink>
      <w:r>
        <w:rPr>
          <w:rFonts w:ascii="Quicksand Light" w:cs="Quicksand Light" w:eastAsia="Quicksand Light" w:hAnsi="Quicksand Light"/>
          <w:color w:val="615F59"/>
          <w:sz w:val="11"/>
          <w:szCs w:val="11"/>
        </w:rPr>
        <w:t xml:space="preserve">, </w:t>
      </w:r>
      <w:hyperlink w:history="1" w:anchor="src_S10">
        <w:r>
          <w:rPr>
            <w:rFonts w:ascii="Quicksand Light" w:cs="Quicksand Light" w:eastAsia="Quicksand Light" w:hAnsi="Quicksand Light"/>
            <w:color w:val="615F59"/>
            <w:sz w:val="11"/>
            <w:szCs w:val="11"/>
          </w:rPr>
          <w:t xml:space="preserve">S10</w:t>
        </w:r>
      </w:hyperlink>
      <w:r>
        <w:rPr>
          <w:rFonts w:ascii="Quicksand Light" w:cs="Quicksand Light" w:eastAsia="Quicksand Light" w:hAnsi="Quicksand Light"/>
          <w:color w:val="615F59"/>
          <w:sz w:val="11"/>
          <w:szCs w:val="11"/>
        </w:rPr>
        <w:t xml:space="preserve">, </w:t>
      </w:r>
      <w:hyperlink w:history="1" w:anchor="src_E1">
        <w:r>
          <w:rPr>
            <w:rFonts w:ascii="Quicksand Light" w:cs="Quicksand Light" w:eastAsia="Quicksand Light" w:hAnsi="Quicksand Light"/>
            <w:color w:val="615F59"/>
            <w:sz w:val="11"/>
            <w:szCs w:val="11"/>
          </w:rPr>
          <w:t xml:space="preserve">E1–E6</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615F59"/>
          <w:sz w:val="14"/>
          <w:szCs w:val="14"/>
        </w:rP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1000"/>
        <w:gridCol w:w="3376"/>
        <w:gridCol w:w="1600"/>
        <w:gridCol w:w="1600"/>
        <w:gridCol w:w="1600"/>
      </w:tblGrid>
      <w:tr>
        <w:trPr>
          <w:cantSplit/>
          <w:tblHeader/>
        </w:trPr>
        <w:tc>
          <w:tcPr>
            <w:tcW w:type="dxa" w:w="76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Case</w:t>
            </w:r>
          </w:p>
        </w:tc>
        <w:tc>
          <w:tcPr>
            <w:tcW w:type="dxa" w:w="10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FY2028 EPS</w:t>
            </w:r>
          </w:p>
        </w:tc>
        <w:tc>
          <w:tcPr>
            <w:tcW w:type="dxa" w:w="337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Earnings assumption</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16x</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20x</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23x</w:t>
            </w:r>
          </w:p>
        </w:tc>
      </w:tr>
      <w:tr>
        <w:trPr>
          <w:cantSplit/>
        </w:trPr>
        <w:tc>
          <w:tcPr>
            <w:tcW w:type="dxa" w:w="76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Bear</w:t>
            </w:r>
          </w:p>
        </w:tc>
        <w:tc>
          <w:tcPr>
            <w:tcW w:type="dxa" w:w="10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€11.80</w:t>
            </w:r>
          </w:p>
        </w:tc>
        <w:tc>
          <w:tcPr>
            <w:tcW w:type="dxa" w:w="337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Data-centre orders pause; no accretion (−14% vs base)</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€188.8  (−23%)</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€236.0  (−4%)</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€271.4  (+10%)</w:t>
            </w:r>
          </w:p>
        </w:tc>
      </w:tr>
      <w:tr>
        <w:trPr>
          <w:cantSplit/>
        </w:trPr>
        <w:tc>
          <w:tcPr>
            <w:tcW w:type="dxa" w:w="76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Base</w:t>
            </w:r>
          </w:p>
        </w:tc>
        <w:tc>
          <w:tcPr>
            <w:tcW w:type="dxa" w:w="10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€13.72</w:t>
            </w:r>
          </w:p>
        </w:tc>
        <w:tc>
          <w:tcPr>
            <w:tcW w:type="dxa" w:w="3376"/>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Bridge above</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€219.5  (−11%)</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€274.4  (+11%)</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€315.6  (+28%)</w:t>
            </w:r>
          </w:p>
        </w:tc>
      </w:tr>
      <w:tr>
        <w:trPr>
          <w:cantSplit/>
        </w:trPr>
        <w:tc>
          <w:tcPr>
            <w:tcW w:type="dxa" w:w="76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Bull</w:t>
            </w:r>
          </w:p>
        </w:tc>
        <w:tc>
          <w:tcPr>
            <w:tcW w:type="dxa" w:w="10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€14.20</w:t>
            </w:r>
          </w:p>
        </w:tc>
        <w:tc>
          <w:tcPr>
            <w:tcW w:type="dxa" w:w="337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Core +13% and 3% accretion</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€227.2  (−8%)</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€284.0  (+15%)</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€326.6  (+33%)</w:t>
            </w:r>
          </w:p>
        </w:tc>
      </w:tr>
    </w:tbl>
    <w:p>
      <w:pPr>
        <w:keepLines/>
        <w:spacing w:after="60" w:before="0" w:line="240" w:lineRule="auto"/>
        <w:jc w:val="left"/>
      </w:pPr>
      <w:r>
        <w:rPr>
          <w:rFonts w:ascii="Quicksand Light" w:cs="Quicksand Light" w:eastAsia="Quicksand Light" w:hAnsi="Quicksand Light"/>
          <w:color w:val="615F59"/>
          <w:sz w:val="14"/>
          <w:szCs w:val="14"/>
        </w:rPr>
        <w:t xml:space="preserve">Twelve-month exit values (October 2027, valued on FY2028 EPS) against €246.20. Base cell: 20x, below the selected-peer median and equal to today’s multiple on pre-deal 2027 consensus. 23x is below the roughly 24.8x of 2 October. No probabilities assigned.</w:t>
      </w:r>
    </w:p>
    <w:p>
      <w:pPr>
        <w:keepLines/>
        <w:spacing w:after="70" w:before="0" w:line="240" w:lineRule="auto"/>
        <w:jc w:val="both"/>
      </w:pPr>
      <w:r>
        <w:rPr>
          <w:rFonts w:ascii="Quicksand Medium" w:cs="Quicksand Medium" w:eastAsia="Quicksand Medium" w:hAnsi="Quicksand Medium"/>
          <w:color w:val="000000"/>
          <w:sz w:val="18"/>
          <w:szCs w:val="18"/>
        </w:rPr>
        <w:t xml:space="preserve">Why the return compensates for the risk.</w:t>
      </w:r>
      <w:r>
        <w:rPr>
          <w:rFonts w:ascii="Quicksand Light" w:cs="Quicksand Light" w:eastAsia="Quicksand Light" w:hAnsi="Quicksand Light"/>
          <w:color w:val="000000"/>
          <w:sz w:val="18"/>
          <w:szCs w:val="18"/>
        </w:rPr>
        <w:t xml:space="preserve"> The base case earns about 13% (11.5% price plus 1.8% dividends; €4.50 assumed against €4.20 paid in May 2026). We think the market treats the 2027 dilution as permanent and the AI build-out as fragile. The dilution unwinds once PTC is consolidated, and Schneider describes data-centre visibility into 2027–28 </w:t>
      </w:r>
      <w:r>
        <w:rPr>
          <w:rFonts w:ascii="Quicksand Light" w:cs="Quicksand Light" w:eastAsia="Quicksand Light" w:hAnsi="Quicksand Light"/>
          <w:color w:val="615F59"/>
          <w:sz w:val="15"/>
          <w:szCs w:val="15"/>
        </w:rPr>
        <w:t xml:space="preserve">[</w:t>
      </w:r>
      <w:hyperlink w:history="1" w:anchor="src_S5">
        <w:r>
          <w:rPr>
            <w:rFonts w:ascii="Quicksand Light" w:cs="Quicksand Light" w:eastAsia="Quicksand Light" w:hAnsi="Quicksand Light"/>
            <w:color w:val="615F59"/>
            <w:sz w:val="15"/>
            <w:szCs w:val="15"/>
          </w:rPr>
          <w:t xml:space="preserve">S5</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Weaker earnings at 16x would cost 23%.</w:t>
      </w:r>
    </w:p>
    <w:p>
      <w:pPr>
        <w:keepNext/>
        <w:keepLines/>
        <w:spacing w:after="50" w:before="110"/>
      </w:pPr>
      <w:r>
        <w:rPr>
          <w:rFonts w:ascii="Agus Sans" w:cs="Agus Sans" w:eastAsia="Agus Sans" w:hAnsi="Agus Sans"/>
          <w:color w:val="790E17"/>
          <w:sz w:val="20"/>
          <w:szCs w:val="20"/>
        </w:rPr>
        <w:t xml:space="preserve">5  RED FLAGS AND PHILOSOPHY EXCEPTIONS</w:t>
      </w:r>
    </w:p>
    <w:p>
      <w:pPr>
        <w:keepLines/>
        <w:spacing w:after="70" w:before="0" w:line="240" w:lineRule="auto"/>
        <w:jc w:val="both"/>
      </w:pPr>
      <w:r>
        <w:rPr>
          <w:rFonts w:ascii="Quicksand Medium" w:cs="Quicksand Medium" w:eastAsia="Quicksand Medium" w:hAnsi="Quicksand Medium"/>
          <w:color w:val="000000"/>
          <w:sz w:val="18"/>
          <w:szCs w:val="18"/>
        </w:rPr>
        <w:t xml:space="preserve">Red flags.</w:t>
      </w:r>
      <w:r>
        <w:rPr>
          <w:rFonts w:ascii="Quicksand Light" w:cs="Quicksand Light" w:eastAsia="Quicksand Light" w:hAnsi="Quicksand Light"/>
          <w:color w:val="000000"/>
          <w:sz w:val="18"/>
          <w:szCs w:val="18"/>
        </w:rPr>
        <w:t xml:space="preserve"> (1) A 2027–28 pause in hyperscaler orders. (2) PTC execution: a 42% premium and pro forma gross debt of roughly 1.2x equity at closing on our estimate. (3) Weakness in China and in process automation </w:t>
      </w:r>
      <w:r>
        <w:rPr>
          <w:rFonts w:ascii="Quicksand Light" w:cs="Quicksand Light" w:eastAsia="Quicksand Light" w:hAnsi="Quicksand Light"/>
          <w:color w:val="615F59"/>
          <w:sz w:val="15"/>
          <w:szCs w:val="15"/>
        </w:rPr>
        <w:t xml:space="preserve">[</w:t>
      </w:r>
      <w:hyperlink w:history="1" w:anchor="src_S3">
        <w:r>
          <w:rPr>
            <w:rFonts w:ascii="Quicksand Light" w:cs="Quicksand Light" w:eastAsia="Quicksand Light" w:hAnsi="Quicksand Light"/>
            <w:color w:val="615F59"/>
            <w:sz w:val="15"/>
            <w:szCs w:val="15"/>
          </w:rPr>
          <w:t xml:space="preserve">S3</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w:t>
      </w:r>
      <w:r>
        <w:rPr>
          <w:rFonts w:ascii="Quicksand Medium" w:cs="Quicksand Medium" w:eastAsia="Quicksand Medium" w:hAnsi="Quicksand Medium"/>
          <w:color w:val="000000"/>
          <w:sz w:val="18"/>
          <w:szCs w:val="18"/>
        </w:rPr>
        <w:t xml:space="preserve">Evidence that would invalidate the thesis:</w:t>
      </w:r>
      <w:r>
        <w:rPr>
          <w:rFonts w:ascii="Quicksand Light" w:cs="Quicksand Light" w:eastAsia="Quicksand Light" w:hAnsi="Quicksand Light"/>
          <w:color w:val="000000"/>
          <w:sz w:val="18"/>
          <w:szCs w:val="18"/>
        </w:rPr>
        <w:t xml:space="preserve"> organic Energy Management growth below 8% for two quarters, or a falling backlog.</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68"/>
        <w:gridCol w:w="1700"/>
        <w:gridCol w:w="3268"/>
      </w:tblGrid>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EPS growth ≥10% a year</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C21A27"/>
                <w:sz w:val="15"/>
                <w:szCs w:val="15"/>
              </w:rPr>
              <w:t xml:space="preserve">FAIL</w:t>
            </w:r>
            <w:r>
              <w:rPr>
                <w:rFonts w:ascii="Quicksand Light" w:cs="Quicksand Light" w:eastAsia="Quicksand Light" w:hAnsi="Quicksand Light"/>
                <w:color w:val="000000"/>
                <w:sz w:val="15"/>
                <w:szCs w:val="15"/>
              </w:rPr>
              <w:t xml:space="preserve">  reported 2022 +8.5%, 2024 +6.5%, 2025 −2.7% </w:t>
            </w:r>
            <w:r>
              <w:rPr>
                <w:rFonts w:ascii="Quicksand Light" w:cs="Quicksand Light" w:eastAsia="Quicksand Light" w:hAnsi="Quicksand Light"/>
                <w:color w:val="615F59"/>
                <w:sz w:val="12"/>
                <w:szCs w:val="12"/>
              </w:rPr>
              <w:t xml:space="preserve">[</w:t>
            </w:r>
            <w:hyperlink w:history="1" w:anchor="src_S11">
              <w:r>
                <w:rPr>
                  <w:rFonts w:ascii="Quicksand Light" w:cs="Quicksand Light" w:eastAsia="Quicksand Light" w:hAnsi="Quicksand Light"/>
                  <w:color w:val="615F59"/>
                  <w:sz w:val="12"/>
                  <w:szCs w:val="12"/>
                </w:rPr>
                <w:t xml:space="preserve">S11</w:t>
              </w:r>
            </w:hyperlink>
            <w:r>
              <w:rPr>
                <w:rFonts w:ascii="Quicksand Light" w:cs="Quicksand Light" w:eastAsia="Quicksand Light" w:hAnsi="Quicksand Light"/>
                <w:color w:val="615F59"/>
                <w:sz w:val="12"/>
                <w:szCs w:val="12"/>
              </w:rPr>
              <w:t xml:space="preserve">]</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Net margin &gt;17.5%</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C21A27"/>
                <w:sz w:val="15"/>
                <w:szCs w:val="15"/>
              </w:rPr>
              <w:t xml:space="preserve">FAIL</w:t>
            </w:r>
            <w:r>
              <w:rPr>
                <w:rFonts w:ascii="Quicksand Light" w:cs="Quicksand Light" w:eastAsia="Quicksand Light" w:hAnsi="Quicksand Light"/>
                <w:color w:val="000000"/>
                <w:sz w:val="15"/>
                <w:szCs w:val="15"/>
              </w:rPr>
              <w:t xml:space="preserve">  10.4% (2025)</w:t>
            </w:r>
          </w:p>
        </w:tc>
      </w:tr>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ROE &gt;15%</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000000"/>
                <w:sz w:val="15"/>
                <w:szCs w:val="15"/>
              </w:rPr>
              <w:t xml:space="preserve">PASS</w:t>
            </w:r>
            <w:r>
              <w:rPr>
                <w:rFonts w:ascii="Quicksand Light" w:cs="Quicksand Light" w:eastAsia="Quicksand Light" w:hAnsi="Quicksand Light"/>
                <w:color w:val="000000"/>
                <w:sz w:val="15"/>
                <w:szCs w:val="15"/>
              </w:rPr>
              <w:t xml:space="preserve">  15.3% (2025 net income ÷ average 2024–25 equity) </w:t>
            </w:r>
            <w:r>
              <w:rPr>
                <w:rFonts w:ascii="Quicksand Light" w:cs="Quicksand Light" w:eastAsia="Quicksand Light" w:hAnsi="Quicksand Light"/>
                <w:color w:val="615F59"/>
                <w:sz w:val="12"/>
                <w:szCs w:val="12"/>
              </w:rPr>
              <w:t xml:space="preserve">[</w:t>
            </w:r>
            <w:hyperlink w:history="1" w:anchor="src_S16">
              <w:r>
                <w:rPr>
                  <w:rFonts w:ascii="Quicksand Light" w:cs="Quicksand Light" w:eastAsia="Quicksand Light" w:hAnsi="Quicksand Light"/>
                  <w:color w:val="615F59"/>
                  <w:sz w:val="12"/>
                  <w:szCs w:val="12"/>
                </w:rPr>
                <w:t xml:space="preserve">S16</w:t>
              </w:r>
            </w:hyperlink>
            <w:r>
              <w:rPr>
                <w:rFonts w:ascii="Quicksand Light" w:cs="Quicksand Light" w:eastAsia="Quicksand Light" w:hAnsi="Quicksand Light"/>
                <w:color w:val="615F59"/>
                <w:sz w:val="12"/>
                <w:szCs w:val="12"/>
              </w:rPr>
              <w:t xml:space="preserve">]</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Debt/equity &lt;1.5</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000000"/>
                <w:sz w:val="15"/>
                <w:szCs w:val="15"/>
              </w:rPr>
              <w:t xml:space="preserve">PASS</w:t>
            </w:r>
            <w:r>
              <w:rPr>
                <w:rFonts w:ascii="Quicksand Light" w:cs="Quicksand Light" w:eastAsia="Quicksand Light" w:hAnsi="Quicksand Light"/>
                <w:color w:val="000000"/>
                <w:sz w:val="15"/>
                <w:szCs w:val="15"/>
              </w:rPr>
              <w:t xml:space="preserve">  0.78x reported (June 2026); about 1.2x pro forma for PTC (our estimate) </w:t>
            </w:r>
            <w:r>
              <w:rPr>
                <w:rFonts w:ascii="Quicksand Light" w:cs="Quicksand Light" w:eastAsia="Quicksand Light" w:hAnsi="Quicksand Light"/>
                <w:color w:val="615F59"/>
                <w:sz w:val="12"/>
                <w:szCs w:val="12"/>
              </w:rPr>
              <w:t xml:space="preserve">[</w:t>
            </w:r>
            <w:hyperlink w:history="1" w:anchor="src_S17">
              <w:r>
                <w:rPr>
                  <w:rFonts w:ascii="Quicksand Light" w:cs="Quicksand Light" w:eastAsia="Quicksand Light" w:hAnsi="Quicksand Light"/>
                  <w:color w:val="615F59"/>
                  <w:sz w:val="12"/>
                  <w:szCs w:val="12"/>
                </w:rPr>
                <w:t xml:space="preserve">S17</w:t>
              </w:r>
            </w:hyperlink>
            <w:r>
              <w:rPr>
                <w:rFonts w:ascii="Quicksand Light" w:cs="Quicksand Light" w:eastAsia="Quicksand Light" w:hAnsi="Quicksand Light"/>
                <w:color w:val="615F59"/>
                <w:sz w:val="12"/>
                <w:szCs w:val="12"/>
              </w:rPr>
              <w:t xml:space="preserve">]</w:t>
            </w:r>
          </w:p>
        </w:tc>
      </w:tr>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Rising interest coverage</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615F59"/>
                <w:sz w:val="15"/>
                <w:szCs w:val="15"/>
              </w:rPr>
              <w:t xml:space="preserve">UNVERIFIED</w:t>
            </w:r>
            <w:r>
              <w:rPr>
                <w:rFonts w:ascii="Quicksand Light" w:cs="Quicksand Light" w:eastAsia="Quicksand Light" w:hAnsi="Quicksand Light"/>
                <w:color w:val="000000"/>
                <w:sz w:val="15"/>
                <w:szCs w:val="15"/>
              </w:rPr>
              <w:t xml:space="preserve">  five-year series not rebuilt</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Positive, growing FCF</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C21A27"/>
                <w:sz w:val="15"/>
                <w:szCs w:val="15"/>
              </w:rPr>
              <w:t xml:space="preserve">FAIL</w:t>
            </w:r>
            <w:r>
              <w:rPr>
                <w:rFonts w:ascii="Quicksand Light" w:cs="Quicksand Light" w:eastAsia="Quicksand Light" w:hAnsi="Quicksand Light"/>
                <w:color w:val="000000"/>
                <w:sz w:val="15"/>
                <w:szCs w:val="15"/>
              </w:rPr>
              <w:t xml:space="preserve">  €4.6bn (2023) to about €4.2bn (2024) </w:t>
            </w:r>
            <w:r>
              <w:rPr>
                <w:rFonts w:ascii="Quicksand Light" w:cs="Quicksand Light" w:eastAsia="Quicksand Light" w:hAnsi="Quicksand Light"/>
                <w:color w:val="615F59"/>
                <w:sz w:val="12"/>
                <w:szCs w:val="12"/>
              </w:rPr>
              <w:t xml:space="preserve">[</w:t>
            </w:r>
            <w:hyperlink w:history="1" w:anchor="src_S1">
              <w:r>
                <w:rPr>
                  <w:rFonts w:ascii="Quicksand Light" w:cs="Quicksand Light" w:eastAsia="Quicksand Light" w:hAnsi="Quicksand Light"/>
                  <w:color w:val="615F59"/>
                  <w:sz w:val="12"/>
                  <w:szCs w:val="12"/>
                </w:rPr>
                <w:t xml:space="preserve">S1</w:t>
              </w:r>
            </w:hyperlink>
            <w:r>
              <w:rPr>
                <w:rFonts w:ascii="Quicksand Light" w:cs="Quicksand Light" w:eastAsia="Quicksand Light" w:hAnsi="Quicksand Light"/>
                <w:color w:val="615F59"/>
                <w:sz w:val="12"/>
                <w:szCs w:val="12"/>
              </w:rPr>
              <w:t xml:space="preserve">, </w:t>
            </w:r>
            <w:hyperlink w:history="1" w:anchor="src_S15">
              <w:r>
                <w:rPr>
                  <w:rFonts w:ascii="Quicksand Light" w:cs="Quicksand Light" w:eastAsia="Quicksand Light" w:hAnsi="Quicksand Light"/>
                  <w:color w:val="615F59"/>
                  <w:sz w:val="12"/>
                  <w:szCs w:val="12"/>
                </w:rPr>
                <w:t xml:space="preserve">S15</w:t>
              </w:r>
            </w:hyperlink>
            <w:r>
              <w:rPr>
                <w:rFonts w:ascii="Quicksand Light" w:cs="Quicksand Light" w:eastAsia="Quicksand Light" w:hAnsi="Quicksand Light"/>
                <w:color w:val="615F59"/>
                <w:sz w:val="12"/>
                <w:szCs w:val="12"/>
              </w:rPr>
              <w:t xml:space="preserve">]</w:t>
            </w:r>
          </w:p>
        </w:tc>
      </w:tr>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790E17"/>
                <w:sz w:val="15"/>
                <w:szCs w:val="15"/>
              </w:rPr>
              <w:t xml:space="preserve">P/E below industry</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615F59"/>
                <w:sz w:val="15"/>
                <w:szCs w:val="15"/>
              </w:rPr>
              <w:t xml:space="preserve">UNVERIFIED</w:t>
            </w:r>
            <w:r>
              <w:rPr>
                <w:rFonts w:ascii="Quicksand Light" w:cs="Quicksand Light" w:eastAsia="Quicksand Light" w:hAnsi="Quicksand Light"/>
                <w:color w:val="000000"/>
                <w:sz w:val="15"/>
                <w:szCs w:val="15"/>
              </w:rPr>
              <w:t xml:space="preserve">  23.9x vs 29.1x selected-peer median; no industry average</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790E17"/>
                <w:sz w:val="15"/>
                <w:szCs w:val="15"/>
              </w:rPr>
              <w:t xml:space="preserve">P/B below industry</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615F59"/>
                <w:sz w:val="15"/>
                <w:szCs w:val="15"/>
              </w:rPr>
              <w:t xml:space="preserve">UNVERIFIED</w:t>
            </w:r>
            <w:r>
              <w:rPr>
                <w:rFonts w:ascii="Quicksand Light" w:cs="Quicksand Light" w:eastAsia="Quicksand Light" w:hAnsi="Quicksand Light"/>
                <w:color w:val="000000"/>
                <w:sz w:val="15"/>
                <w:szCs w:val="15"/>
              </w:rPr>
              <w:t xml:space="preserve">  about 4.8x after the share issue; no benchmark</w:t>
            </w:r>
          </w:p>
        </w:tc>
      </w:tr>
    </w:tbl>
    <w:p>
      <w:pPr>
        <w:keepLines/>
        <w:spacing w:after="60" w:before="0" w:line="240" w:lineRule="auto"/>
        <w:jc w:val="left"/>
      </w:pPr>
      <w:r>
        <w:rPr>
          <w:rFonts w:ascii="Quicksand Light" w:cs="Quicksand Light" w:eastAsia="Quicksand Light" w:hAnsi="Quicksand Light"/>
          <w:color w:val="615F59"/>
          <w:sz w:val="14"/>
          <w:szCs w:val="14"/>
        </w:rPr>
        <w:t xml:space="preserve">Test definitions are listed with the sources </w:t>
      </w:r>
      <w:r>
        <w:rPr>
          <w:rFonts w:ascii="Quicksand Light" w:cs="Quicksand Light" w:eastAsia="Quicksand Light" w:hAnsi="Quicksand Light"/>
          <w:color w:val="615F59"/>
          <w:sz w:val="11"/>
          <w:szCs w:val="11"/>
        </w:rPr>
        <w:t xml:space="preserve">[</w:t>
      </w:r>
      <w:hyperlink w:history="1" w:anchor="src_J1">
        <w:r>
          <w:rPr>
            <w:rFonts w:ascii="Quicksand Light" w:cs="Quicksand Light" w:eastAsia="Quicksand Light" w:hAnsi="Quicksand Light"/>
            <w:color w:val="615F59"/>
            <w:sz w:val="11"/>
            <w:szCs w:val="11"/>
          </w:rPr>
          <w:t xml:space="preserve">J1</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615F59"/>
          <w:sz w:val="14"/>
          <w:szCs w:val="14"/>
        </w:rPr>
        <w:t xml:space="preserve">. Industrials is not a preferred sector; qualitative criteria are not scored.</w:t>
      </w:r>
    </w:p>
    <w:p>
      <w:pPr>
        <w:keepNext/>
        <w:pageBreakBefore/>
        <w:spacing w:after="20" w:before="0"/>
      </w:pPr>
      <w:r>
        <w:rPr>
          <w:rFonts w:ascii="Agus Sans" w:cs="Agus Sans" w:eastAsia="Agus Sans" w:hAnsi="Agus Sans"/>
          <w:color w:val="C21A27"/>
          <w:sz w:val="30"/>
          <w:szCs w:val="30"/>
        </w:rPr>
        <w:t xml:space="preserve">HOWMET AEROSPACE</w:t>
      </w:r>
    </w:p>
    <w:p>
      <w:pPr>
        <w:keepNext/>
        <w:pBdr>
          <w:bottom w:val="single" w:color="C21A27" w:sz="6" w:space="3"/>
        </w:pBdr>
        <w:spacing w:after="100" w:before="0"/>
      </w:pPr>
      <w:r>
        <w:rPr>
          <w:rFonts w:ascii="Agus Sans" w:cs="Agus Sans" w:eastAsia="Agus Sans" w:hAnsi="Agus Sans"/>
          <w:color w:val="615F59"/>
          <w:sz w:val="16"/>
          <w:szCs w:val="16"/>
        </w:rPr>
        <w:t xml:space="preserve">HWM  |  NYSE  |  GICS INDUSTRIALS: AEROSPACE AND DEFENCE  |  FISCAL YEAR TO 31 DECEMBER</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8036"/>
      </w:tblGrid>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RECOMMENDATION</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000000"/>
                <w:sz w:val="17"/>
                <w:szCs w:val="17"/>
              </w:rPr>
              <w:t xml:space="preserve">BUY at $194.56</w:t>
            </w:r>
            <w:r>
              <w:rPr>
                <w:rFonts w:ascii="Quicksand Light" w:cs="Quicksand Light" w:eastAsia="Quicksand Light" w:hAnsi="Quicksand Light"/>
                <w:color w:val="000000"/>
                <w:sz w:val="17"/>
                <w:szCs w:val="17"/>
              </w:rPr>
              <w:t xml:space="preserve"> (28 October close) </w:t>
            </w:r>
            <w:r>
              <w:rPr>
                <w:rFonts w:ascii="Quicksand Light" w:cs="Quicksand Light" w:eastAsia="Quicksand Light" w:hAnsi="Quicksand Light"/>
                <w:color w:val="615F59"/>
                <w:sz w:val="14"/>
                <w:szCs w:val="14"/>
              </w:rPr>
              <w:t xml:space="preserve">[</w:t>
            </w:r>
            <w:hyperlink w:history="1" w:anchor="src_H7">
              <w:r>
                <w:rPr>
                  <w:rFonts w:ascii="Quicksand Light" w:cs="Quicksand Light" w:eastAsia="Quicksand Light" w:hAnsi="Quicksand Light"/>
                  <w:color w:val="615F59"/>
                  <w:sz w:val="14"/>
                  <w:szCs w:val="14"/>
                </w:rPr>
                <w:t xml:space="preserve">H7</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 Base twelve-month value $220 (+12.9%); dividends are small and excluded.</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CENTRAL REASON</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Guided 2026 adjusted EPS of $5.50 (+46%), yet the shares are about 37% below their $310 high </w:t>
            </w:r>
            <w:r>
              <w:rPr>
                <w:rFonts w:ascii="Quicksand Light" w:cs="Quicksand Light" w:eastAsia="Quicksand Light" w:hAnsi="Quicksand Light"/>
                <w:color w:val="615F59"/>
                <w:sz w:val="14"/>
                <w:szCs w:val="14"/>
              </w:rPr>
              <w:t xml:space="preserve">[</w:t>
            </w:r>
            <w:hyperlink w:history="1" w:anchor="src_H14">
              <w:r>
                <w:rPr>
                  <w:rFonts w:ascii="Quicksand Light" w:cs="Quicksand Light" w:eastAsia="Quicksand Light" w:hAnsi="Quicksand Light"/>
                  <w:color w:val="615F59"/>
                  <w:sz w:val="14"/>
                  <w:szCs w:val="14"/>
                </w:rPr>
                <w:t xml:space="preserve">H14</w:t>
              </w:r>
            </w:hyperlink>
            <w:r>
              <w:rPr>
                <w:rFonts w:ascii="Quicksand Light" w:cs="Quicksand Light" w:eastAsia="Quicksand Light" w:hAnsi="Quicksand Light"/>
                <w:color w:val="615F59"/>
                <w:sz w:val="14"/>
                <w:szCs w:val="14"/>
              </w:rPr>
              <w:t xml:space="preserve">, </w:t>
            </w:r>
            <w:hyperlink w:history="1" w:anchor="src_H17">
              <w:r>
                <w:rPr>
                  <w:rFonts w:ascii="Quicksand Light" w:cs="Quicksand Light" w:eastAsia="Quicksand Light" w:hAnsi="Quicksand Light"/>
                  <w:color w:val="615F59"/>
                  <w:sz w:val="14"/>
                  <w:szCs w:val="14"/>
                </w:rPr>
                <w:t xml:space="preserve">H17</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ADVANTAGE</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One of very few suppliers qualified to make single-crystal turbine blades for jet engines </w:t>
            </w:r>
            <w:r>
              <w:rPr>
                <w:rFonts w:ascii="Quicksand Light" w:cs="Quicksand Light" w:eastAsia="Quicksand Light" w:hAnsi="Quicksand Light"/>
                <w:color w:val="615F59"/>
                <w:sz w:val="14"/>
                <w:szCs w:val="14"/>
              </w:rPr>
              <w:t xml:space="preserve">[</w:t>
            </w:r>
            <w:hyperlink w:history="1" w:anchor="src_H1">
              <w:r>
                <w:rPr>
                  <w:rFonts w:ascii="Quicksand Light" w:cs="Quicksand Light" w:eastAsia="Quicksand Light" w:hAnsi="Quicksand Light"/>
                  <w:color w:val="615F59"/>
                  <w:sz w:val="14"/>
                  <w:szCs w:val="14"/>
                </w:rPr>
                <w:t xml:space="preserve">H1</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CATALYST</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FY2026 results and formal 2027 guidance, expected February 2027. The 29 October results, which raised guidance, came after our price date </w:t>
            </w:r>
            <w:r>
              <w:rPr>
                <w:rFonts w:ascii="Quicksand Light" w:cs="Quicksand Light" w:eastAsia="Quicksand Light" w:hAnsi="Quicksand Light"/>
                <w:color w:val="615F59"/>
                <w:sz w:val="14"/>
                <w:szCs w:val="14"/>
              </w:rPr>
              <w:t xml:space="preserve">[</w:t>
            </w:r>
            <w:hyperlink w:history="1" w:anchor="src_H14">
              <w:r>
                <w:rPr>
                  <w:rFonts w:ascii="Quicksand Light" w:cs="Quicksand Light" w:eastAsia="Quicksand Light" w:hAnsi="Quicksand Light"/>
                  <w:color w:val="615F59"/>
                  <w:sz w:val="14"/>
                  <w:szCs w:val="14"/>
                </w:rPr>
                <w:t xml:space="preserve">H14</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COUNTERARGUMENT</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At 30x our 2027 EPS the shares still need strong delivery, and a slip in engine demand would hit the multiple as well as earnings.</w:t>
            </w:r>
          </w:p>
        </w:tc>
      </w:tr>
    </w:tbl>
    <w:p>
      <w:pPr>
        <w:keepNext/>
        <w:keepLines/>
        <w:spacing w:after="50" w:before="110"/>
      </w:pPr>
      <w:r>
        <w:rPr>
          <w:rFonts w:ascii="Agus Sans" w:cs="Agus Sans" w:eastAsia="Agus Sans" w:hAnsi="Agus Sans"/>
          <w:color w:val="790E17"/>
          <w:sz w:val="20"/>
          <w:szCs w:val="20"/>
        </w:rPr>
        <w:t xml:space="preserve">1  INDUSTRY TRENDS</w:t>
      </w:r>
    </w:p>
    <w:p>
      <w:pPr>
        <w:keepLines/>
        <w:spacing w:after="70" w:before="0" w:line="240" w:lineRule="auto"/>
        <w:jc w:val="both"/>
      </w:pPr>
      <w:r>
        <w:rPr>
          <w:rFonts w:ascii="Quicksand Medium" w:cs="Quicksand Medium" w:eastAsia="Quicksand Medium" w:hAnsi="Quicksand Medium"/>
          <w:color w:val="000000"/>
          <w:sz w:val="18"/>
          <w:szCs w:val="18"/>
        </w:rPr>
        <w:t xml:space="preserve">Aircraft demand exceeds supply, and engines are the bottleneck.</w:t>
      </w:r>
      <w:r>
        <w:rPr>
          <w:rFonts w:ascii="Quicksand Light" w:cs="Quicksand Light" w:eastAsia="Quicksand Light" w:hAnsi="Quicksand Light"/>
          <w:color w:val="000000"/>
          <w:sz w:val="18"/>
          <w:szCs w:val="18"/>
        </w:rPr>
        <w:t xml:space="preserve"> Boeing’s commercial backlog reached a record $612bn (over 6,300 aircraft) at 30 September 2026, and Airbus’s backlog of 9,362 aircraft covers about 10.8 years at its delivery target </w:t>
      </w:r>
      <w:r>
        <w:rPr>
          <w:rFonts w:ascii="Quicksand Light" w:cs="Quicksand Light" w:eastAsia="Quicksand Light" w:hAnsi="Quicksand Light"/>
          <w:color w:val="615F59"/>
          <w:sz w:val="15"/>
          <w:szCs w:val="15"/>
        </w:rPr>
        <w:t xml:space="preserve">[</w:t>
      </w:r>
      <w:hyperlink w:history="1" w:anchor="src_A1">
        <w:r>
          <w:rPr>
            <w:rFonts w:ascii="Quicksand Light" w:cs="Quicksand Light" w:eastAsia="Quicksand Light" w:hAnsi="Quicksand Light"/>
            <w:color w:val="615F59"/>
            <w:sz w:val="15"/>
            <w:szCs w:val="15"/>
          </w:rPr>
          <w:t xml:space="preserve">A1</w:t>
        </w:r>
      </w:hyperlink>
      <w:r>
        <w:rPr>
          <w:rFonts w:ascii="Quicksand Light" w:cs="Quicksand Light" w:eastAsia="Quicksand Light" w:hAnsi="Quicksand Light"/>
          <w:color w:val="615F59"/>
          <w:sz w:val="15"/>
          <w:szCs w:val="15"/>
        </w:rPr>
        <w:t xml:space="preserve">, </w:t>
      </w:r>
      <w:hyperlink w:history="1" w:anchor="src_A2">
        <w:r>
          <w:rPr>
            <w:rFonts w:ascii="Quicksand Light" w:cs="Quicksand Light" w:eastAsia="Quicksand Light" w:hAnsi="Quicksand Light"/>
            <w:color w:val="615F59"/>
            <w:sz w:val="15"/>
            <w:szCs w:val="15"/>
          </w:rPr>
          <w:t xml:space="preserve">A2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Aftermarket demand is strong as well: GE Aerospace’s Q3 orders rose 49% and its services backlog exceeds $170bn </w:t>
      </w:r>
      <w:r>
        <w:rPr>
          <w:rFonts w:ascii="Quicksand Light" w:cs="Quicksand Light" w:eastAsia="Quicksand Light" w:hAnsi="Quicksand Light"/>
          <w:color w:val="615F59"/>
          <w:sz w:val="15"/>
          <w:szCs w:val="15"/>
        </w:rPr>
        <w:t xml:space="preserve">[</w:t>
      </w:r>
      <w:hyperlink w:history="1" w:anchor="src_A3">
        <w:r>
          <w:rPr>
            <w:rFonts w:ascii="Quicksand Light" w:cs="Quicksand Light" w:eastAsia="Quicksand Light" w:hAnsi="Quicksand Light"/>
            <w:color w:val="615F59"/>
            <w:sz w:val="15"/>
            <w:szCs w:val="15"/>
          </w:rPr>
          <w:t xml:space="preserve">A3</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The shares have not tracked this. They fell for five straight sessions to a one-year low of </w:t>
      </w:r>
      <w:r>
        <w:rPr>
          <w:rFonts w:ascii="Quicksand Medium" w:cs="Quicksand Medium" w:eastAsia="Quicksand Medium" w:hAnsi="Quicksand Medium"/>
          <w:color w:val="000000"/>
          <w:sz w:val="18"/>
          <w:szCs w:val="18"/>
        </w:rPr>
        <w:t xml:space="preserve">$185.91</w:t>
      </w:r>
      <w:r>
        <w:rPr>
          <w:rFonts w:ascii="Quicksand Light" w:cs="Quicksand Light" w:eastAsia="Quicksand Light" w:hAnsi="Quicksand Light"/>
          <w:color w:val="000000"/>
          <w:sz w:val="18"/>
          <w:szCs w:val="18"/>
        </w:rPr>
        <w:t xml:space="preserve"> on 23 October, amid weakness across aerospace stocks and analyst target cuts rather than company news </w:t>
      </w:r>
      <w:r>
        <w:rPr>
          <w:rFonts w:ascii="Quicksand Light" w:cs="Quicksand Light" w:eastAsia="Quicksand Light" w:hAnsi="Quicksand Light"/>
          <w:color w:val="615F59"/>
          <w:sz w:val="15"/>
          <w:szCs w:val="15"/>
        </w:rPr>
        <w:t xml:space="preserve">[</w:t>
      </w:r>
      <w:hyperlink w:history="1" w:anchor="src_H17">
        <w:r>
          <w:rPr>
            <w:rFonts w:ascii="Quicksand Light" w:cs="Quicksand Light" w:eastAsia="Quicksand Light" w:hAnsi="Quicksand Light"/>
            <w:color w:val="615F59"/>
            <w:sz w:val="15"/>
            <w:szCs w:val="15"/>
          </w:rPr>
          <w:t xml:space="preserve">H17</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p>
      <w:pPr>
        <w:keepNext/>
        <w:keepLines/>
        <w:spacing w:after="50" w:before="110"/>
      </w:pPr>
      <w:r>
        <w:rPr>
          <w:rFonts w:ascii="Agus Sans" w:cs="Agus Sans" w:eastAsia="Agus Sans" w:hAnsi="Agus Sans"/>
          <w:color w:val="790E17"/>
          <w:sz w:val="20"/>
          <w:szCs w:val="20"/>
        </w:rPr>
        <w:t xml:space="preserve">2  HOW HOWMET BENEFITS</w:t>
      </w:r>
    </w:p>
    <w:p>
      <w:pPr>
        <w:keepLines/>
        <w:spacing w:after="70" w:before="0" w:line="240" w:lineRule="auto"/>
        <w:jc w:val="both"/>
      </w:pPr>
      <w:r>
        <w:rPr>
          <w:rFonts w:ascii="Quicksand Light" w:cs="Quicksand Light" w:eastAsia="Quicksand Light" w:hAnsi="Quicksand Light"/>
          <w:color w:val="000000"/>
          <w:sz w:val="18"/>
          <w:szCs w:val="18"/>
        </w:rPr>
        <w:t xml:space="preserve">New engines and engine overhauls both consume Howmet’s turbine blades, structural castings and fasteners, so new-build and spare-parts demand flow into the same order book. </w:t>
      </w:r>
      <w:r>
        <w:rPr>
          <w:rFonts w:ascii="Quicksand Medium" w:cs="Quicksand Medium" w:eastAsia="Quicksand Medium" w:hAnsi="Quicksand Medium"/>
          <w:color w:val="000000"/>
          <w:sz w:val="18"/>
          <w:szCs w:val="18"/>
        </w:rPr>
        <w:t xml:space="preserve">Engine Products</w:t>
      </w:r>
      <w:r>
        <w:rPr>
          <w:rFonts w:ascii="Quicksand Light" w:cs="Quicksand Light" w:eastAsia="Quicksand Light" w:hAnsi="Quicksand Light"/>
          <w:color w:val="000000"/>
          <w:sz w:val="18"/>
          <w:szCs w:val="18"/>
        </w:rPr>
        <w:t xml:space="preserve"> revenue rose 33% to $1.45bn in Q3 2026, with an adjusted EBITDA margin of </w:t>
      </w:r>
      <w:r>
        <w:rPr>
          <w:rFonts w:ascii="Quicksand Medium" w:cs="Quicksand Medium" w:eastAsia="Quicksand Medium" w:hAnsi="Quicksand Medium"/>
          <w:color w:val="000000"/>
          <w:sz w:val="18"/>
          <w:szCs w:val="18"/>
        </w:rPr>
        <w:t xml:space="preserve">39.1%</w:t>
      </w:r>
      <w:r>
        <w:rPr>
          <w:rFonts w:ascii="Quicksand Light" w:cs="Quicksand Light" w:eastAsia="Quicksand Light" w:hAnsi="Quicksand Light"/>
          <w:color w:val="000000"/>
          <w:sz w:val="18"/>
          <w:szCs w:val="18"/>
        </w:rPr>
        <w:t xml:space="preserve"> (+580bp), driven by commercial aerospace and industrial gas turbines </w:t>
      </w:r>
      <w:r>
        <w:rPr>
          <w:rFonts w:ascii="Quicksand Light" w:cs="Quicksand Light" w:eastAsia="Quicksand Light" w:hAnsi="Quicksand Light"/>
          <w:color w:val="615F59"/>
          <w:sz w:val="15"/>
          <w:szCs w:val="15"/>
        </w:rPr>
        <w:t xml:space="preserve">[</w:t>
      </w:r>
      <w:hyperlink w:history="1" w:anchor="src_H1">
        <w:r>
          <w:rPr>
            <w:rFonts w:ascii="Quicksand Light" w:cs="Quicksand Light" w:eastAsia="Quicksand Light" w:hAnsi="Quicksand Light"/>
            <w:color w:val="615F59"/>
            <w:sz w:val="15"/>
            <w:szCs w:val="15"/>
          </w:rPr>
          <w:t xml:space="preserve">H1</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Turbine airfoils operate in gas hotter than the alloy’s melting point, and each part takes years to qualify on an engine programme. That makes switching suppliers slow and supports Howmet’s pricing. Howmet has no meaningful AI exposure.</w:t>
      </w:r>
    </w:p>
    <w:p>
      <w:pPr>
        <w:keepNext/>
        <w:keepLines/>
        <w:spacing w:after="50" w:before="110"/>
      </w:pPr>
      <w:r>
        <w:rPr>
          <w:rFonts w:ascii="Agus Sans" w:cs="Agus Sans" w:eastAsia="Agus Sans" w:hAnsi="Agus Sans"/>
          <w:color w:val="790E17"/>
          <w:sz w:val="20"/>
          <w:szCs w:val="20"/>
        </w:rPr>
        <w:t xml:space="preserve">3  BUSINESS MODEL AND FINANCIAL PERFORMANCE</w:t>
      </w:r>
    </w:p>
    <w:p>
      <w:pPr>
        <w:keepLines/>
        <w:spacing w:after="70" w:before="0" w:line="240" w:lineRule="auto"/>
        <w:jc w:val="both"/>
      </w:pPr>
      <w:r>
        <w:rPr>
          <w:rFonts w:ascii="Quicksand Light" w:cs="Quicksand Light" w:eastAsia="Quicksand Light" w:hAnsi="Quicksand Light"/>
          <w:color w:val="000000"/>
          <w:sz w:val="18"/>
          <w:szCs w:val="18"/>
        </w:rPr>
        <w:t xml:space="preserve">Howmet sells precision parts under long-term agreements with engine makers, airframers and gas-turbine customers. Its segments are Engine Products, Fastening Systems ($630m of Q3 revenue; +10% excluding the CAM and Brunner acquisitions), Engineered Structures and Forged Wheels </w:t>
      </w:r>
      <w:r>
        <w:rPr>
          <w:rFonts w:ascii="Quicksand Light" w:cs="Quicksand Light" w:eastAsia="Quicksand Light" w:hAnsi="Quicksand Light"/>
          <w:color w:val="615F59"/>
          <w:sz w:val="15"/>
          <w:szCs w:val="15"/>
        </w:rPr>
        <w:t xml:space="preserve">[</w:t>
      </w:r>
      <w:hyperlink w:history="1" w:anchor="src_H1">
        <w:r>
          <w:rPr>
            <w:rFonts w:ascii="Quicksand Light" w:cs="Quicksand Light" w:eastAsia="Quicksand Light" w:hAnsi="Quicksand Light"/>
            <w:color w:val="615F59"/>
            <w:sz w:val="15"/>
            <w:szCs w:val="15"/>
          </w:rPr>
          <w:t xml:space="preserve">H1</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The main costs are nickel and titanium alloys, skilled labour and energy-intensive casting capacity; 2025 capital expenditure was a record $453m </w:t>
      </w:r>
      <w:r>
        <w:rPr>
          <w:rFonts w:ascii="Quicksand Light" w:cs="Quicksand Light" w:eastAsia="Quicksand Light" w:hAnsi="Quicksand Light"/>
          <w:color w:val="615F59"/>
          <w:sz w:val="15"/>
          <w:szCs w:val="15"/>
        </w:rPr>
        <w:t xml:space="preserve">[</w:t>
      </w:r>
      <w:hyperlink w:history="1" w:anchor="src_H2">
        <w:r>
          <w:rPr>
            <w:rFonts w:ascii="Quicksand Light" w:cs="Quicksand Light" w:eastAsia="Quicksand Light" w:hAnsi="Quicksand Light"/>
            <w:color w:val="615F59"/>
            <w:sz w:val="15"/>
            <w:szCs w:val="15"/>
          </w:rPr>
          <w:t xml:space="preserve">H2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700"/>
        <w:gridCol w:w="1400"/>
        <w:gridCol w:w="2100"/>
        <w:gridCol w:w="1600"/>
        <w:gridCol w:w="1836"/>
      </w:tblGrid>
      <w:tr>
        <w:trPr>
          <w:cantSplit/>
          <w:tblHeader/>
        </w:trPr>
        <w:tc>
          <w:tcPr>
            <w:tcW w:type="dxa" w:w="13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Year</w:t>
            </w:r>
          </w:p>
        </w:tc>
        <w:tc>
          <w:tcPr>
            <w:tcW w:type="dxa" w:w="17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Revenue ($bn)</w:t>
            </w:r>
          </w:p>
        </w:tc>
        <w:tc>
          <w:tcPr>
            <w:tcW w:type="dxa" w:w="14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Growth</w:t>
            </w:r>
          </w:p>
        </w:tc>
        <w:tc>
          <w:tcPr>
            <w:tcW w:type="dxa" w:w="21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Net income ($bn)</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Growth</w:t>
            </w:r>
          </w:p>
        </w:tc>
        <w:tc>
          <w:tcPr>
            <w:tcW w:type="dxa" w:w="183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Net margin</w:t>
            </w:r>
          </w:p>
        </w:tc>
      </w:tr>
      <w:tr>
        <w:trPr>
          <w:cantSplit/>
        </w:trPr>
        <w:tc>
          <w:tcPr>
            <w:tcW w:type="dxa" w:w="1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2023</w:t>
            </w:r>
          </w:p>
        </w:tc>
        <w:tc>
          <w:tcPr>
            <w:tcW w:type="dxa" w:w="17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6.6</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+17%</w:t>
            </w:r>
          </w:p>
        </w:tc>
        <w:tc>
          <w:tcPr>
            <w:tcW w:type="dxa" w:w="21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0.77</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+63%</w:t>
            </w:r>
          </w:p>
        </w:tc>
        <w:tc>
          <w:tcPr>
            <w:tcW w:type="dxa" w:w="18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11.5%</w:t>
            </w:r>
          </w:p>
        </w:tc>
      </w:tr>
      <w:tr>
        <w:trPr>
          <w:cantSplit/>
        </w:trPr>
        <w:tc>
          <w:tcPr>
            <w:tcW w:type="dxa" w:w="1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2024</w:t>
            </w:r>
          </w:p>
        </w:tc>
        <w:tc>
          <w:tcPr>
            <w:tcW w:type="dxa" w:w="17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7.4</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+12%</w:t>
            </w:r>
          </w:p>
        </w:tc>
        <w:tc>
          <w:tcPr>
            <w:tcW w:type="dxa" w:w="21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1.16</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+51%</w:t>
            </w:r>
          </w:p>
        </w:tc>
        <w:tc>
          <w:tcPr>
            <w:tcW w:type="dxa" w:w="18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15.5%</w:t>
            </w:r>
          </w:p>
        </w:tc>
      </w:tr>
      <w:tr>
        <w:trPr>
          <w:cantSplit/>
        </w:trPr>
        <w:tc>
          <w:tcPr>
            <w:tcW w:type="dxa" w:w="1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2025</w:t>
            </w:r>
          </w:p>
        </w:tc>
        <w:tc>
          <w:tcPr>
            <w:tcW w:type="dxa" w:w="17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8.3</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+11%</w:t>
            </w:r>
          </w:p>
        </w:tc>
        <w:tc>
          <w:tcPr>
            <w:tcW w:type="dxa" w:w="21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1.51</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+31%</w:t>
            </w:r>
          </w:p>
        </w:tc>
        <w:tc>
          <w:tcPr>
            <w:tcW w:type="dxa" w:w="18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18.3%</w:t>
            </w:r>
          </w:p>
        </w:tc>
      </w:tr>
    </w:tbl>
    <w:p>
      <w:pPr>
        <w:keepLines/>
        <w:spacing w:after="60" w:before="0" w:line="240" w:lineRule="auto"/>
        <w:jc w:val="left"/>
      </w:pPr>
      <w:r>
        <w:rPr>
          <w:rFonts w:ascii="Quicksand Light" w:cs="Quicksand Light" w:eastAsia="Quicksand Light" w:hAnsi="Quicksand Light"/>
          <w:color w:val="615F59"/>
          <w:sz w:val="14"/>
          <w:szCs w:val="14"/>
        </w:rPr>
        <w:t xml:space="preserve">US GAAP, continuing operations. Revenue growth as reported; margins use revenue of $6.64bn, $7.43bn and $8.25bn. Sources: </w:t>
      </w:r>
      <w:r>
        <w:rPr>
          <w:rFonts w:ascii="Quicksand Light" w:cs="Quicksand Light" w:eastAsia="Quicksand Light" w:hAnsi="Quicksand Light"/>
          <w:color w:val="615F59"/>
          <w:sz w:val="11"/>
          <w:szCs w:val="11"/>
        </w:rPr>
        <w:t xml:space="preserve">[</w:t>
      </w:r>
      <w:hyperlink w:history="1" w:anchor="src_H2">
        <w:r>
          <w:rPr>
            <w:rFonts w:ascii="Quicksand Light" w:cs="Quicksand Light" w:eastAsia="Quicksand Light" w:hAnsi="Quicksand Light"/>
            <w:color w:val="615F59"/>
            <w:sz w:val="11"/>
            <w:szCs w:val="11"/>
          </w:rPr>
          <w:t xml:space="preserve">H2</w:t>
        </w:r>
      </w:hyperlink>
      <w:r>
        <w:rPr>
          <w:rFonts w:ascii="Quicksand Light" w:cs="Quicksand Light" w:eastAsia="Quicksand Light" w:hAnsi="Quicksand Light"/>
          <w:color w:val="615F59"/>
          <w:sz w:val="11"/>
          <w:szCs w:val="11"/>
        </w:rPr>
        <w:t xml:space="preserve">, </w:t>
      </w:r>
      <w:hyperlink w:history="1" w:anchor="src_H4">
        <w:r>
          <w:rPr>
            <w:rFonts w:ascii="Quicksand Light" w:cs="Quicksand Light" w:eastAsia="Quicksand Light" w:hAnsi="Quicksand Light"/>
            <w:color w:val="615F59"/>
            <w:sz w:val="11"/>
            <w:szCs w:val="11"/>
          </w:rPr>
          <w:t xml:space="preserve">H4</w:t>
        </w:r>
      </w:hyperlink>
      <w:r>
        <w:rPr>
          <w:rFonts w:ascii="Quicksand Light" w:cs="Quicksand Light" w:eastAsia="Quicksand Light" w:hAnsi="Quicksand Light"/>
          <w:color w:val="615F59"/>
          <w:sz w:val="11"/>
          <w:szCs w:val="11"/>
        </w:rPr>
        <w:t xml:space="preserve">, </w:t>
      </w:r>
      <w:hyperlink w:history="1" w:anchor="src_H5">
        <w:r>
          <w:rPr>
            <w:rFonts w:ascii="Quicksand Light" w:cs="Quicksand Light" w:eastAsia="Quicksand Light" w:hAnsi="Quicksand Light"/>
            <w:color w:val="615F59"/>
            <w:sz w:val="11"/>
            <w:szCs w:val="11"/>
          </w:rPr>
          <w:t xml:space="preserve">H5</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615F59"/>
          <w:sz w:val="14"/>
          <w:szCs w:val="14"/>
        </w:rPr>
        <w:t xml:space="preserve">.</w:t>
      </w:r>
    </w:p>
    <w:p>
      <w:pPr>
        <w:keepNext/>
        <w:spacing w:after="30" w:before="30" w:line="240" w:lineRule="auto"/>
        <w:jc w:val="center"/>
      </w:pPr>
      <w:r>
        <w:drawing>
          <wp:inline distT="0" distB="0" distL="0" distR="0">
            <wp:extent cx="6309360" cy="1207008"/>
            <wp:effectExtent t="0" r="0" b="0" l="0"/>
            <wp:docPr id="1" name="howmet.png" descr="Bar charts of revenue and reported net profit" title="Revenue and net profi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309360" cy="1207008"/>
                    </a:xfrm>
                    <a:prstGeom prst="rect">
                      <a:avLst/>
                    </a:prstGeom>
                  </pic:spPr>
                </pic:pic>
              </a:graphicData>
            </a:graphic>
          </wp:inline>
        </w:drawing>
      </w:r>
    </w:p>
    <w:p>
      <w:pPr>
        <w:keepLines/>
        <w:spacing w:after="70" w:before="0" w:line="240" w:lineRule="auto"/>
        <w:jc w:val="both"/>
      </w:pPr>
      <w:r>
        <w:rPr>
          <w:rFonts w:ascii="Quicksand Light" w:cs="Quicksand Light" w:eastAsia="Quicksand Light" w:hAnsi="Quicksand Light"/>
          <w:color w:val="000000"/>
          <w:sz w:val="18"/>
          <w:szCs w:val="18"/>
        </w:rPr>
        <w:t xml:space="preserve">Net margin rose seven points in two years as pricing and spares mix outpaced cost inflation, and interest expense fell from $259m (2021) to $151m (2025) </w:t>
      </w:r>
      <w:r>
        <w:rPr>
          <w:rFonts w:ascii="Quicksand Light" w:cs="Quicksand Light" w:eastAsia="Quicksand Light" w:hAnsi="Quicksand Light"/>
          <w:color w:val="615F59"/>
          <w:sz w:val="15"/>
          <w:szCs w:val="15"/>
        </w:rPr>
        <w:t xml:space="preserve">[</w:t>
      </w:r>
      <w:hyperlink w:history="1" w:anchor="src_H3">
        <w:r>
          <w:rPr>
            <w:rFonts w:ascii="Quicksand Light" w:cs="Quicksand Light" w:eastAsia="Quicksand Light" w:hAnsi="Quicksand Light"/>
            <w:color w:val="615F59"/>
            <w:sz w:val="15"/>
            <w:szCs w:val="15"/>
          </w:rPr>
          <w:t xml:space="preserve">H3</w:t>
        </w:r>
      </w:hyperlink>
      <w:r>
        <w:rPr>
          <w:rFonts w:ascii="Quicksand Light" w:cs="Quicksand Light" w:eastAsia="Quicksand Light" w:hAnsi="Quicksand Light"/>
          <w:color w:val="615F59"/>
          <w:sz w:val="15"/>
          <w:szCs w:val="15"/>
        </w:rPr>
        <w:t xml:space="preserve">, </w:t>
      </w:r>
      <w:hyperlink w:history="1" w:anchor="src_H13">
        <w:r>
          <w:rPr>
            <w:rFonts w:ascii="Quicksand Light" w:cs="Quicksand Light" w:eastAsia="Quicksand Light" w:hAnsi="Quicksand Light"/>
            <w:color w:val="615F59"/>
            <w:sz w:val="15"/>
            <w:szCs w:val="15"/>
          </w:rPr>
          <w:t xml:space="preserve">H13</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2025 GAAP EPS was $3.71 and adjusted EPS $3.77 </w:t>
      </w:r>
      <w:r>
        <w:rPr>
          <w:rFonts w:ascii="Quicksand Light" w:cs="Quicksand Light" w:eastAsia="Quicksand Light" w:hAnsi="Quicksand Light"/>
          <w:color w:val="615F59"/>
          <w:sz w:val="15"/>
          <w:szCs w:val="15"/>
        </w:rPr>
        <w:t xml:space="preserve">[</w:t>
      </w:r>
      <w:hyperlink w:history="1" w:anchor="src_H2">
        <w:r>
          <w:rPr>
            <w:rFonts w:ascii="Quicksand Light" w:cs="Quicksand Light" w:eastAsia="Quicksand Light" w:hAnsi="Quicksand Light"/>
            <w:color w:val="615F59"/>
            <w:sz w:val="15"/>
            <w:szCs w:val="15"/>
          </w:rPr>
          <w:t xml:space="preserve">H2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w:t>
      </w:r>
      <w:r>
        <w:rPr>
          <w:rFonts w:ascii="Quicksand Medium" w:cs="Quicksand Medium" w:eastAsia="Quicksand Medium" w:hAnsi="Quicksand Medium"/>
          <w:color w:val="000000"/>
          <w:sz w:val="18"/>
          <w:szCs w:val="18"/>
        </w:rPr>
        <w:t xml:space="preserve">Management guidance (29 October):</w:t>
      </w:r>
      <w:r>
        <w:rPr>
          <w:rFonts w:ascii="Quicksand Light" w:cs="Quicksand Light" w:eastAsia="Quicksand Light" w:hAnsi="Quicksand Light"/>
          <w:color w:val="000000"/>
          <w:sz w:val="18"/>
          <w:szCs w:val="18"/>
        </w:rPr>
        <w:t xml:space="preserve"> 2026 revenue of $10.29–10.31bn, adjusted EBITDA of $3.325–3.335bn, adjusted EPS of $5.49–5.51 and free cash flow of about $2.0bn, including CAM (acquired April 2026 for about $1.8bn). Management also envisages about </w:t>
      </w:r>
      <w:r>
        <w:rPr>
          <w:rFonts w:ascii="Quicksand Medium" w:cs="Quicksand Medium" w:eastAsia="Quicksand Medium" w:hAnsi="Quicksand Medium"/>
          <w:color w:val="000000"/>
          <w:sz w:val="18"/>
          <w:szCs w:val="18"/>
        </w:rPr>
        <w:t xml:space="preserve">$11.5bn of revenue in 2027</w:t>
      </w:r>
      <w:r>
        <w:rPr>
          <w:rFonts w:ascii="Quicksand Light" w:cs="Quicksand Light" w:eastAsia="Quicksand Light" w:hAnsi="Quicksand Light"/>
          <w:color w:val="000000"/>
          <w:sz w:val="18"/>
          <w:szCs w:val="18"/>
        </w:rPr>
        <w:t xml:space="preserve"> </w:t>
      </w:r>
      <w:r>
        <w:rPr>
          <w:rFonts w:ascii="Quicksand Light" w:cs="Quicksand Light" w:eastAsia="Quicksand Light" w:hAnsi="Quicksand Light"/>
          <w:color w:val="615F59"/>
          <w:sz w:val="15"/>
          <w:szCs w:val="15"/>
        </w:rPr>
        <w:t xml:space="preserve">[</w:t>
      </w:r>
      <w:hyperlink w:history="1" w:anchor="src_H9">
        <w:r>
          <w:rPr>
            <w:rFonts w:ascii="Quicksand Light" w:cs="Quicksand Light" w:eastAsia="Quicksand Light" w:hAnsi="Quicksand Light"/>
            <w:color w:val="615F59"/>
            <w:sz w:val="15"/>
            <w:szCs w:val="15"/>
          </w:rPr>
          <w:t xml:space="preserve">H9</w:t>
        </w:r>
      </w:hyperlink>
      <w:r>
        <w:rPr>
          <w:rFonts w:ascii="Quicksand Light" w:cs="Quicksand Light" w:eastAsia="Quicksand Light" w:hAnsi="Quicksand Light"/>
          <w:color w:val="615F59"/>
          <w:sz w:val="15"/>
          <w:szCs w:val="15"/>
        </w:rPr>
        <w:t xml:space="preserve">, </w:t>
      </w:r>
      <w:hyperlink w:history="1" w:anchor="src_H14">
        <w:r>
          <w:rPr>
            <w:rFonts w:ascii="Quicksand Light" w:cs="Quicksand Light" w:eastAsia="Quicksand Light" w:hAnsi="Quicksand Light"/>
            <w:color w:val="615F59"/>
            <w:sz w:val="15"/>
            <w:szCs w:val="15"/>
          </w:rPr>
          <w:t xml:space="preserve">H14</w:t>
        </w:r>
      </w:hyperlink>
      <w:r>
        <w:rPr>
          <w:rFonts w:ascii="Quicksand Light" w:cs="Quicksand Light" w:eastAsia="Quicksand Light" w:hAnsi="Quicksand Light"/>
          <w:color w:val="615F59"/>
          <w:sz w:val="15"/>
          <w:szCs w:val="15"/>
        </w:rPr>
        <w:t xml:space="preserve">, </w:t>
      </w:r>
      <w:hyperlink w:history="1" w:anchor="src_H15">
        <w:r>
          <w:rPr>
            <w:rFonts w:ascii="Quicksand Light" w:cs="Quicksand Light" w:eastAsia="Quicksand Light" w:hAnsi="Quicksand Light"/>
            <w:color w:val="615F59"/>
            <w:sz w:val="15"/>
            <w:szCs w:val="15"/>
          </w:rPr>
          <w:t xml:space="preserve">H15</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p>
      <w:pPr>
        <w:keepNext/>
        <w:keepLines/>
        <w:spacing w:after="50" w:before="110"/>
      </w:pPr>
      <w:r>
        <w:rPr>
          <w:rFonts w:ascii="Agus Sans" w:cs="Agus Sans" w:eastAsia="Agus Sans" w:hAnsi="Agus Sans"/>
          <w:color w:val="790E17"/>
          <w:sz w:val="20"/>
          <w:szCs w:val="20"/>
        </w:rPr>
        <w:t xml:space="preserve">4  INVESTMENT CASE AND VALUATION</w:t>
      </w:r>
    </w:p>
    <w:p>
      <w:pPr>
        <w:keepLines/>
        <w:spacing w:after="70" w:before="0" w:line="240" w:lineRule="auto"/>
        <w:jc w:val="both"/>
      </w:pPr>
      <w:r>
        <w:rPr>
          <w:rFonts w:ascii="Quicksand Medium" w:cs="Quicksand Medium" w:eastAsia="Quicksand Medium" w:hAnsi="Quicksand Medium"/>
          <w:color w:val="000000"/>
          <w:sz w:val="18"/>
          <w:szCs w:val="18"/>
        </w:rPr>
        <w:t xml:space="preserve">Price check.</w:t>
      </w:r>
      <w:r>
        <w:rPr>
          <w:rFonts w:ascii="Quicksand Light" w:cs="Quicksand Light" w:eastAsia="Quicksand Light" w:hAnsi="Quicksand Light"/>
          <w:color w:val="000000"/>
          <w:sz w:val="18"/>
          <w:szCs w:val="18"/>
        </w:rPr>
        <w:t xml:space="preserve"> $194.56 is the 28 October close, $2.57 (+1.34%) above the $191.99 close of 27 October </w:t>
      </w:r>
      <w:r>
        <w:rPr>
          <w:rFonts w:ascii="Quicksand Light" w:cs="Quicksand Light" w:eastAsia="Quicksand Light" w:hAnsi="Quicksand Light"/>
          <w:color w:val="615F59"/>
          <w:sz w:val="15"/>
          <w:szCs w:val="15"/>
        </w:rPr>
        <w:t xml:space="preserve">[</w:t>
      </w:r>
      <w:hyperlink w:history="1" w:anchor="src_H7">
        <w:r>
          <w:rPr>
            <w:rFonts w:ascii="Quicksand Light" w:cs="Quicksand Light" w:eastAsia="Quicksand Light" w:hAnsi="Quicksand Light"/>
            <w:color w:val="615F59"/>
            <w:sz w:val="15"/>
            <w:szCs w:val="15"/>
          </w:rPr>
          <w:t xml:space="preserve">H7</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A $195.19 figure in some data snapshots does not match any close and appears to be an intraday quote. Because the price predates the 29 October release, the raised guidance is not in it.</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2900"/>
        <w:gridCol w:w="1736"/>
      </w:tblGrid>
      <w:tr>
        <w:trPr>
          <w:cantSplit/>
          <w:tblHeader/>
        </w:trPr>
        <w:tc>
          <w:tcPr>
            <w:tcW w:type="dxa" w:w="53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Step (adjusted EPS)</w:t>
            </w:r>
          </w:p>
        </w:tc>
        <w:tc>
          <w:tcPr>
            <w:tcW w:type="dxa" w:w="29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Basis</w:t>
            </w:r>
          </w:p>
        </w:tc>
        <w:tc>
          <w:tcPr>
            <w:tcW w:type="dxa" w:w="173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EPS</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2026 guidance midpoint</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Management guidance</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$5.50</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2027 revenue $11.5bn (+12%)</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Management outlook</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2027 EBITDA margin 33.1% (+80bp; 40% incremental vs 43% in Q3 2026)</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Our estimate</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$3.81bn</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Net share count −2.5% (about $2bn buybacks; $1.1bn executed in 2026 to Q3)</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Our estimate</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$6.45 (2027)</w:t>
            </w:r>
          </w:p>
        </w:tc>
      </w:tr>
      <w:tr>
        <w:trPr>
          <w:cantSplit/>
        </w:trPr>
        <w:tc>
          <w:tcPr>
            <w:tcW w:type="dxa" w:w="5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2028: revenue +9%, margin +50bp, shares −2.5%</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Our estimate</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$7.32 (2028)</w:t>
            </w:r>
          </w:p>
        </w:tc>
      </w:tr>
    </w:tbl>
    <w:p>
      <w:pPr>
        <w:keepLines/>
        <w:spacing w:after="60" w:before="0" w:line="240" w:lineRule="auto"/>
        <w:jc w:val="left"/>
      </w:pPr>
      <w:r>
        <w:rPr>
          <w:rFonts w:ascii="Quicksand Light" w:cs="Quicksand Light" w:eastAsia="Quicksand Light" w:hAnsi="Quicksand Light"/>
          <w:color w:val="615F59"/>
          <w:sz w:val="14"/>
          <w:szCs w:val="14"/>
        </w:rPr>
        <w:t xml:space="preserve">We assume D&amp;A, interest and tax grow in line with EBITDA. The $5.4bn authorisation is capacity, not executed buybacks; our ~$2bn a year matches 2026 free cash flow guidance </w:t>
      </w:r>
      <w:r>
        <w:rPr>
          <w:rFonts w:ascii="Quicksand Light" w:cs="Quicksand Light" w:eastAsia="Quicksand Light" w:hAnsi="Quicksand Light"/>
          <w:color w:val="615F59"/>
          <w:sz w:val="11"/>
          <w:szCs w:val="11"/>
        </w:rPr>
        <w:t xml:space="preserve">[</w:t>
      </w:r>
      <w:hyperlink w:history="1" w:anchor="src_H14">
        <w:r>
          <w:rPr>
            <w:rFonts w:ascii="Quicksand Light" w:cs="Quicksand Light" w:eastAsia="Quicksand Light" w:hAnsi="Quicksand Light"/>
            <w:color w:val="615F59"/>
            <w:sz w:val="11"/>
            <w:szCs w:val="11"/>
          </w:rPr>
          <w:t xml:space="preserve">H14</w:t>
        </w:r>
      </w:hyperlink>
      <w:r>
        <w:rPr>
          <w:rFonts w:ascii="Quicksand Light" w:cs="Quicksand Light" w:eastAsia="Quicksand Light" w:hAnsi="Quicksand Light"/>
          <w:color w:val="615F59"/>
          <w:sz w:val="11"/>
          <w:szCs w:val="11"/>
        </w:rPr>
        <w:t xml:space="preserve">, </w:t>
      </w:r>
      <w:hyperlink w:history="1" w:anchor="src_H16">
        <w:r>
          <w:rPr>
            <w:rFonts w:ascii="Quicksand Light" w:cs="Quicksand Light" w:eastAsia="Quicksand Light" w:hAnsi="Quicksand Light"/>
            <w:color w:val="615F59"/>
            <w:sz w:val="11"/>
            <w:szCs w:val="11"/>
          </w:rPr>
          <w:t xml:space="preserve">H16</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615F59"/>
          <w:sz w:val="14"/>
          <w:szCs w:val="14"/>
        </w:rP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400"/>
        <w:gridCol w:w="2900"/>
        <w:gridCol w:w="1600"/>
        <w:gridCol w:w="1736"/>
      </w:tblGrid>
      <w:tr>
        <w:trPr>
          <w:cantSplit/>
          <w:tblHeader/>
        </w:trPr>
        <w:tc>
          <w:tcPr>
            <w:tcW w:type="dxa" w:w="23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Company (price date)</w:t>
            </w:r>
          </w:p>
        </w:tc>
        <w:tc>
          <w:tcPr>
            <w:tcW w:type="dxa" w:w="14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Price</w:t>
            </w:r>
          </w:p>
        </w:tc>
        <w:tc>
          <w:tcPr>
            <w:tcW w:type="dxa" w:w="29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Current-year EPS basis (adjusted)</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EPS</w:t>
            </w:r>
          </w:p>
        </w:tc>
        <w:tc>
          <w:tcPr>
            <w:tcW w:type="dxa" w:w="173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P/E</w:t>
            </w:r>
          </w:p>
        </w:tc>
      </w:tr>
      <w:tr>
        <w:trPr>
          <w:cantSplit/>
        </w:trPr>
        <w:tc>
          <w:tcPr>
            <w:tcW w:type="dxa" w:w="23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Howmet (28 Oct)</w:t>
            </w:r>
          </w:p>
        </w:tc>
        <w:tc>
          <w:tcPr>
            <w:tcW w:type="dxa" w:w="14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$194.56</w:t>
            </w:r>
          </w:p>
        </w:tc>
        <w:tc>
          <w:tcPr>
            <w:tcW w:type="dxa" w:w="2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2026 guidance midpoint (29 Oct)</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$5.50</w:t>
            </w:r>
          </w:p>
        </w:tc>
        <w:tc>
          <w:tcPr>
            <w:tcW w:type="dxa" w:w="1736"/>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35.4x</w:t>
            </w:r>
          </w:p>
        </w:tc>
      </w:tr>
      <w:tr>
        <w:trPr>
          <w:cantSplit/>
        </w:trPr>
        <w:tc>
          <w:tcPr>
            <w:tcW w:type="dxa" w:w="2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GE Aerospace (28 Oct)</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$301.13</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2026 guidance midpoint (20 Oct)</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$8.05</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37.4x</w:t>
            </w:r>
          </w:p>
        </w:tc>
      </w:tr>
      <w:tr>
        <w:trPr>
          <w:cantSplit/>
        </w:trPr>
        <w:tc>
          <w:tcPr>
            <w:tcW w:type="dxa" w:w="2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TransDigm (26 Oct)</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$1,124.47</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FY Sep-2026 implied guidance midpoint</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$41.04</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27.4x</w:t>
            </w:r>
          </w:p>
        </w:tc>
      </w:tr>
    </w:tbl>
    <w:p>
      <w:pPr>
        <w:keepLines/>
        <w:spacing w:after="60" w:before="0" w:line="240" w:lineRule="auto"/>
        <w:jc w:val="left"/>
      </w:pPr>
      <w:r>
        <w:rPr>
          <w:rFonts w:ascii="Quicksand Light" w:cs="Quicksand Light" w:eastAsia="Quicksand Light" w:hAnsi="Quicksand Light"/>
          <w:color w:val="615F59"/>
          <w:sz w:val="14"/>
          <w:szCs w:val="14"/>
        </w:rPr>
        <w:t xml:space="preserve">TransDigm’s midpoint is our arithmetic from its published raise; indicative only. Sources: </w:t>
      </w:r>
      <w:r>
        <w:rPr>
          <w:rFonts w:ascii="Quicksand Light" w:cs="Quicksand Light" w:eastAsia="Quicksand Light" w:hAnsi="Quicksand Light"/>
          <w:color w:val="615F59"/>
          <w:sz w:val="11"/>
          <w:szCs w:val="11"/>
        </w:rPr>
        <w:t xml:space="preserve">[</w:t>
      </w:r>
      <w:hyperlink w:history="1" w:anchor="src_H7">
        <w:r>
          <w:rPr>
            <w:rFonts w:ascii="Quicksand Light" w:cs="Quicksand Light" w:eastAsia="Quicksand Light" w:hAnsi="Quicksand Light"/>
            <w:color w:val="615F59"/>
            <w:sz w:val="11"/>
            <w:szCs w:val="11"/>
          </w:rPr>
          <w:t xml:space="preserve">H7</w:t>
        </w:r>
      </w:hyperlink>
      <w:r>
        <w:rPr>
          <w:rFonts w:ascii="Quicksand Light" w:cs="Quicksand Light" w:eastAsia="Quicksand Light" w:hAnsi="Quicksand Light"/>
          <w:color w:val="615F59"/>
          <w:sz w:val="11"/>
          <w:szCs w:val="11"/>
        </w:rPr>
        <w:t xml:space="preserve">, </w:t>
      </w:r>
      <w:hyperlink w:history="1" w:anchor="src_P1">
        <w:r>
          <w:rPr>
            <w:rFonts w:ascii="Quicksand Light" w:cs="Quicksand Light" w:eastAsia="Quicksand Light" w:hAnsi="Quicksand Light"/>
            <w:color w:val="615F59"/>
            <w:sz w:val="11"/>
            <w:szCs w:val="11"/>
          </w:rPr>
          <w:t xml:space="preserve">P1–P4</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615F59"/>
          <w:sz w:val="14"/>
          <w:szCs w:val="14"/>
        </w:rP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1000"/>
        <w:gridCol w:w="3376"/>
        <w:gridCol w:w="1600"/>
        <w:gridCol w:w="1600"/>
        <w:gridCol w:w="1600"/>
      </w:tblGrid>
      <w:tr>
        <w:trPr>
          <w:cantSplit/>
          <w:tblHeader/>
        </w:trPr>
        <w:tc>
          <w:tcPr>
            <w:tcW w:type="dxa" w:w="76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Case</w:t>
            </w:r>
          </w:p>
        </w:tc>
        <w:tc>
          <w:tcPr>
            <w:tcW w:type="dxa" w:w="10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FY2028 EPS</w:t>
            </w:r>
          </w:p>
        </w:tc>
        <w:tc>
          <w:tcPr>
            <w:tcW w:type="dxa" w:w="337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Earnings assumption</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25x</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30x</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35x</w:t>
            </w:r>
          </w:p>
        </w:tc>
      </w:tr>
      <w:tr>
        <w:trPr>
          <w:cantSplit/>
        </w:trPr>
        <w:tc>
          <w:tcPr>
            <w:tcW w:type="dxa" w:w="76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Bear</w:t>
            </w:r>
          </w:p>
        </w:tc>
        <w:tc>
          <w:tcPr>
            <w:tcW w:type="dxa" w:w="10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$6.37</w:t>
            </w:r>
          </w:p>
        </w:tc>
        <w:tc>
          <w:tcPr>
            <w:tcW w:type="dxa" w:w="337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Revenue +6% a year, flat margin (−13% vs base)</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$159.2  (−18%)</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$191.1  (−2%)</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$223.0  (+15%)</w:t>
            </w:r>
          </w:p>
        </w:tc>
      </w:tr>
      <w:tr>
        <w:trPr>
          <w:cantSplit/>
        </w:trPr>
        <w:tc>
          <w:tcPr>
            <w:tcW w:type="dxa" w:w="76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Base</w:t>
            </w:r>
          </w:p>
        </w:tc>
        <w:tc>
          <w:tcPr>
            <w:tcW w:type="dxa" w:w="10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$7.32</w:t>
            </w:r>
          </w:p>
        </w:tc>
        <w:tc>
          <w:tcPr>
            <w:tcW w:type="dxa" w:w="3376"/>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Bridge above</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$183.0  (−6%)</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$219.6  (+13%)</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$256.2  (+32%)</w:t>
            </w:r>
          </w:p>
        </w:tc>
      </w:tr>
      <w:tr>
        <w:trPr>
          <w:cantSplit/>
        </w:trPr>
        <w:tc>
          <w:tcPr>
            <w:tcW w:type="dxa" w:w="76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Bull</w:t>
            </w:r>
          </w:p>
        </w:tc>
        <w:tc>
          <w:tcPr>
            <w:tcW w:type="dxa" w:w="10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$7.77</w:t>
            </w:r>
          </w:p>
        </w:tc>
        <w:tc>
          <w:tcPr>
            <w:tcW w:type="dxa" w:w="337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Revenue +14% then +11%; faster margin gains</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$194.2  (0%)</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$233.1  (+20%)</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$271.9  (+40%)</w:t>
            </w:r>
          </w:p>
        </w:tc>
      </w:tr>
    </w:tbl>
    <w:p>
      <w:pPr>
        <w:keepLines/>
        <w:spacing w:after="60" w:before="0" w:line="240" w:lineRule="auto"/>
        <w:jc w:val="left"/>
      </w:pPr>
      <w:r>
        <w:rPr>
          <w:rFonts w:ascii="Quicksand Light" w:cs="Quicksand Light" w:eastAsia="Quicksand Light" w:hAnsi="Quicksand Light"/>
          <w:color w:val="615F59"/>
          <w:sz w:val="14"/>
          <w:szCs w:val="14"/>
        </w:rPr>
        <w:t xml:space="preserve">Twelve-month exit values (October 2027, on FY2028 EPS) against $194.56. Base cell 30x: today’s multiple on our 2027 EPS, inside the 27–37x peer range and well below where the shares traded at their high. No probabilities assigned.</w:t>
      </w:r>
    </w:p>
    <w:p>
      <w:pPr>
        <w:keepLines/>
        <w:spacing w:after="70" w:before="0" w:line="240" w:lineRule="auto"/>
        <w:jc w:val="both"/>
      </w:pPr>
      <w:r>
        <w:rPr>
          <w:rFonts w:ascii="Quicksand Medium" w:cs="Quicksand Medium" w:eastAsia="Quicksand Medium" w:hAnsi="Quicksand Medium"/>
          <w:color w:val="000000"/>
          <w:sz w:val="18"/>
          <w:szCs w:val="18"/>
        </w:rPr>
        <w:t xml:space="preserve">Why the return compensates for the risk.</w:t>
      </w:r>
      <w:r>
        <w:rPr>
          <w:rFonts w:ascii="Quicksand Light" w:cs="Quicksand Light" w:eastAsia="Quicksand Light" w:hAnsi="Quicksand Light"/>
          <w:color w:val="000000"/>
          <w:sz w:val="18"/>
          <w:szCs w:val="18"/>
        </w:rPr>
        <w:t xml:space="preserve"> The base case earns about 13%, all of it from earnings growth. We think the market is extrapolating the October sector sell-off rather than Howmet’s own numbers: it raised guidance again and bought back $1.1bn of shares this year at higher prices </w:t>
      </w:r>
      <w:r>
        <w:rPr>
          <w:rFonts w:ascii="Quicksand Light" w:cs="Quicksand Light" w:eastAsia="Quicksand Light" w:hAnsi="Quicksand Light"/>
          <w:color w:val="615F59"/>
          <w:sz w:val="15"/>
          <w:szCs w:val="15"/>
        </w:rPr>
        <w:t xml:space="preserve">[</w:t>
      </w:r>
      <w:hyperlink w:history="1" w:anchor="src_H16">
        <w:r>
          <w:rPr>
            <w:rFonts w:ascii="Quicksand Light" w:cs="Quicksand Light" w:eastAsia="Quicksand Light" w:hAnsi="Quicksand Light"/>
            <w:color w:val="615F59"/>
            <w:sz w:val="15"/>
            <w:szCs w:val="15"/>
          </w:rPr>
          <w:t xml:space="preserve">H16</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A lower multiple alone costs 6%, and weaker earnings at 25x would cost 18%.</w:t>
      </w:r>
    </w:p>
    <w:p>
      <w:pPr>
        <w:keepNext/>
        <w:keepLines/>
        <w:spacing w:after="50" w:before="110"/>
      </w:pPr>
      <w:r>
        <w:rPr>
          <w:rFonts w:ascii="Agus Sans" w:cs="Agus Sans" w:eastAsia="Agus Sans" w:hAnsi="Agus Sans"/>
          <w:color w:val="790E17"/>
          <w:sz w:val="20"/>
          <w:szCs w:val="20"/>
        </w:rPr>
        <w:t xml:space="preserve">5  RED FLAGS AND PHILOSOPHY EXCEPTIONS</w:t>
      </w:r>
    </w:p>
    <w:p>
      <w:pPr>
        <w:keepLines/>
        <w:spacing w:after="70" w:before="0" w:line="240" w:lineRule="auto"/>
        <w:jc w:val="both"/>
      </w:pPr>
      <w:r>
        <w:rPr>
          <w:rFonts w:ascii="Quicksand Medium" w:cs="Quicksand Medium" w:eastAsia="Quicksand Medium" w:hAnsi="Quicksand Medium"/>
          <w:color w:val="000000"/>
          <w:sz w:val="18"/>
          <w:szCs w:val="18"/>
        </w:rPr>
        <w:t xml:space="preserve">Red flags.</w:t>
      </w:r>
      <w:r>
        <w:rPr>
          <w:rFonts w:ascii="Quicksand Light" w:cs="Quicksand Light" w:eastAsia="Quicksand Light" w:hAnsi="Quicksand Light"/>
          <w:color w:val="000000"/>
          <w:sz w:val="18"/>
          <w:szCs w:val="18"/>
        </w:rPr>
        <w:t xml:space="preserve"> (1) Valuation still assumes strong delivery. (2) A few engine makers dominate sales, and Boeing or Airbus production problems would delay orders. (3) Integration of CAM and Brunner. </w:t>
      </w:r>
      <w:r>
        <w:rPr>
          <w:rFonts w:ascii="Quicksand Medium" w:cs="Quicksand Medium" w:eastAsia="Quicksand Medium" w:hAnsi="Quicksand Medium"/>
          <w:color w:val="000000"/>
          <w:sz w:val="18"/>
          <w:szCs w:val="18"/>
        </w:rPr>
        <w:t xml:space="preserve">Evidence that would invalidate the thesis:</w:t>
      </w:r>
      <w:r>
        <w:rPr>
          <w:rFonts w:ascii="Quicksand Light" w:cs="Quicksand Light" w:eastAsia="Quicksand Light" w:hAnsi="Quicksand Light"/>
          <w:color w:val="000000"/>
          <w:sz w:val="18"/>
          <w:szCs w:val="18"/>
        </w:rPr>
        <w:t xml:space="preserve"> organic growth below 8% with a falling Engine Products margin.</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68"/>
        <w:gridCol w:w="1700"/>
        <w:gridCol w:w="3268"/>
      </w:tblGrid>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EPS growth ≥10% a year</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C21A27"/>
                <w:sz w:val="15"/>
                <w:szCs w:val="15"/>
              </w:rPr>
              <w:t xml:space="preserve">FAIL</w:t>
            </w:r>
            <w:r>
              <w:rPr>
                <w:rFonts w:ascii="Quicksand Light" w:cs="Quicksand Light" w:eastAsia="Quicksand Light" w:hAnsi="Quicksand Light"/>
                <w:color w:val="000000"/>
                <w:sz w:val="15"/>
                <w:szCs w:val="15"/>
              </w:rPr>
              <w:t xml:space="preserve">  total diluted EPS $0.59 in both 2020 and 2021; continuing operations $0.48 to $0.59 (+23%), then +88%, +65%, +54%, +32% </w:t>
            </w:r>
            <w:r>
              <w:rPr>
                <w:rFonts w:ascii="Quicksand Light" w:cs="Quicksand Light" w:eastAsia="Quicksand Light" w:hAnsi="Quicksand Light"/>
                <w:color w:val="615F59"/>
                <w:sz w:val="12"/>
                <w:szCs w:val="12"/>
              </w:rPr>
              <w:t xml:space="preserve">[</w:t>
            </w:r>
            <w:hyperlink w:history="1" w:anchor="src_H6">
              <w:r>
                <w:rPr>
                  <w:rFonts w:ascii="Quicksand Light" w:cs="Quicksand Light" w:eastAsia="Quicksand Light" w:hAnsi="Quicksand Light"/>
                  <w:color w:val="615F59"/>
                  <w:sz w:val="12"/>
                  <w:szCs w:val="12"/>
                </w:rPr>
                <w:t xml:space="preserve">H6</w:t>
              </w:r>
            </w:hyperlink>
            <w:r>
              <w:rPr>
                <w:rFonts w:ascii="Quicksand Light" w:cs="Quicksand Light" w:eastAsia="Quicksand Light" w:hAnsi="Quicksand Light"/>
                <w:color w:val="615F59"/>
                <w:sz w:val="12"/>
                <w:szCs w:val="12"/>
              </w:rPr>
              <w:t xml:space="preserve">, </w:t>
            </w:r>
            <w:hyperlink w:history="1" w:anchor="src_H10">
              <w:r>
                <w:rPr>
                  <w:rFonts w:ascii="Quicksand Light" w:cs="Quicksand Light" w:eastAsia="Quicksand Light" w:hAnsi="Quicksand Light"/>
                  <w:color w:val="615F59"/>
                  <w:sz w:val="12"/>
                  <w:szCs w:val="12"/>
                </w:rPr>
                <w:t xml:space="preserve">H10</w:t>
              </w:r>
            </w:hyperlink>
            <w:r>
              <w:rPr>
                <w:rFonts w:ascii="Quicksand Light" w:cs="Quicksand Light" w:eastAsia="Quicksand Light" w:hAnsi="Quicksand Light"/>
                <w:color w:val="615F59"/>
                <w:sz w:val="12"/>
                <w:szCs w:val="12"/>
              </w:rPr>
              <w:t xml:space="preserve">]</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Net margin &gt;17.5%</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000000"/>
                <w:sz w:val="15"/>
                <w:szCs w:val="15"/>
              </w:rPr>
              <w:t xml:space="preserve">PASS</w:t>
            </w:r>
            <w:r>
              <w:rPr>
                <w:rFonts w:ascii="Quicksand Light" w:cs="Quicksand Light" w:eastAsia="Quicksand Light" w:hAnsi="Quicksand Light"/>
                <w:color w:val="000000"/>
                <w:sz w:val="15"/>
                <w:szCs w:val="15"/>
              </w:rPr>
              <w:t xml:space="preserve">  18.3% (2025)</w:t>
            </w:r>
          </w:p>
        </w:tc>
      </w:tr>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ROE &gt;15%</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000000"/>
                <w:sz w:val="15"/>
                <w:szCs w:val="15"/>
              </w:rPr>
              <w:t xml:space="preserve">PASS</w:t>
            </w:r>
            <w:r>
              <w:rPr>
                <w:rFonts w:ascii="Quicksand Light" w:cs="Quicksand Light" w:eastAsia="Quicksand Light" w:hAnsi="Quicksand Light"/>
                <w:color w:val="000000"/>
                <w:sz w:val="15"/>
                <w:szCs w:val="15"/>
              </w:rPr>
              <w:t xml:space="preserve">  30.4% (2025 net income ÷ average 2024–25 equity)</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Debt/equity &lt;1.5</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000000"/>
                <w:sz w:val="15"/>
                <w:szCs w:val="15"/>
              </w:rPr>
              <w:t xml:space="preserve">PASS</w:t>
            </w:r>
            <w:r>
              <w:rPr>
                <w:rFonts w:ascii="Quicksand Light" w:cs="Quicksand Light" w:eastAsia="Quicksand Light" w:hAnsi="Quicksand Light"/>
                <w:color w:val="000000"/>
                <w:sz w:val="15"/>
                <w:szCs w:val="15"/>
              </w:rPr>
              <w:t xml:space="preserve">  0.77x (September 2026 borrowings $4.44bn ÷ equity $5.76bn) </w:t>
            </w:r>
            <w:r>
              <w:rPr>
                <w:rFonts w:ascii="Quicksand Light" w:cs="Quicksand Light" w:eastAsia="Quicksand Light" w:hAnsi="Quicksand Light"/>
                <w:color w:val="615F59"/>
                <w:sz w:val="12"/>
                <w:szCs w:val="12"/>
              </w:rPr>
              <w:t xml:space="preserve">[</w:t>
            </w:r>
            <w:hyperlink w:history="1" w:anchor="src_H15">
              <w:r>
                <w:rPr>
                  <w:rFonts w:ascii="Quicksand Light" w:cs="Quicksand Light" w:eastAsia="Quicksand Light" w:hAnsi="Quicksand Light"/>
                  <w:color w:val="615F59"/>
                  <w:sz w:val="12"/>
                  <w:szCs w:val="12"/>
                </w:rPr>
                <w:t xml:space="preserve">H15</w:t>
              </w:r>
            </w:hyperlink>
            <w:r>
              <w:rPr>
                <w:rFonts w:ascii="Quicksand Light" w:cs="Quicksand Light" w:eastAsia="Quicksand Light" w:hAnsi="Quicksand Light"/>
                <w:color w:val="615F59"/>
                <w:sz w:val="12"/>
                <w:szCs w:val="12"/>
              </w:rPr>
              <w:t xml:space="preserve">]</w:t>
            </w:r>
          </w:p>
        </w:tc>
      </w:tr>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Rising interest coverage</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000000"/>
                <w:sz w:val="15"/>
                <w:szCs w:val="15"/>
              </w:rPr>
              <w:t xml:space="preserve">PASS</w:t>
            </w:r>
            <w:r>
              <w:rPr>
                <w:rFonts w:ascii="Quicksand Light" w:cs="Quicksand Light" w:eastAsia="Quicksand Light" w:hAnsi="Quicksand Light"/>
                <w:color w:val="000000"/>
                <w:sz w:val="15"/>
                <w:szCs w:val="15"/>
              </w:rPr>
              <w:t xml:space="preserve">  2.9x, 4.0x, 5.5x, 9.0x, 13.6x (2021–25) </w:t>
            </w:r>
            <w:r>
              <w:rPr>
                <w:rFonts w:ascii="Quicksand Light" w:cs="Quicksand Light" w:eastAsia="Quicksand Light" w:hAnsi="Quicksand Light"/>
                <w:color w:val="615F59"/>
                <w:sz w:val="12"/>
                <w:szCs w:val="12"/>
              </w:rPr>
              <w:t xml:space="preserve">[</w:t>
            </w:r>
            <w:hyperlink w:history="1" w:anchor="src_H3">
              <w:r>
                <w:rPr>
                  <w:rFonts w:ascii="Quicksand Light" w:cs="Quicksand Light" w:eastAsia="Quicksand Light" w:hAnsi="Quicksand Light"/>
                  <w:color w:val="615F59"/>
                  <w:sz w:val="12"/>
                  <w:szCs w:val="12"/>
                </w:rPr>
                <w:t xml:space="preserve">H3</w:t>
              </w:r>
            </w:hyperlink>
            <w:r>
              <w:rPr>
                <w:rFonts w:ascii="Quicksand Light" w:cs="Quicksand Light" w:eastAsia="Quicksand Light" w:hAnsi="Quicksand Light"/>
                <w:color w:val="615F59"/>
                <w:sz w:val="12"/>
                <w:szCs w:val="12"/>
              </w:rPr>
              <w:t xml:space="preserve">, </w:t>
            </w:r>
            <w:hyperlink w:history="1" w:anchor="src_H13">
              <w:r>
                <w:rPr>
                  <w:rFonts w:ascii="Quicksand Light" w:cs="Quicksand Light" w:eastAsia="Quicksand Light" w:hAnsi="Quicksand Light"/>
                  <w:color w:val="615F59"/>
                  <w:sz w:val="12"/>
                  <w:szCs w:val="12"/>
                </w:rPr>
                <w:t xml:space="preserve">H13</w:t>
              </w:r>
            </w:hyperlink>
            <w:r>
              <w:rPr>
                <w:rFonts w:ascii="Quicksand Light" w:cs="Quicksand Light" w:eastAsia="Quicksand Light" w:hAnsi="Quicksand Light"/>
                <w:color w:val="615F59"/>
                <w:sz w:val="12"/>
                <w:szCs w:val="12"/>
              </w:rPr>
              <w:t xml:space="preserve">]</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Positive, growing FCF</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000000"/>
                <w:sz w:val="15"/>
                <w:szCs w:val="15"/>
              </w:rPr>
              <w:t xml:space="preserve">PASS</w:t>
            </w:r>
            <w:r>
              <w:rPr>
                <w:rFonts w:ascii="Quicksand Light" w:cs="Quicksand Light" w:eastAsia="Quicksand Light" w:hAnsi="Quicksand Light"/>
                <w:color w:val="000000"/>
                <w:sz w:val="15"/>
                <w:szCs w:val="15"/>
              </w:rPr>
              <w:t xml:space="preserve">  $250m, $540m, $682m, $977m, $1,431m (2021–25) </w:t>
            </w:r>
            <w:r>
              <w:rPr>
                <w:rFonts w:ascii="Quicksand Light" w:cs="Quicksand Light" w:eastAsia="Quicksand Light" w:hAnsi="Quicksand Light"/>
                <w:color w:val="615F59"/>
                <w:sz w:val="12"/>
                <w:szCs w:val="12"/>
              </w:rPr>
              <w:t xml:space="preserve">[</w:t>
            </w:r>
            <w:hyperlink w:history="1" w:anchor="src_H4">
              <w:r>
                <w:rPr>
                  <w:rFonts w:ascii="Quicksand Light" w:cs="Quicksand Light" w:eastAsia="Quicksand Light" w:hAnsi="Quicksand Light"/>
                  <w:color w:val="615F59"/>
                  <w:sz w:val="12"/>
                  <w:szCs w:val="12"/>
                </w:rPr>
                <w:t xml:space="preserve">H4</w:t>
              </w:r>
            </w:hyperlink>
            <w:r>
              <w:rPr>
                <w:rFonts w:ascii="Quicksand Light" w:cs="Quicksand Light" w:eastAsia="Quicksand Light" w:hAnsi="Quicksand Light"/>
                <w:color w:val="615F59"/>
                <w:sz w:val="12"/>
                <w:szCs w:val="12"/>
              </w:rPr>
              <w:t xml:space="preserve">, </w:t>
            </w:r>
            <w:hyperlink w:history="1" w:anchor="src_H5">
              <w:r>
                <w:rPr>
                  <w:rFonts w:ascii="Quicksand Light" w:cs="Quicksand Light" w:eastAsia="Quicksand Light" w:hAnsi="Quicksand Light"/>
                  <w:color w:val="615F59"/>
                  <w:sz w:val="12"/>
                  <w:szCs w:val="12"/>
                </w:rPr>
                <w:t xml:space="preserve">H5</w:t>
              </w:r>
            </w:hyperlink>
            <w:r>
              <w:rPr>
                <w:rFonts w:ascii="Quicksand Light" w:cs="Quicksand Light" w:eastAsia="Quicksand Light" w:hAnsi="Quicksand Light"/>
                <w:color w:val="615F59"/>
                <w:sz w:val="12"/>
                <w:szCs w:val="12"/>
              </w:rPr>
              <w:t xml:space="preserve">, </w:t>
            </w:r>
            <w:hyperlink w:history="1" w:anchor="src_H11">
              <w:r>
                <w:rPr>
                  <w:rFonts w:ascii="Quicksand Light" w:cs="Quicksand Light" w:eastAsia="Quicksand Light" w:hAnsi="Quicksand Light"/>
                  <w:color w:val="615F59"/>
                  <w:sz w:val="12"/>
                  <w:szCs w:val="12"/>
                </w:rPr>
                <w:t xml:space="preserve">H11</w:t>
              </w:r>
            </w:hyperlink>
            <w:r>
              <w:rPr>
                <w:rFonts w:ascii="Quicksand Light" w:cs="Quicksand Light" w:eastAsia="Quicksand Light" w:hAnsi="Quicksand Light"/>
                <w:color w:val="615F59"/>
                <w:sz w:val="12"/>
                <w:szCs w:val="12"/>
              </w:rPr>
              <w:t xml:space="preserve">, </w:t>
            </w:r>
            <w:hyperlink w:history="1" w:anchor="src_H12">
              <w:r>
                <w:rPr>
                  <w:rFonts w:ascii="Quicksand Light" w:cs="Quicksand Light" w:eastAsia="Quicksand Light" w:hAnsi="Quicksand Light"/>
                  <w:color w:val="615F59"/>
                  <w:sz w:val="12"/>
                  <w:szCs w:val="12"/>
                </w:rPr>
                <w:t xml:space="preserve">H12</w:t>
              </w:r>
            </w:hyperlink>
            <w:r>
              <w:rPr>
                <w:rFonts w:ascii="Quicksand Light" w:cs="Quicksand Light" w:eastAsia="Quicksand Light" w:hAnsi="Quicksand Light"/>
                <w:color w:val="615F59"/>
                <w:sz w:val="12"/>
                <w:szCs w:val="12"/>
              </w:rPr>
              <w:t xml:space="preserve">]</w:t>
            </w:r>
          </w:p>
        </w:tc>
      </w:tr>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790E17"/>
                <w:sz w:val="15"/>
                <w:szCs w:val="15"/>
              </w:rPr>
              <w:t xml:space="preserve">P/E below industry</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615F59"/>
                <w:sz w:val="15"/>
                <w:szCs w:val="15"/>
              </w:rPr>
              <w:t xml:space="preserve">UNVERIFIED</w:t>
            </w:r>
            <w:r>
              <w:rPr>
                <w:rFonts w:ascii="Quicksand Light" w:cs="Quicksand Light" w:eastAsia="Quicksand Light" w:hAnsi="Quicksand Light"/>
                <w:color w:val="000000"/>
                <w:sz w:val="15"/>
                <w:szCs w:val="15"/>
              </w:rPr>
              <w:t xml:space="preserve">  35.4x vs 32.4x selected-peer median; no industry average</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790E17"/>
                <w:sz w:val="15"/>
                <w:szCs w:val="15"/>
              </w:rPr>
              <w:t xml:space="preserve">P/B below industry</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615F59"/>
                <w:sz w:val="15"/>
                <w:szCs w:val="15"/>
              </w:rPr>
              <w:t xml:space="preserve">UNVERIFIED</w:t>
            </w:r>
            <w:r>
              <w:rPr>
                <w:rFonts w:ascii="Quicksand Light" w:cs="Quicksand Light" w:eastAsia="Quicksand Light" w:hAnsi="Quicksand Light"/>
                <w:color w:val="000000"/>
                <w:sz w:val="15"/>
                <w:szCs w:val="15"/>
              </w:rPr>
              <w:t xml:space="preserve">  about 13x; no benchmark</w:t>
            </w:r>
          </w:p>
        </w:tc>
      </w:tr>
    </w:tbl>
    <w:p>
      <w:pPr>
        <w:keepLines/>
        <w:spacing w:after="60" w:before="0" w:line="240" w:lineRule="auto"/>
        <w:jc w:val="left"/>
      </w:pPr>
      <w:r>
        <w:rPr>
          <w:rFonts w:ascii="Quicksand Light" w:cs="Quicksand Light" w:eastAsia="Quicksand Light" w:hAnsi="Quicksand Light"/>
          <w:color w:val="615F59"/>
          <w:sz w:val="14"/>
          <w:szCs w:val="14"/>
        </w:rPr>
        <w:t xml:space="preserve">EPS: 2020 total EPS includes $0.11 from the businesses spun off with Arconic Corp in April 2020. Continuing operations is the more useful measure of today’s company, but the strict reported-EPS test fails. Coverage: 2024–25 operating income is derived from reported margins. FCF: 2021 uses the pre-2022 receivables presentation; on the company’s adjusted basis 2021 was $517m, still below 2022.</w:t>
      </w:r>
    </w:p>
    <w:p>
      <w:pPr>
        <w:keepNext/>
        <w:pageBreakBefore/>
        <w:spacing w:after="20" w:before="0"/>
      </w:pPr>
      <w:r>
        <w:rPr>
          <w:rFonts w:ascii="Agus Sans" w:cs="Agus Sans" w:eastAsia="Agus Sans" w:hAnsi="Agus Sans"/>
          <w:color w:val="C21A27"/>
          <w:sz w:val="30"/>
          <w:szCs w:val="30"/>
        </w:rPr>
        <w:t xml:space="preserve">WOLTERS KLUWER</w:t>
      </w:r>
    </w:p>
    <w:p>
      <w:pPr>
        <w:keepNext/>
        <w:pBdr>
          <w:bottom w:val="single" w:color="C21A27" w:sz="6" w:space="3"/>
        </w:pBdr>
        <w:spacing w:after="100" w:before="0"/>
      </w:pPr>
      <w:r>
        <w:rPr>
          <w:rFonts w:ascii="Agus Sans" w:cs="Agus Sans" w:eastAsia="Agus Sans" w:hAnsi="Agus Sans"/>
          <w:color w:val="615F59"/>
          <w:sz w:val="16"/>
          <w:szCs w:val="16"/>
        </w:rPr>
        <w:t xml:space="preserve">WKL  |  EURONEXT AMSTERDAM  |  GICS INDUSTRIALS: PROFESSIONAL SERVICES  |  FISCAL YEAR TO 31 DECEMBER</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8036"/>
      </w:tblGrid>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RECOMMENDATION</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000000"/>
                <w:sz w:val="17"/>
                <w:szCs w:val="17"/>
              </w:rPr>
              <w:t xml:space="preserve">BUY at €83.80</w:t>
            </w:r>
            <w:r>
              <w:rPr>
                <w:rFonts w:ascii="Quicksand Light" w:cs="Quicksand Light" w:eastAsia="Quicksand Light" w:hAnsi="Quicksand Light"/>
                <w:color w:val="000000"/>
                <w:sz w:val="17"/>
                <w:szCs w:val="17"/>
              </w:rPr>
              <w:t xml:space="preserve"> (28 October close) </w:t>
            </w:r>
            <w:r>
              <w:rPr>
                <w:rFonts w:ascii="Quicksand Light" w:cs="Quicksand Light" w:eastAsia="Quicksand Light" w:hAnsi="Quicksand Light"/>
                <w:color w:val="615F59"/>
                <w:sz w:val="14"/>
                <w:szCs w:val="14"/>
              </w:rPr>
              <w:t xml:space="preserve">[</w:t>
            </w:r>
            <w:hyperlink w:history="1" w:anchor="src_W6">
              <w:r>
                <w:rPr>
                  <w:rFonts w:ascii="Quicksand Light" w:cs="Quicksand Light" w:eastAsia="Quicksand Light" w:hAnsi="Quicksand Light"/>
                  <w:color w:val="615F59"/>
                  <w:sz w:val="14"/>
                  <w:szCs w:val="14"/>
                </w:rPr>
                <w:t xml:space="preserve">W6</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 Base twelve-month value €92 (+9.4%), plus about 3.2% in dividends.</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CENTRAL REASON</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The market prices AI disruption, but recurring revenue grew 7% organically in H1 2026 and renewal rates stayed above 90% </w:t>
            </w:r>
            <w:r>
              <w:rPr>
                <w:rFonts w:ascii="Quicksand Light" w:cs="Quicksand Light" w:eastAsia="Quicksand Light" w:hAnsi="Quicksand Light"/>
                <w:color w:val="615F59"/>
                <w:sz w:val="14"/>
                <w:szCs w:val="14"/>
              </w:rPr>
              <w:t xml:space="preserve">[</w:t>
            </w:r>
            <w:hyperlink w:history="1" w:anchor="src_W2">
              <w:r>
                <w:rPr>
                  <w:rFonts w:ascii="Quicksand Light" w:cs="Quicksand Light" w:eastAsia="Quicksand Light" w:hAnsi="Quicksand Light"/>
                  <w:color w:val="615F59"/>
                  <w:sz w:val="14"/>
                  <w:szCs w:val="14"/>
                </w:rPr>
                <w:t xml:space="preserve">W2</w:t>
              </w:r>
            </w:hyperlink>
            <w:r>
              <w:rPr>
                <w:rFonts w:ascii="Quicksand Light" w:cs="Quicksand Light" w:eastAsia="Quicksand Light" w:hAnsi="Quicksand Light"/>
                <w:color w:val="615F59"/>
                <w:sz w:val="14"/>
                <w:szCs w:val="14"/>
              </w:rPr>
              <w:t xml:space="preserve">, </w:t>
            </w:r>
            <w:hyperlink w:history="1" w:anchor="src_W15">
              <w:r>
                <w:rPr>
                  <w:rFonts w:ascii="Quicksand Light" w:cs="Quicksand Light" w:eastAsia="Quicksand Light" w:hAnsi="Quicksand Light"/>
                  <w:color w:val="615F59"/>
                  <w:sz w:val="14"/>
                  <w:szCs w:val="14"/>
                </w:rPr>
                <w:t xml:space="preserve">W15</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ADVANTAGE</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Expert, liability-backed content built into clinicians’, accountants’ and lawyers’ daily workflows </w:t>
            </w:r>
            <w:r>
              <w:rPr>
                <w:rFonts w:ascii="Quicksand Light" w:cs="Quicksand Light" w:eastAsia="Quicksand Light" w:hAnsi="Quicksand Light"/>
                <w:color w:val="615F59"/>
                <w:sz w:val="14"/>
                <w:szCs w:val="14"/>
              </w:rPr>
              <w:t xml:space="preserve">[</w:t>
            </w:r>
            <w:hyperlink w:history="1" w:anchor="src_W2">
              <w:r>
                <w:rPr>
                  <w:rFonts w:ascii="Quicksand Light" w:cs="Quicksand Light" w:eastAsia="Quicksand Light" w:hAnsi="Quicksand Light"/>
                  <w:color w:val="615F59"/>
                  <w:sz w:val="14"/>
                  <w:szCs w:val="14"/>
                </w:rPr>
                <w:t xml:space="preserve">W2</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CATALYST</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Nine-month trading update on </w:t>
            </w:r>
            <w:r>
              <w:rPr>
                <w:rFonts w:ascii="Quicksand Medium" w:cs="Quicksand Medium" w:eastAsia="Quicksand Medium" w:hAnsi="Quicksand Medium"/>
                <w:color w:val="000000"/>
                <w:sz w:val="17"/>
                <w:szCs w:val="17"/>
              </w:rPr>
              <w:t xml:space="preserve">4 November 2026</w:t>
            </w:r>
            <w:r>
              <w:rPr>
                <w:rFonts w:ascii="Quicksand Light" w:cs="Quicksand Light" w:eastAsia="Quicksand Light" w:hAnsi="Quicksand Light"/>
                <w:color w:val="000000"/>
                <w:sz w:val="17"/>
                <w:szCs w:val="17"/>
              </w:rPr>
              <w:t xml:space="preserve">; FY2026 results in February 2027 </w:t>
            </w:r>
            <w:r>
              <w:rPr>
                <w:rFonts w:ascii="Quicksand Light" w:cs="Quicksand Light" w:eastAsia="Quicksand Light" w:hAnsi="Quicksand Light"/>
                <w:color w:val="615F59"/>
                <w:sz w:val="14"/>
                <w:szCs w:val="14"/>
              </w:rPr>
              <w:t xml:space="preserve">[</w:t>
            </w:r>
            <w:hyperlink w:history="1" w:anchor="src_W17">
              <w:r>
                <w:rPr>
                  <w:rFonts w:ascii="Quicksand Light" w:cs="Quicksand Light" w:eastAsia="Quicksand Light" w:hAnsi="Quicksand Light"/>
                  <w:color w:val="615F59"/>
                  <w:sz w:val="14"/>
                  <w:szCs w:val="14"/>
                </w:rPr>
                <w:t xml:space="preserve">W17</w:t>
              </w:r>
            </w:hyperlink>
            <w:r>
              <w:rPr>
                <w:rFonts w:ascii="Quicksand Light" w:cs="Quicksand Light" w:eastAsia="Quicksand Light" w:hAnsi="Quicksand Light"/>
                <w:color w:val="615F59"/>
                <w:sz w:val="14"/>
                <w:szCs w:val="14"/>
              </w:rPr>
              <w:t xml:space="preserve">]</w:t>
            </w:r>
            <w:r>
              <w:rPr>
                <w:rFonts w:ascii="Quicksand Light" w:cs="Quicksand Light" w:eastAsia="Quicksand Light" w:hAnsi="Quicksand Light"/>
                <w:color w:val="000000"/>
                <w:sz w:val="17"/>
                <w:szCs w:val="17"/>
              </w:rPr>
              <w:t xml:space="preserve">.</w:t>
            </w:r>
          </w:p>
        </w:tc>
      </w:tr>
      <w:tr>
        <w:trPr>
          <w:cantSplit/>
        </w:trPr>
        <w:tc>
          <w:tcPr>
            <w:tcW w:type="dxa" w:w="1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Agus Sans" w:cs="Agus Sans" w:eastAsia="Agus Sans" w:hAnsi="Agus Sans"/>
                <w:color w:val="790E17"/>
                <w:sz w:val="15"/>
                <w:szCs w:val="15"/>
              </w:rPr>
              <w:t xml:space="preserve">COUNTERARGUMENT</w:t>
            </w:r>
          </w:p>
        </w:tc>
        <w:tc>
          <w:tcPr>
            <w:tcW w:type="dxa" w:w="80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7"/>
                <w:szCs w:val="17"/>
              </w:rPr>
              <w:t xml:space="preserve">AI tools may let customers bypass paid content; AI adoption so far has not been shown to add revenue.</w:t>
            </w:r>
          </w:p>
        </w:tc>
      </w:tr>
    </w:tbl>
    <w:p>
      <w:pPr>
        <w:keepNext/>
        <w:keepLines/>
        <w:spacing w:after="50" w:before="110"/>
      </w:pPr>
      <w:r>
        <w:rPr>
          <w:rFonts w:ascii="Agus Sans" w:cs="Agus Sans" w:eastAsia="Agus Sans" w:hAnsi="Agus Sans"/>
          <w:color w:val="790E17"/>
          <w:sz w:val="20"/>
          <w:szCs w:val="20"/>
        </w:rPr>
        <w:t xml:space="preserve">1  INDUSTRY TRENDS</w:t>
      </w:r>
    </w:p>
    <w:p>
      <w:pPr>
        <w:keepLines/>
        <w:spacing w:after="70" w:before="0" w:line="240" w:lineRule="auto"/>
        <w:jc w:val="both"/>
      </w:pPr>
      <w:r>
        <w:rPr>
          <w:rFonts w:ascii="Quicksand Medium" w:cs="Quicksand Medium" w:eastAsia="Quicksand Medium" w:hAnsi="Quicksand Medium"/>
          <w:color w:val="000000"/>
          <w:sz w:val="18"/>
          <w:szCs w:val="18"/>
        </w:rPr>
        <w:t xml:space="preserve">Professional-information demand has held up through the AI scare.</w:t>
      </w:r>
      <w:r>
        <w:rPr>
          <w:rFonts w:ascii="Quicksand Light" w:cs="Quicksand Light" w:eastAsia="Quicksand Light" w:hAnsi="Quicksand Light"/>
          <w:color w:val="000000"/>
          <w:sz w:val="18"/>
          <w:szCs w:val="18"/>
        </w:rPr>
        <w:t xml:space="preserve"> On 3 February 2026 the launch of AI legal plug-ins knocked about 13% off Wolters Kluwer and 14% off RELX in a day, on fears that routine legal work would be automated </w:t>
      </w:r>
      <w:r>
        <w:rPr>
          <w:rFonts w:ascii="Quicksand Light" w:cs="Quicksand Light" w:eastAsia="Quicksand Light" w:hAnsi="Quicksand Light"/>
          <w:color w:val="615F59"/>
          <w:sz w:val="15"/>
          <w:szCs w:val="15"/>
        </w:rPr>
        <w:t xml:space="preserve">[</w:t>
      </w:r>
      <w:hyperlink w:history="1" w:anchor="src_W5">
        <w:r>
          <w:rPr>
            <w:rFonts w:ascii="Quicksand Light" w:cs="Quicksand Light" w:eastAsia="Quicksand Light" w:hAnsi="Quicksand Light"/>
            <w:color w:val="615F59"/>
            <w:sz w:val="15"/>
            <w:szCs w:val="15"/>
          </w:rPr>
          <w:t xml:space="preserve">W5</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Operating data since then does not show that disruption. RELX reported </w:t>
      </w:r>
      <w:r>
        <w:rPr>
          <w:rFonts w:ascii="Quicksand Medium" w:cs="Quicksand Medium" w:eastAsia="Quicksand Medium" w:hAnsi="Quicksand Medium"/>
          <w:color w:val="000000"/>
          <w:sz w:val="18"/>
          <w:szCs w:val="18"/>
        </w:rPr>
        <w:t xml:space="preserve">7% underlying growth</w:t>
      </w:r>
      <w:r>
        <w:rPr>
          <w:rFonts w:ascii="Quicksand Light" w:cs="Quicksand Light" w:eastAsia="Quicksand Light" w:hAnsi="Quicksand Light"/>
          <w:color w:val="000000"/>
          <w:sz w:val="18"/>
          <w:szCs w:val="18"/>
        </w:rPr>
        <w:t xml:space="preserve"> for the first nine months of 2026, including 10% in Legal </w:t>
      </w:r>
      <w:r>
        <w:rPr>
          <w:rFonts w:ascii="Quicksand Light" w:cs="Quicksand Light" w:eastAsia="Quicksand Light" w:hAnsi="Quicksand Light"/>
          <w:color w:val="615F59"/>
          <w:sz w:val="15"/>
          <w:szCs w:val="15"/>
        </w:rPr>
        <w:t xml:space="preserve">[</w:t>
      </w:r>
      <w:hyperlink w:history="1" w:anchor="src_W8">
        <w:r>
          <w:rPr>
            <w:rFonts w:ascii="Quicksand Light" w:cs="Quicksand Light" w:eastAsia="Quicksand Light" w:hAnsi="Quicksand Light"/>
            <w:color w:val="615F59"/>
            <w:sz w:val="15"/>
            <w:szCs w:val="15"/>
          </w:rPr>
          <w:t xml:space="preserve">W8</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and Wolters Kluwer’s recurring revenue grew 7% organically in H1 </w:t>
      </w:r>
      <w:r>
        <w:rPr>
          <w:rFonts w:ascii="Quicksand Light" w:cs="Quicksand Light" w:eastAsia="Quicksand Light" w:hAnsi="Quicksand Light"/>
          <w:color w:val="615F59"/>
          <w:sz w:val="15"/>
          <w:szCs w:val="15"/>
        </w:rPr>
        <w:t xml:space="preserve">[</w:t>
      </w:r>
      <w:hyperlink w:history="1" w:anchor="src_W2">
        <w:r>
          <w:rPr>
            <w:rFonts w:ascii="Quicksand Light" w:cs="Quicksand Light" w:eastAsia="Quicksand Light" w:hAnsi="Quicksand Light"/>
            <w:color w:val="615F59"/>
            <w:sz w:val="15"/>
            <w:szCs w:val="15"/>
          </w:rPr>
          <w:t xml:space="preserve">W2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The shares were around €159 in February 2025; in June 2026 they traded near €60, about 11x consensus earnings </w:t>
      </w:r>
      <w:r>
        <w:rPr>
          <w:rFonts w:ascii="Quicksand Light" w:cs="Quicksand Light" w:eastAsia="Quicksand Light" w:hAnsi="Quicksand Light"/>
          <w:color w:val="615F59"/>
          <w:sz w:val="15"/>
          <w:szCs w:val="15"/>
        </w:rPr>
        <w:t xml:space="preserve">[</w:t>
      </w:r>
      <w:hyperlink w:history="1" w:anchor="src_W7">
        <w:r>
          <w:rPr>
            <w:rFonts w:ascii="Quicksand Light" w:cs="Quicksand Light" w:eastAsia="Quicksand Light" w:hAnsi="Quicksand Light"/>
            <w:color w:val="615F59"/>
            <w:sz w:val="15"/>
            <w:szCs w:val="15"/>
          </w:rPr>
          <w:t xml:space="preserve">W7</w:t>
        </w:r>
      </w:hyperlink>
      <w:r>
        <w:rPr>
          <w:rFonts w:ascii="Quicksand Light" w:cs="Quicksand Light" w:eastAsia="Quicksand Light" w:hAnsi="Quicksand Light"/>
          <w:color w:val="615F59"/>
          <w:sz w:val="15"/>
          <w:szCs w:val="15"/>
        </w:rPr>
        <w:t xml:space="preserve">, </w:t>
      </w:r>
      <w:hyperlink w:history="1" w:anchor="src_W21">
        <w:r>
          <w:rPr>
            <w:rFonts w:ascii="Quicksand Light" w:cs="Quicksand Light" w:eastAsia="Quicksand Light" w:hAnsi="Quicksand Light"/>
            <w:color w:val="615F59"/>
            <w:sz w:val="15"/>
            <w:szCs w:val="15"/>
          </w:rPr>
          <w:t xml:space="preserve">W21</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p>
      <w:pPr>
        <w:keepNext/>
        <w:keepLines/>
        <w:spacing w:after="50" w:before="110"/>
      </w:pPr>
      <w:r>
        <w:rPr>
          <w:rFonts w:ascii="Agus Sans" w:cs="Agus Sans" w:eastAsia="Agus Sans" w:hAnsi="Agus Sans"/>
          <w:color w:val="790E17"/>
          <w:sz w:val="20"/>
          <w:szCs w:val="20"/>
        </w:rPr>
        <w:t xml:space="preserve">2  HOW WOLTERS KLUWER BENEFITS</w:t>
      </w:r>
    </w:p>
    <w:p>
      <w:pPr>
        <w:keepLines/>
        <w:spacing w:after="70" w:before="0" w:line="240" w:lineRule="auto"/>
        <w:jc w:val="both"/>
      </w:pPr>
      <w:r>
        <w:rPr>
          <w:rFonts w:ascii="Quicksand Light" w:cs="Quicksand Light" w:eastAsia="Quicksand Light" w:hAnsi="Quicksand Light"/>
          <w:color w:val="000000"/>
          <w:sz w:val="18"/>
          <w:szCs w:val="18"/>
        </w:rPr>
        <w:t xml:space="preserve">Regulation, clinical guidelines and tax codes keep changing, and professionals pay for verified content they can rely on. </w:t>
      </w:r>
      <w:r>
        <w:rPr>
          <w:rFonts w:ascii="Quicksand Medium" w:cs="Quicksand Medium" w:eastAsia="Quicksand Medium" w:hAnsi="Quicksand Medium"/>
          <w:color w:val="000000"/>
          <w:sz w:val="18"/>
          <w:szCs w:val="18"/>
        </w:rPr>
        <w:t xml:space="preserve">Retention:</w:t>
      </w:r>
      <w:r>
        <w:rPr>
          <w:rFonts w:ascii="Quicksand Light" w:cs="Quicksand Light" w:eastAsia="Quicksand Light" w:hAnsi="Quicksand Light"/>
          <w:color w:val="000000"/>
          <w:sz w:val="18"/>
          <w:szCs w:val="18"/>
        </w:rPr>
        <w:t xml:space="preserve"> renewal rates for the largest subscription products stayed above 90% in 2025 </w:t>
      </w:r>
      <w:r>
        <w:rPr>
          <w:rFonts w:ascii="Quicksand Light" w:cs="Quicksand Light" w:eastAsia="Quicksand Light" w:hAnsi="Quicksand Light"/>
          <w:color w:val="615F59"/>
          <w:sz w:val="15"/>
          <w:szCs w:val="15"/>
        </w:rPr>
        <w:t xml:space="preserve">[</w:t>
      </w:r>
      <w:hyperlink w:history="1" w:anchor="src_W15">
        <w:r>
          <w:rPr>
            <w:rFonts w:ascii="Quicksand Light" w:cs="Quicksand Light" w:eastAsia="Quicksand Light" w:hAnsi="Quicksand Light"/>
            <w:color w:val="615F59"/>
            <w:sz w:val="15"/>
            <w:szCs w:val="15"/>
          </w:rPr>
          <w:t xml:space="preserve">W15</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w:t>
      </w:r>
      <w:r>
        <w:rPr>
          <w:rFonts w:ascii="Quicksand Medium" w:cs="Quicksand Medium" w:eastAsia="Quicksand Medium" w:hAnsi="Quicksand Medium"/>
          <w:color w:val="000000"/>
          <w:sz w:val="18"/>
          <w:szCs w:val="18"/>
        </w:rPr>
        <w:t xml:space="preserve">Adoption is not revenue:</w:t>
      </w:r>
      <w:r>
        <w:rPr>
          <w:rFonts w:ascii="Quicksand Light" w:cs="Quicksand Light" w:eastAsia="Quicksand Light" w:hAnsi="Quicksand Light"/>
          <w:color w:val="000000"/>
          <w:sz w:val="18"/>
          <w:szCs w:val="18"/>
        </w:rPr>
        <w:t xml:space="preserve"> UpToDate Expert AI reached over 90% of US enterprise customers (about 2,500 hospitals) by mid-2026 </w:t>
      </w:r>
      <w:r>
        <w:rPr>
          <w:rFonts w:ascii="Quicksand Light" w:cs="Quicksand Light" w:eastAsia="Quicksand Light" w:hAnsi="Quicksand Light"/>
          <w:color w:val="615F59"/>
          <w:sz w:val="15"/>
          <w:szCs w:val="15"/>
        </w:rPr>
        <w:t xml:space="preserve">[</w:t>
      </w:r>
      <w:hyperlink w:history="1" w:anchor="src_W12">
        <w:r>
          <w:rPr>
            <w:rFonts w:ascii="Quicksand Light" w:cs="Quicksand Light" w:eastAsia="Quicksand Light" w:hAnsi="Quicksand Light"/>
            <w:color w:val="615F59"/>
            <w:sz w:val="15"/>
            <w:szCs w:val="15"/>
          </w:rPr>
          <w:t xml:space="preserve">W12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Management says the AI is </w:t>
      </w:r>
      <w:r>
        <w:rPr>
          <w:rFonts w:ascii="Quicksand Medium" w:cs="Quicksand Medium" w:eastAsia="Quicksand Medium" w:hAnsi="Quicksand Medium"/>
          <w:color w:val="000000"/>
          <w:sz w:val="18"/>
          <w:szCs w:val="18"/>
        </w:rPr>
        <w:t xml:space="preserve">bundled into subscriptions</w:t>
      </w:r>
      <w:r>
        <w:rPr>
          <w:rFonts w:ascii="Quicksand Light" w:cs="Quicksand Light" w:eastAsia="Quicksand Light" w:hAnsi="Quicksand Light"/>
          <w:color w:val="000000"/>
          <w:sz w:val="18"/>
          <w:szCs w:val="18"/>
        </w:rPr>
        <w:t xml:space="preserve">, so it is paid for through renewals and price increases, with add-ons priced at renewal over time </w:t>
      </w:r>
      <w:r>
        <w:rPr>
          <w:rFonts w:ascii="Quicksand Light" w:cs="Quicksand Light" w:eastAsia="Quicksand Light" w:hAnsi="Quicksand Light"/>
          <w:color w:val="615F59"/>
          <w:sz w:val="15"/>
          <w:szCs w:val="15"/>
        </w:rPr>
        <w:t xml:space="preserve">[</w:t>
      </w:r>
      <w:hyperlink w:history="1" w:anchor="src_W16">
        <w:r>
          <w:rPr>
            <w:rFonts w:ascii="Quicksand Light" w:cs="Quicksand Light" w:eastAsia="Quicksand Light" w:hAnsi="Quicksand Light"/>
            <w:color w:val="615F59"/>
            <w:sz w:val="15"/>
            <w:szCs w:val="15"/>
          </w:rPr>
          <w:t xml:space="preserve">W16</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The company has not disclosed incremental AI revenue. Adoption shows customers taking AI from their incumbent supplier. It does not yet prove the moat is getting wider. These are professional AI products, not industrial AI.</w:t>
      </w:r>
    </w:p>
    <w:p>
      <w:pPr>
        <w:keepNext/>
        <w:keepLines/>
        <w:spacing w:after="50" w:before="110"/>
      </w:pPr>
      <w:r>
        <w:rPr>
          <w:rFonts w:ascii="Agus Sans" w:cs="Agus Sans" w:eastAsia="Agus Sans" w:hAnsi="Agus Sans"/>
          <w:color w:val="790E17"/>
          <w:sz w:val="20"/>
          <w:szCs w:val="20"/>
        </w:rPr>
        <w:t xml:space="preserve">3  BUSINESS MODEL AND FINANCIAL PERFORMANCE</w:t>
      </w:r>
    </w:p>
    <w:p>
      <w:pPr>
        <w:keepLines/>
        <w:spacing w:after="70" w:before="0" w:line="240" w:lineRule="auto"/>
        <w:jc w:val="both"/>
      </w:pPr>
      <w:r>
        <w:rPr>
          <w:rFonts w:ascii="Quicksand Light" w:cs="Quicksand Light" w:eastAsia="Quicksand Light" w:hAnsi="Quicksand Light"/>
          <w:color w:val="000000"/>
          <w:sz w:val="18"/>
          <w:szCs w:val="18"/>
        </w:rPr>
        <w:t xml:space="preserve">Wolters Kluwer is classified as Industrials, Professional Services </w:t>
      </w:r>
      <w:r>
        <w:rPr>
          <w:rFonts w:ascii="Quicksand Light" w:cs="Quicksand Light" w:eastAsia="Quicksand Light" w:hAnsi="Quicksand Light"/>
          <w:color w:val="615F59"/>
          <w:sz w:val="15"/>
          <w:szCs w:val="15"/>
        </w:rPr>
        <w:t xml:space="preserve">[</w:t>
      </w:r>
      <w:hyperlink w:history="1" w:anchor="src_W13">
        <w:r>
          <w:rPr>
            <w:rFonts w:ascii="Quicksand Light" w:cs="Quicksand Light" w:eastAsia="Quicksand Light" w:hAnsi="Quicksand Light"/>
            <w:color w:val="615F59"/>
            <w:sz w:val="15"/>
            <w:szCs w:val="15"/>
          </w:rPr>
          <w:t xml:space="preserve">W13</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Hospitals, accounting firms, banks and corporate legal departments pay subscriptions for UpToDate, CCH Axcess tax software, compliance services and legal research. Recurring revenue is </w:t>
      </w:r>
      <w:r>
        <w:rPr>
          <w:rFonts w:ascii="Quicksand Medium" w:cs="Quicksand Medium" w:eastAsia="Quicksand Medium" w:hAnsi="Quicksand Medium"/>
          <w:color w:val="000000"/>
          <w:sz w:val="18"/>
          <w:szCs w:val="18"/>
        </w:rPr>
        <w:t xml:space="preserve">85%</w:t>
      </w:r>
      <w:r>
        <w:rPr>
          <w:rFonts w:ascii="Quicksand Light" w:cs="Quicksand Light" w:eastAsia="Quicksand Light" w:hAnsi="Quicksand Light"/>
          <w:color w:val="000000"/>
          <w:sz w:val="18"/>
          <w:szCs w:val="18"/>
        </w:rPr>
        <w:t xml:space="preserve"> of the total, and the H1 2026 adjusted operating margin was </w:t>
      </w:r>
      <w:r>
        <w:rPr>
          <w:rFonts w:ascii="Quicksand Medium" w:cs="Quicksand Medium" w:eastAsia="Quicksand Medium" w:hAnsi="Quicksand Medium"/>
          <w:color w:val="000000"/>
          <w:sz w:val="18"/>
          <w:szCs w:val="18"/>
        </w:rPr>
        <w:t xml:space="preserve">29.4%</w:t>
      </w:r>
      <w:r>
        <w:rPr>
          <w:rFonts w:ascii="Quicksand Light" w:cs="Quicksand Light" w:eastAsia="Quicksand Light" w:hAnsi="Quicksand Light"/>
          <w:color w:val="000000"/>
          <w:sz w:val="18"/>
          <w:szCs w:val="18"/>
        </w:rPr>
        <w:t xml:space="preserve"> </w:t>
      </w:r>
      <w:r>
        <w:rPr>
          <w:rFonts w:ascii="Quicksand Light" w:cs="Quicksand Light" w:eastAsia="Quicksand Light" w:hAnsi="Quicksand Light"/>
          <w:color w:val="615F59"/>
          <w:sz w:val="15"/>
          <w:szCs w:val="15"/>
        </w:rPr>
        <w:t xml:space="preserve">[</w:t>
      </w:r>
      <w:hyperlink w:history="1" w:anchor="src_W2">
        <w:r>
          <w:rPr>
            <w:rFonts w:ascii="Quicksand Light" w:cs="Quicksand Light" w:eastAsia="Quicksand Light" w:hAnsi="Quicksand Light"/>
            <w:color w:val="615F59"/>
            <w:sz w:val="15"/>
            <w:szCs w:val="15"/>
          </w:rPr>
          <w:t xml:space="preserve">W2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The main costs are editorial experts, product development (12–13% of revenue in 2026, to fund AI) and sales </w:t>
      </w:r>
      <w:r>
        <w:rPr>
          <w:rFonts w:ascii="Quicksand Light" w:cs="Quicksand Light" w:eastAsia="Quicksand Light" w:hAnsi="Quicksand Light"/>
          <w:color w:val="615F59"/>
          <w:sz w:val="15"/>
          <w:szCs w:val="15"/>
        </w:rPr>
        <w:t xml:space="preserve">[</w:t>
      </w:r>
      <w:hyperlink w:history="1" w:anchor="src_W2">
        <w:r>
          <w:rPr>
            <w:rFonts w:ascii="Quicksand Light" w:cs="Quicksand Light" w:eastAsia="Quicksand Light" w:hAnsi="Quicksand Light"/>
            <w:color w:val="615F59"/>
            <w:sz w:val="15"/>
            <w:szCs w:val="15"/>
          </w:rPr>
          <w:t xml:space="preserve">W2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700"/>
        <w:gridCol w:w="1400"/>
        <w:gridCol w:w="2100"/>
        <w:gridCol w:w="1600"/>
        <w:gridCol w:w="1836"/>
      </w:tblGrid>
      <w:tr>
        <w:trPr>
          <w:cantSplit/>
          <w:tblHeader/>
        </w:trPr>
        <w:tc>
          <w:tcPr>
            <w:tcW w:type="dxa" w:w="13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Year</w:t>
            </w:r>
          </w:p>
        </w:tc>
        <w:tc>
          <w:tcPr>
            <w:tcW w:type="dxa" w:w="17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Revenue (€bn)</w:t>
            </w:r>
          </w:p>
        </w:tc>
        <w:tc>
          <w:tcPr>
            <w:tcW w:type="dxa" w:w="14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Growth</w:t>
            </w:r>
          </w:p>
        </w:tc>
        <w:tc>
          <w:tcPr>
            <w:tcW w:type="dxa" w:w="21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Net profit (€bn)</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Growth</w:t>
            </w:r>
          </w:p>
        </w:tc>
        <w:tc>
          <w:tcPr>
            <w:tcW w:type="dxa" w:w="183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Net margin</w:t>
            </w:r>
          </w:p>
        </w:tc>
      </w:tr>
      <w:tr>
        <w:trPr>
          <w:cantSplit/>
        </w:trPr>
        <w:tc>
          <w:tcPr>
            <w:tcW w:type="dxa" w:w="1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2023</w:t>
            </w:r>
          </w:p>
        </w:tc>
        <w:tc>
          <w:tcPr>
            <w:tcW w:type="dxa" w:w="17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5.58</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w:t>
            </w:r>
          </w:p>
        </w:tc>
        <w:tc>
          <w:tcPr>
            <w:tcW w:type="dxa" w:w="21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1.01</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w:t>
            </w:r>
          </w:p>
        </w:tc>
        <w:tc>
          <w:tcPr>
            <w:tcW w:type="dxa" w:w="18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18.0%</w:t>
            </w:r>
          </w:p>
        </w:tc>
      </w:tr>
      <w:tr>
        <w:trPr>
          <w:cantSplit/>
        </w:trPr>
        <w:tc>
          <w:tcPr>
            <w:tcW w:type="dxa" w:w="1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2024</w:t>
            </w:r>
          </w:p>
        </w:tc>
        <w:tc>
          <w:tcPr>
            <w:tcW w:type="dxa" w:w="17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5.92</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+5.9%</w:t>
            </w:r>
          </w:p>
        </w:tc>
        <w:tc>
          <w:tcPr>
            <w:tcW w:type="dxa" w:w="21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1.08</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+7.1%</w:t>
            </w:r>
          </w:p>
        </w:tc>
        <w:tc>
          <w:tcPr>
            <w:tcW w:type="dxa" w:w="18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18.2%</w:t>
            </w:r>
          </w:p>
        </w:tc>
      </w:tr>
      <w:tr>
        <w:trPr>
          <w:cantSplit/>
        </w:trPr>
        <w:tc>
          <w:tcPr>
            <w:tcW w:type="dxa" w:w="1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2025</w:t>
            </w:r>
          </w:p>
        </w:tc>
        <w:tc>
          <w:tcPr>
            <w:tcW w:type="dxa" w:w="17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6.13</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+3.5%</w:t>
            </w:r>
          </w:p>
        </w:tc>
        <w:tc>
          <w:tcPr>
            <w:tcW w:type="dxa" w:w="21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1.31</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+21.2%</w:t>
            </w:r>
          </w:p>
        </w:tc>
        <w:tc>
          <w:tcPr>
            <w:tcW w:type="dxa" w:w="18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21.4%</w:t>
            </w:r>
          </w:p>
        </w:tc>
      </w:tr>
    </w:tbl>
    <w:p>
      <w:pPr>
        <w:keepLines/>
        <w:spacing w:after="60" w:before="0" w:line="240" w:lineRule="auto"/>
        <w:jc w:val="left"/>
      </w:pPr>
      <w:r>
        <w:rPr>
          <w:rFonts w:ascii="Quicksand Light" w:cs="Quicksand Light" w:eastAsia="Quicksand Light" w:hAnsi="Quicksand Light"/>
          <w:color w:val="615F59"/>
          <w:sz w:val="14"/>
          <w:szCs w:val="14"/>
        </w:rPr>
        <w:t xml:space="preserve">IFRS profit attributable to shareholders; 2025 includes a €232m tax-exempt gain on the sale of the FRR unit. Excluding it, 2025 profit was about €1.08bn (17.6% margin). 2025 organic growth was 6%. Sources: </w:t>
      </w:r>
      <w:r>
        <w:rPr>
          <w:rFonts w:ascii="Quicksand Light" w:cs="Quicksand Light" w:eastAsia="Quicksand Light" w:hAnsi="Quicksand Light"/>
          <w:color w:val="615F59"/>
          <w:sz w:val="11"/>
          <w:szCs w:val="11"/>
        </w:rPr>
        <w:t xml:space="preserve">[</w:t>
      </w:r>
      <w:hyperlink w:history="1" w:anchor="src_W1">
        <w:r>
          <w:rPr>
            <w:rFonts w:ascii="Quicksand Light" w:cs="Quicksand Light" w:eastAsia="Quicksand Light" w:hAnsi="Quicksand Light"/>
            <w:color w:val="615F59"/>
            <w:sz w:val="11"/>
            <w:szCs w:val="11"/>
          </w:rPr>
          <w:t xml:space="preserve">W1</w:t>
        </w:r>
      </w:hyperlink>
      <w:r>
        <w:rPr>
          <w:rFonts w:ascii="Quicksand Light" w:cs="Quicksand Light" w:eastAsia="Quicksand Light" w:hAnsi="Quicksand Light"/>
          <w:color w:val="615F59"/>
          <w:sz w:val="11"/>
          <w:szCs w:val="11"/>
        </w:rPr>
        <w:t xml:space="preserve">, </w:t>
      </w:r>
      <w:hyperlink w:history="1" w:anchor="src_W3">
        <w:r>
          <w:rPr>
            <w:rFonts w:ascii="Quicksand Light" w:cs="Quicksand Light" w:eastAsia="Quicksand Light" w:hAnsi="Quicksand Light"/>
            <w:color w:val="615F59"/>
            <w:sz w:val="11"/>
            <w:szCs w:val="11"/>
          </w:rPr>
          <w:t xml:space="preserve">W3</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615F59"/>
          <w:sz w:val="14"/>
          <w:szCs w:val="14"/>
        </w:rPr>
        <w:t xml:space="preserve">.</w:t>
      </w:r>
    </w:p>
    <w:p>
      <w:pPr>
        <w:keepNext/>
        <w:spacing w:after="30" w:before="30" w:line="240" w:lineRule="auto"/>
        <w:jc w:val="center"/>
      </w:pPr>
      <w:r>
        <w:drawing>
          <wp:inline distT="0" distB="0" distL="0" distR="0">
            <wp:extent cx="6309360" cy="1207008"/>
            <wp:effectExtent t="0" r="0" b="0" l="0"/>
            <wp:docPr id="1" name="wk.png" descr="Bar charts of revenue and reported net profit" title="Revenue and net profi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309360" cy="1207008"/>
                    </a:xfrm>
                    <a:prstGeom prst="rect">
                      <a:avLst/>
                    </a:prstGeom>
                  </pic:spPr>
                </pic:pic>
              </a:graphicData>
            </a:graphic>
          </wp:inline>
        </w:drawing>
      </w:r>
    </w:p>
    <w:p>
      <w:pPr>
        <w:keepLines/>
        <w:spacing w:after="70" w:before="0" w:line="240" w:lineRule="auto"/>
        <w:jc w:val="both"/>
      </w:pPr>
      <w:r>
        <w:rPr>
          <w:rFonts w:ascii="Quicksand Medium" w:cs="Quicksand Medium" w:eastAsia="Quicksand Medium" w:hAnsi="Quicksand Medium"/>
          <w:color w:val="000000"/>
          <w:sz w:val="18"/>
          <w:szCs w:val="18"/>
        </w:rPr>
        <w:t xml:space="preserve">Underlying profitability.</w:t>
      </w:r>
      <w:r>
        <w:rPr>
          <w:rFonts w:ascii="Quicksand Light" w:cs="Quicksand Light" w:eastAsia="Quicksand Light" w:hAnsi="Quicksand Light"/>
          <w:color w:val="000000"/>
          <w:sz w:val="18"/>
          <w:szCs w:val="18"/>
        </w:rPr>
        <w:t xml:space="preserve"> Without the FRR gain, 2025 IFRS profit was flat on 2024 and IFRS EPS rose only about 3% (€4.64 vs €4.52). The company’s </w:t>
      </w:r>
      <w:r>
        <w:rPr>
          <w:rFonts w:ascii="Quicksand Medium" w:cs="Quicksand Medium" w:eastAsia="Quicksand Medium" w:hAnsi="Quicksand Medium"/>
          <w:color w:val="000000"/>
          <w:sz w:val="18"/>
          <w:szCs w:val="18"/>
        </w:rPr>
        <w:t xml:space="preserve">adjusted</w:t>
      </w:r>
      <w:r>
        <w:rPr>
          <w:rFonts w:ascii="Quicksand Light" w:cs="Quicksand Light" w:eastAsia="Quicksand Light" w:hAnsi="Quicksand Light"/>
          <w:color w:val="000000"/>
          <w:sz w:val="18"/>
          <w:szCs w:val="18"/>
        </w:rPr>
        <w:t xml:space="preserve"> measures exclude such gains and acquired-intangible amortisation: adjusted net profit was €1,225m (20.0% of revenue) and adjusted EPS €5.29, up 6% reported and 9% in constant currency </w:t>
      </w:r>
      <w:r>
        <w:rPr>
          <w:rFonts w:ascii="Quicksand Light" w:cs="Quicksand Light" w:eastAsia="Quicksand Light" w:hAnsi="Quicksand Light"/>
          <w:color w:val="615F59"/>
          <w:sz w:val="15"/>
          <w:szCs w:val="15"/>
        </w:rPr>
        <w:t xml:space="preserve">[</w:t>
      </w:r>
      <w:hyperlink w:history="1" w:anchor="src_W1">
        <w:r>
          <w:rPr>
            <w:rFonts w:ascii="Quicksand Light" w:cs="Quicksand Light" w:eastAsia="Quicksand Light" w:hAnsi="Quicksand Light"/>
            <w:color w:val="615F59"/>
            <w:sz w:val="15"/>
            <w:szCs w:val="15"/>
          </w:rPr>
          <w:t xml:space="preserve">W1</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w:t>
      </w:r>
      <w:r>
        <w:rPr>
          <w:rFonts w:ascii="Quicksand Medium" w:cs="Quicksand Medium" w:eastAsia="Quicksand Medium" w:hAnsi="Quicksand Medium"/>
          <w:color w:val="000000"/>
          <w:sz w:val="18"/>
          <w:szCs w:val="18"/>
        </w:rPr>
        <w:t xml:space="preserve">Guidance (reaffirmed 5 August):</w:t>
      </w:r>
      <w:r>
        <w:rPr>
          <w:rFonts w:ascii="Quicksand Light" w:cs="Quicksand Light" w:eastAsia="Quicksand Light" w:hAnsi="Quicksand Light"/>
          <w:color w:val="000000"/>
          <w:sz w:val="18"/>
          <w:szCs w:val="18"/>
        </w:rPr>
        <w:t xml:space="preserve"> an adjusted operating margin of about 28%, adjusted free cash flow of €1.30–1.35bn and high-single-digit growth in constant-currency adjusted EPS </w:t>
      </w:r>
      <w:r>
        <w:rPr>
          <w:rFonts w:ascii="Quicksand Light" w:cs="Quicksand Light" w:eastAsia="Quicksand Light" w:hAnsi="Quicksand Light"/>
          <w:color w:val="615F59"/>
          <w:sz w:val="15"/>
          <w:szCs w:val="15"/>
        </w:rPr>
        <w:t xml:space="preserve">[</w:t>
      </w:r>
      <w:hyperlink w:history="1" w:anchor="src_W2">
        <w:r>
          <w:rPr>
            <w:rFonts w:ascii="Quicksand Light" w:cs="Quicksand Light" w:eastAsia="Quicksand Light" w:hAnsi="Quicksand Light"/>
            <w:color w:val="615F59"/>
            <w:sz w:val="15"/>
            <w:szCs w:val="15"/>
          </w:rPr>
          <w:t xml:space="preserve">W2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w:t>
      </w:r>
    </w:p>
    <w:p>
      <w:pPr>
        <w:keepNext/>
        <w:keepLines/>
        <w:spacing w:after="50" w:before="110"/>
      </w:pPr>
      <w:r>
        <w:rPr>
          <w:rFonts w:ascii="Agus Sans" w:cs="Agus Sans" w:eastAsia="Agus Sans" w:hAnsi="Agus Sans"/>
          <w:color w:val="790E17"/>
          <w:sz w:val="20"/>
          <w:szCs w:val="20"/>
        </w:rPr>
        <w:t xml:space="preserve">4  INVESTMENT CASE AND VALUATION</w:t>
      </w:r>
    </w:p>
    <w:p>
      <w:pPr>
        <w:keepLines/>
        <w:spacing w:after="70" w:before="0" w:line="240" w:lineRule="auto"/>
        <w:jc w:val="both"/>
      </w:pPr>
      <w:r>
        <w:rPr>
          <w:rFonts w:ascii="Quicksand Medium" w:cs="Quicksand Medium" w:eastAsia="Quicksand Medium" w:hAnsi="Quicksand Medium"/>
          <w:color w:val="000000"/>
          <w:sz w:val="18"/>
          <w:szCs w:val="18"/>
        </w:rPr>
        <w:t xml:space="preserve">Buybacks distort the balance sheet.</w:t>
      </w:r>
      <w:r>
        <w:rPr>
          <w:rFonts w:ascii="Quicksand Light" w:cs="Quicksand Light" w:eastAsia="Quicksand Light" w:hAnsi="Quicksand Light"/>
          <w:color w:val="000000"/>
          <w:sz w:val="18"/>
          <w:szCs w:val="18"/>
        </w:rPr>
        <w:t xml:space="preserve"> Equity fell from €1,545m to €798m in 2025 as buybacks and dividends exceeded comprehensive income, while net debt rose to €4.0bn (2.0x EBITDA) </w:t>
      </w:r>
      <w:r>
        <w:rPr>
          <w:rFonts w:ascii="Quicksand Light" w:cs="Quicksand Light" w:eastAsia="Quicksand Light" w:hAnsi="Quicksand Light"/>
          <w:color w:val="615F59"/>
          <w:sz w:val="15"/>
          <w:szCs w:val="15"/>
        </w:rPr>
        <w:t xml:space="preserve">[</w:t>
      </w:r>
      <w:hyperlink w:history="1" w:anchor="src_W4">
        <w:r>
          <w:rPr>
            <w:rFonts w:ascii="Quicksand Light" w:cs="Quicksand Light" w:eastAsia="Quicksand Light" w:hAnsi="Quicksand Light"/>
            <w:color w:val="615F59"/>
            <w:sz w:val="15"/>
            <w:szCs w:val="15"/>
          </w:rPr>
          <w:t xml:space="preserve">W4</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That inflates ROE (about 112%), debt/equity (6.0x) and P/B (about 24x). Net debt to EBITDA and interest cover of about 20x are the more useful leverage measures, and both are moderate.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400"/>
        <w:gridCol w:w="2900"/>
        <w:gridCol w:w="1600"/>
        <w:gridCol w:w="1736"/>
      </w:tblGrid>
      <w:tr>
        <w:trPr>
          <w:cantSplit/>
          <w:tblHeader/>
        </w:trPr>
        <w:tc>
          <w:tcPr>
            <w:tcW w:type="dxa" w:w="23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Company (28 Oct close)</w:t>
            </w:r>
          </w:p>
        </w:tc>
        <w:tc>
          <w:tcPr>
            <w:tcW w:type="dxa" w:w="14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Price</w:t>
            </w:r>
          </w:p>
        </w:tc>
        <w:tc>
          <w:tcPr>
            <w:tcW w:type="dxa" w:w="29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2026 adjusted EPS basis</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EPS</w:t>
            </w:r>
          </w:p>
        </w:tc>
        <w:tc>
          <w:tcPr>
            <w:tcW w:type="dxa" w:w="173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P/E 2026</w:t>
            </w:r>
          </w:p>
        </w:tc>
      </w:tr>
      <w:tr>
        <w:trPr>
          <w:cantSplit/>
        </w:trPr>
        <w:tc>
          <w:tcPr>
            <w:tcW w:type="dxa" w:w="23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Wolters Kluwer</w:t>
            </w:r>
          </w:p>
        </w:tc>
        <w:tc>
          <w:tcPr>
            <w:tcW w:type="dxa" w:w="14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€83.80</w:t>
            </w:r>
          </w:p>
        </w:tc>
        <w:tc>
          <w:tcPr>
            <w:tcW w:type="dxa" w:w="29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Our estimate; S&amp;P Global consensus €5.62 (June)</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€5.60</w:t>
            </w:r>
          </w:p>
        </w:tc>
        <w:tc>
          <w:tcPr>
            <w:tcW w:type="dxa" w:w="1736"/>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15.0x</w:t>
            </w:r>
          </w:p>
        </w:tc>
      </w:tr>
      <w:tr>
        <w:trPr>
          <w:cantSplit/>
        </w:trPr>
        <w:tc>
          <w:tcPr>
            <w:tcW w:type="dxa" w:w="2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RELX</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2,891p</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S&amp;P Global consensus via Stock Analysis (June)</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141p</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20.5x</w:t>
            </w:r>
          </w:p>
        </w:tc>
      </w:tr>
      <w:tr>
        <w:trPr>
          <w:cantSplit/>
        </w:trPr>
        <w:tc>
          <w:tcPr>
            <w:tcW w:type="dxa" w:w="23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Verisk</w:t>
            </w:r>
          </w:p>
        </w:tc>
        <w:tc>
          <w:tcPr>
            <w:tcW w:type="dxa" w:w="14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$189.80</w:t>
            </w:r>
          </w:p>
        </w:tc>
        <w:tc>
          <w:tcPr>
            <w:tcW w:type="dxa" w:w="29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Guidance midpoint (reaffirmed July)</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$7.60</w:t>
            </w:r>
          </w:p>
        </w:tc>
        <w:tc>
          <w:tcPr>
            <w:tcW w:type="dxa" w:w="173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25.0x</w:t>
            </w:r>
          </w:p>
        </w:tc>
      </w:tr>
    </w:tbl>
    <w:p>
      <w:pPr>
        <w:keepLines/>
        <w:spacing w:after="60" w:before="0" w:line="240" w:lineRule="auto"/>
        <w:jc w:val="left"/>
      </w:pPr>
      <w:r>
        <w:rPr>
          <w:rFonts w:ascii="Quicksand Light" w:cs="Quicksand Light" w:eastAsia="Quicksand Light" w:hAnsi="Quicksand Light"/>
          <w:color w:val="615F59"/>
          <w:sz w:val="14"/>
          <w:szCs w:val="14"/>
        </w:rPr>
        <w:t xml:space="preserve">Same price date and adjusted EPS basis; Wolters Kluwer and RELX consensus come from the same provider and date. Wolters Kluwer’s price is single-source, close to €86.6–87.2 quoted on 26–27 October. Sources: </w:t>
      </w:r>
      <w:r>
        <w:rPr>
          <w:rFonts w:ascii="Quicksand Light" w:cs="Quicksand Light" w:eastAsia="Quicksand Light" w:hAnsi="Quicksand Light"/>
          <w:color w:val="615F59"/>
          <w:sz w:val="11"/>
          <w:szCs w:val="11"/>
        </w:rPr>
        <w:t xml:space="preserve">[</w:t>
      </w:r>
      <w:hyperlink w:history="1" w:anchor="src_W6">
        <w:r>
          <w:rPr>
            <w:rFonts w:ascii="Quicksand Light" w:cs="Quicksand Light" w:eastAsia="Quicksand Light" w:hAnsi="Quicksand Light"/>
            <w:color w:val="615F59"/>
            <w:sz w:val="11"/>
            <w:szCs w:val="11"/>
          </w:rPr>
          <w:t xml:space="preserve">W6</w:t>
        </w:r>
      </w:hyperlink>
      <w:r>
        <w:rPr>
          <w:rFonts w:ascii="Quicksand Light" w:cs="Quicksand Light" w:eastAsia="Quicksand Light" w:hAnsi="Quicksand Light"/>
          <w:color w:val="615F59"/>
          <w:sz w:val="11"/>
          <w:szCs w:val="11"/>
        </w:rPr>
        <w:t xml:space="preserve">, </w:t>
      </w:r>
      <w:hyperlink w:history="1" w:anchor="src_W7">
        <w:r>
          <w:rPr>
            <w:rFonts w:ascii="Quicksand Light" w:cs="Quicksand Light" w:eastAsia="Quicksand Light" w:hAnsi="Quicksand Light"/>
            <w:color w:val="615F59"/>
            <w:sz w:val="11"/>
            <w:szCs w:val="11"/>
          </w:rPr>
          <w:t xml:space="preserve">W7</w:t>
        </w:r>
      </w:hyperlink>
      <w:r>
        <w:rPr>
          <w:rFonts w:ascii="Quicksand Light" w:cs="Quicksand Light" w:eastAsia="Quicksand Light" w:hAnsi="Quicksand Light"/>
          <w:color w:val="615F59"/>
          <w:sz w:val="11"/>
          <w:szCs w:val="11"/>
        </w:rPr>
        <w:t xml:space="preserve">, </w:t>
      </w:r>
      <w:hyperlink w:history="1" w:anchor="src_W9">
        <w:r>
          <w:rPr>
            <w:rFonts w:ascii="Quicksand Light" w:cs="Quicksand Light" w:eastAsia="Quicksand Light" w:hAnsi="Quicksand Light"/>
            <w:color w:val="615F59"/>
            <w:sz w:val="11"/>
            <w:szCs w:val="11"/>
          </w:rPr>
          <w:t xml:space="preserve">W9</w:t>
        </w:r>
      </w:hyperlink>
      <w:r>
        <w:rPr>
          <w:rFonts w:ascii="Quicksand Light" w:cs="Quicksand Light" w:eastAsia="Quicksand Light" w:hAnsi="Quicksand Light"/>
          <w:color w:val="615F59"/>
          <w:sz w:val="11"/>
          <w:szCs w:val="11"/>
        </w:rPr>
        <w:t xml:space="preserve">, </w:t>
      </w:r>
      <w:hyperlink w:history="1" w:anchor="src_W18">
        <w:r>
          <w:rPr>
            <w:rFonts w:ascii="Quicksand Light" w:cs="Quicksand Light" w:eastAsia="Quicksand Light" w:hAnsi="Quicksand Light"/>
            <w:color w:val="615F59"/>
            <w:sz w:val="11"/>
            <w:szCs w:val="11"/>
          </w:rPr>
          <w:t xml:space="preserve">W18–W20</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615F59"/>
          <w:sz w:val="14"/>
          <w:szCs w:val="14"/>
        </w:rPr>
        <w:t xml:space="preserve">.</w:t>
      </w:r>
    </w:p>
    <w:p>
      <w:pPr>
        <w:keepLines/>
        <w:spacing w:after="70" w:before="0" w:line="240" w:lineRule="auto"/>
        <w:jc w:val="both"/>
      </w:pPr>
      <w:r>
        <w:rPr>
          <w:rFonts w:ascii="Quicksand Medium" w:cs="Quicksand Medium" w:eastAsia="Quicksand Medium" w:hAnsi="Quicksand Medium"/>
          <w:color w:val="000000"/>
          <w:sz w:val="18"/>
          <w:szCs w:val="18"/>
        </w:rPr>
        <w:t xml:space="preserve">Earnings bridge (our estimates).</w:t>
      </w:r>
      <w:r>
        <w:rPr>
          <w:rFonts w:ascii="Quicksand Light" w:cs="Quicksand Light" w:eastAsia="Quicksand Light" w:hAnsi="Quicksand Light"/>
          <w:color w:val="000000"/>
          <w:sz w:val="18"/>
          <w:szCs w:val="18"/>
        </w:rPr>
        <w:t xml:space="preserve"> 2026: high-single-digit constant-currency growth on €5.29, less a dollar headwind, gives €5.60, in line with consensus. 2027 (€6.05, +8%): 5.5% organic growth, about 40bp of margin and a share count about 2.5% lower (the €500m 2026 buyback is about 2.6% of the market value), partly offset by net financing costs, which the company now guides at about €105m for 2026 </w:t>
      </w:r>
      <w:r>
        <w:rPr>
          <w:rFonts w:ascii="Quicksand Light" w:cs="Quicksand Light" w:eastAsia="Quicksand Light" w:hAnsi="Quicksand Light"/>
          <w:color w:val="615F59"/>
          <w:sz w:val="15"/>
          <w:szCs w:val="15"/>
        </w:rPr>
        <w:t xml:space="preserve">[</w:t>
      </w:r>
      <w:hyperlink w:history="1" w:anchor="src_W2">
        <w:r>
          <w:rPr>
            <w:rFonts w:ascii="Quicksand Light" w:cs="Quicksand Light" w:eastAsia="Quicksand Light" w:hAnsi="Quicksand Light"/>
            <w:color w:val="615F59"/>
            <w:sz w:val="15"/>
            <w:szCs w:val="15"/>
          </w:rPr>
          <w:t xml:space="preserve">W2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2028 repeats the 8%, giving </w:t>
      </w:r>
      <w:r>
        <w:rPr>
          <w:rFonts w:ascii="Quicksand Medium" w:cs="Quicksand Medium" w:eastAsia="Quicksand Medium" w:hAnsi="Quicksand Medium"/>
          <w:color w:val="000000"/>
          <w:sz w:val="18"/>
          <w:szCs w:val="18"/>
        </w:rPr>
        <w:t xml:space="preserve">€6.55</w:t>
      </w:r>
      <w:r>
        <w:rPr>
          <w:rFonts w:ascii="Quicksand Light" w:cs="Quicksand Light" w:eastAsia="Quicksand Light" w:hAnsi="Quicksand Light"/>
          <w:color w:val="000000"/>
          <w:sz w:val="18"/>
          <w:szCs w:val="18"/>
        </w:rPr>
        <w:t xml:space="preserv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1000"/>
        <w:gridCol w:w="3376"/>
        <w:gridCol w:w="1600"/>
        <w:gridCol w:w="1600"/>
        <w:gridCol w:w="1600"/>
      </w:tblGrid>
      <w:tr>
        <w:trPr>
          <w:cantSplit/>
          <w:tblHeader/>
        </w:trPr>
        <w:tc>
          <w:tcPr>
            <w:tcW w:type="dxa" w:w="76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Case</w:t>
            </w:r>
          </w:p>
        </w:tc>
        <w:tc>
          <w:tcPr>
            <w:tcW w:type="dxa" w:w="10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FY2028 EPS</w:t>
            </w:r>
          </w:p>
        </w:tc>
        <w:tc>
          <w:tcPr>
            <w:tcW w:type="dxa" w:w="3376"/>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FFFFFF"/>
                <w:sz w:val="15"/>
                <w:szCs w:val="15"/>
              </w:rPr>
              <w:t xml:space="preserve">Earnings assumption</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11x</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14x</w:t>
            </w:r>
          </w:p>
        </w:tc>
        <w:tc>
          <w:tcPr>
            <w:tcW w:type="dxa" w:w="1600"/>
            <w:tcBorders>
              <w:top w:val="single" w:color="D9D9D9" w:sz="4"/>
              <w:left w:val="none" w:color="FFFFFF" w:sz="0"/>
              <w:bottom w:val="single" w:color="D9D9D9" w:sz="4"/>
              <w:right w:val="none" w:color="FFFFFF" w:sz="0"/>
            </w:tcBorders>
            <w:shd w:fill="790E17" w:color="auto" w:val="clear"/>
            <w:tcMar>
              <w:top w:type="dxa" w:w="45"/>
              <w:left w:type="dxa" w:w="80"/>
              <w:bottom w:type="dxa" w:w="45"/>
              <w:right w:type="dxa" w:w="80"/>
            </w:tcMar>
            <w:vAlign w:val="center"/>
          </w:tcPr>
          <w:p>
            <w:pPr>
              <w:keepNext/>
              <w:keepLines/>
              <w:spacing w:after="0" w:before="0" w:line="228"/>
              <w:jc w:val="right"/>
            </w:pPr>
            <w:r>
              <w:rPr>
                <w:rFonts w:ascii="Quicksand Medium" w:cs="Quicksand Medium" w:eastAsia="Quicksand Medium" w:hAnsi="Quicksand Medium"/>
                <w:color w:val="FFFFFF"/>
                <w:sz w:val="15"/>
                <w:szCs w:val="15"/>
              </w:rPr>
              <w:t xml:space="preserve">19x</w:t>
            </w:r>
          </w:p>
        </w:tc>
      </w:tr>
      <w:tr>
        <w:trPr>
          <w:cantSplit/>
        </w:trPr>
        <w:tc>
          <w:tcPr>
            <w:tcW w:type="dxa" w:w="76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Bear</w:t>
            </w:r>
          </w:p>
        </w:tc>
        <w:tc>
          <w:tcPr>
            <w:tcW w:type="dxa" w:w="10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€5.60</w:t>
            </w:r>
          </w:p>
        </w:tc>
        <w:tc>
          <w:tcPr>
            <w:tcW w:type="dxa" w:w="337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AI erodes pricing; EPS flat (−15% vs base)</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€61.6  (−26%)</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€78.4  (−6%)</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€106.4  (+27%)</w:t>
            </w:r>
          </w:p>
        </w:tc>
      </w:tr>
      <w:tr>
        <w:trPr>
          <w:cantSplit/>
        </w:trPr>
        <w:tc>
          <w:tcPr>
            <w:tcW w:type="dxa" w:w="76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Base</w:t>
            </w:r>
          </w:p>
        </w:tc>
        <w:tc>
          <w:tcPr>
            <w:tcW w:type="dxa" w:w="10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€6.55</w:t>
            </w:r>
          </w:p>
        </w:tc>
        <w:tc>
          <w:tcPr>
            <w:tcW w:type="dxa" w:w="3376"/>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Light" w:cs="Quicksand Light" w:eastAsia="Quicksand Light" w:hAnsi="Quicksand Light"/>
                <w:color w:val="000000"/>
                <w:sz w:val="16"/>
                <w:szCs w:val="16"/>
              </w:rPr>
              <w:t xml:space="preserve">Guidance delivered, then +8%</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€72.0  (−14%)</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€91.7  (+9%)</w:t>
            </w:r>
          </w:p>
        </w:tc>
        <w:tc>
          <w:tcPr>
            <w:tcW w:type="dxa" w:w="16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right"/>
            </w:pPr>
            <w:r>
              <w:rPr>
                <w:rFonts w:ascii="Quicksand Light" w:cs="Quicksand Light" w:eastAsia="Quicksand Light" w:hAnsi="Quicksand Light"/>
                <w:color w:val="000000"/>
                <w:sz w:val="16"/>
                <w:szCs w:val="16"/>
              </w:rPr>
              <w:t xml:space="preserve">€124.5  (+49%)</w:t>
            </w:r>
          </w:p>
        </w:tc>
      </w:tr>
      <w:tr>
        <w:trPr>
          <w:cantSplit/>
        </w:trPr>
        <w:tc>
          <w:tcPr>
            <w:tcW w:type="dxa" w:w="76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Bull</w:t>
            </w:r>
          </w:p>
        </w:tc>
        <w:tc>
          <w:tcPr>
            <w:tcW w:type="dxa" w:w="10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€6.75</w:t>
            </w:r>
          </w:p>
        </w:tc>
        <w:tc>
          <w:tcPr>
            <w:tcW w:type="dxa" w:w="3376"/>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Light" w:cs="Quicksand Light" w:eastAsia="Quicksand Light" w:hAnsi="Quicksand Light"/>
                <w:color w:val="000000"/>
                <w:sz w:val="16"/>
                <w:szCs w:val="16"/>
              </w:rPr>
              <w:t xml:space="preserve">AI add-ons lift pricing</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€74.2  (−11%)</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€94.5  (+13%)</w:t>
            </w:r>
          </w:p>
        </w:tc>
        <w:tc>
          <w:tcPr>
            <w:tcW w:type="dxa" w:w="1600"/>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right"/>
            </w:pPr>
            <w:r>
              <w:rPr>
                <w:rFonts w:ascii="Quicksand Light" w:cs="Quicksand Light" w:eastAsia="Quicksand Light" w:hAnsi="Quicksand Light"/>
                <w:color w:val="000000"/>
                <w:sz w:val="16"/>
                <w:szCs w:val="16"/>
              </w:rPr>
              <w:t xml:space="preserve">€128.2  (+53%)</w:t>
            </w:r>
          </w:p>
        </w:tc>
      </w:tr>
    </w:tbl>
    <w:p>
      <w:pPr>
        <w:keepLines/>
        <w:spacing w:after="60" w:before="0" w:line="240" w:lineRule="auto"/>
        <w:jc w:val="left"/>
      </w:pPr>
      <w:r>
        <w:rPr>
          <w:rFonts w:ascii="Quicksand Light" w:cs="Quicksand Light" w:eastAsia="Quicksand Light" w:hAnsi="Quicksand Light"/>
          <w:color w:val="615F59"/>
          <w:sz w:val="14"/>
          <w:szCs w:val="14"/>
        </w:rPr>
        <w:t xml:space="preserve">Twelve-month exit values (October 2027, on FY2028 EPS) against €83.80. Base cell 14x is close to today’s 13.9x on our 2027 EPS; 11x is the June trough. No probabilities assigned.</w:t>
      </w:r>
    </w:p>
    <w:p>
      <w:pPr>
        <w:keepLines/>
        <w:spacing w:after="70" w:before="0" w:line="240" w:lineRule="auto"/>
        <w:jc w:val="both"/>
      </w:pPr>
      <w:r>
        <w:rPr>
          <w:rFonts w:ascii="Quicksand Medium" w:cs="Quicksand Medium" w:eastAsia="Quicksand Medium" w:hAnsi="Quicksand Medium"/>
          <w:color w:val="000000"/>
          <w:sz w:val="18"/>
          <w:szCs w:val="18"/>
        </w:rPr>
        <w:t xml:space="preserve">Why the return compensates for the risk.</w:t>
      </w:r>
      <w:r>
        <w:rPr>
          <w:rFonts w:ascii="Quicksand Light" w:cs="Quicksand Light" w:eastAsia="Quicksand Light" w:hAnsi="Quicksand Light"/>
          <w:color w:val="000000"/>
          <w:sz w:val="18"/>
          <w:szCs w:val="18"/>
        </w:rPr>
        <w:t xml:space="preserve"> The base case earns about 13% (9.4% price plus 3.2% dividends, assuming €2.65 a year) without needing a re-rating. RELX at 20.5x shows what the market pays when growth holds up. A return to the June trough multiple on flat earnings would cost 26%, so the next two trading updates matter.</w:t>
      </w:r>
    </w:p>
    <w:p>
      <w:pPr>
        <w:keepNext/>
        <w:keepLines/>
        <w:spacing w:after="50" w:before="110"/>
      </w:pPr>
      <w:r>
        <w:rPr>
          <w:rFonts w:ascii="Agus Sans" w:cs="Agus Sans" w:eastAsia="Agus Sans" w:hAnsi="Agus Sans"/>
          <w:color w:val="790E17"/>
          <w:sz w:val="20"/>
          <w:szCs w:val="20"/>
        </w:rPr>
        <w:t xml:space="preserve">5  RED FLAGS AND PHILOSOPHY EXCEPTIONS</w:t>
      </w:r>
    </w:p>
    <w:p>
      <w:pPr>
        <w:keepLines/>
        <w:spacing w:after="70" w:before="0" w:line="240" w:lineRule="auto"/>
        <w:jc w:val="both"/>
      </w:pPr>
      <w:r>
        <w:rPr>
          <w:rFonts w:ascii="Quicksand Medium" w:cs="Quicksand Medium" w:eastAsia="Quicksand Medium" w:hAnsi="Quicksand Medium"/>
          <w:color w:val="000000"/>
          <w:sz w:val="18"/>
          <w:szCs w:val="18"/>
        </w:rPr>
        <w:t xml:space="preserve">Red flags.</w:t>
      </w:r>
      <w:r>
        <w:rPr>
          <w:rFonts w:ascii="Quicksand Light" w:cs="Quicksand Light" w:eastAsia="Quicksand Light" w:hAnsi="Quicksand Light"/>
          <w:color w:val="000000"/>
          <w:sz w:val="18"/>
          <w:szCs w:val="18"/>
        </w:rPr>
        <w:t xml:space="preserve"> (1) AI disruption, which early adoption data cannot rule out. (2) A buyback-thinned balance sheet. (3) Non-recurring revenue fell 3% in H1, and Corporate Performance &amp; ESG slowed </w:t>
      </w:r>
      <w:r>
        <w:rPr>
          <w:rFonts w:ascii="Quicksand Light" w:cs="Quicksand Light" w:eastAsia="Quicksand Light" w:hAnsi="Quicksand Light"/>
          <w:color w:val="615F59"/>
          <w:sz w:val="15"/>
          <w:szCs w:val="15"/>
        </w:rPr>
        <w:t xml:space="preserve">[</w:t>
      </w:r>
      <w:hyperlink w:history="1" w:anchor="src_W2">
        <w:r>
          <w:rPr>
            <w:rFonts w:ascii="Quicksand Light" w:cs="Quicksand Light" w:eastAsia="Quicksand Light" w:hAnsi="Quicksand Light"/>
            <w:color w:val="615F59"/>
            <w:sz w:val="15"/>
            <w:szCs w:val="15"/>
          </w:rPr>
          <w:t xml:space="preserve">W2</w:t>
        </w:r>
      </w:hyperlink>
      <w:r>
        <w:rPr>
          <w:rFonts w:ascii="Quicksand Light" w:cs="Quicksand Light" w:eastAsia="Quicksand Light" w:hAnsi="Quicksand Light"/>
          <w:color w:val="615F59"/>
          <w:sz w:val="15"/>
          <w:szCs w:val="15"/>
        </w:rPr>
        <w:t xml:space="preserve">]</w:t>
      </w:r>
      <w:r>
        <w:rPr>
          <w:rFonts w:ascii="Quicksand Light" w:cs="Quicksand Light" w:eastAsia="Quicksand Light" w:hAnsi="Quicksand Light"/>
          <w:color w:val="000000"/>
          <w:sz w:val="18"/>
          <w:szCs w:val="18"/>
        </w:rPr>
        <w:t xml:space="preserve">. </w:t>
      </w:r>
      <w:r>
        <w:rPr>
          <w:rFonts w:ascii="Quicksand Medium" w:cs="Quicksand Medium" w:eastAsia="Quicksand Medium" w:hAnsi="Quicksand Medium"/>
          <w:color w:val="000000"/>
          <w:sz w:val="18"/>
          <w:szCs w:val="18"/>
        </w:rPr>
        <w:t xml:space="preserve">Evidence that would invalidate the thesis:</w:t>
      </w:r>
      <w:r>
        <w:rPr>
          <w:rFonts w:ascii="Quicksand Light" w:cs="Quicksand Light" w:eastAsia="Quicksand Light" w:hAnsi="Quicksand Light"/>
          <w:color w:val="000000"/>
          <w:sz w:val="18"/>
          <w:szCs w:val="18"/>
        </w:rPr>
        <w:t xml:space="preserve"> recurring organic growth below 5%, or renewal rates below 90% in Health or Tax &amp; Accounting.</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68"/>
        <w:gridCol w:w="1700"/>
        <w:gridCol w:w="3268"/>
      </w:tblGrid>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EPS growth ≥10% a year</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C21A27"/>
                <w:sz w:val="15"/>
                <w:szCs w:val="15"/>
              </w:rPr>
              <w:t xml:space="preserve">FAIL</w:t>
            </w:r>
            <w:r>
              <w:rPr>
                <w:rFonts w:ascii="Quicksand Light" w:cs="Quicksand Light" w:eastAsia="Quicksand Light" w:hAnsi="Quicksand Light"/>
                <w:color w:val="000000"/>
                <w:sz w:val="15"/>
                <w:szCs w:val="15"/>
              </w:rPr>
              <w:t xml:space="preserve">  IFRS 2023 +2.0%; 2025 +24.8% only with the FRR gain </w:t>
            </w:r>
            <w:r>
              <w:rPr>
                <w:rFonts w:ascii="Quicksand Light" w:cs="Quicksand Light" w:eastAsia="Quicksand Light" w:hAnsi="Quicksand Light"/>
                <w:color w:val="615F59"/>
                <w:sz w:val="12"/>
                <w:szCs w:val="12"/>
              </w:rPr>
              <w:t xml:space="preserve">[</w:t>
            </w:r>
            <w:hyperlink w:history="1" w:anchor="src_W3">
              <w:r>
                <w:rPr>
                  <w:rFonts w:ascii="Quicksand Light" w:cs="Quicksand Light" w:eastAsia="Quicksand Light" w:hAnsi="Quicksand Light"/>
                  <w:color w:val="615F59"/>
                  <w:sz w:val="12"/>
                  <w:szCs w:val="12"/>
                </w:rPr>
                <w:t xml:space="preserve">W3</w:t>
              </w:r>
            </w:hyperlink>
            <w:r>
              <w:rPr>
                <w:rFonts w:ascii="Quicksand Light" w:cs="Quicksand Light" w:eastAsia="Quicksand Light" w:hAnsi="Quicksand Light"/>
                <w:color w:val="615F59"/>
                <w:sz w:val="12"/>
                <w:szCs w:val="12"/>
              </w:rPr>
              <w:t xml:space="preserve">]</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Net margin &gt;17.5%</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000000"/>
                <w:sz w:val="15"/>
                <w:szCs w:val="15"/>
              </w:rPr>
              <w:t xml:space="preserve">PASS</w:t>
            </w:r>
            <w:r>
              <w:rPr>
                <w:rFonts w:ascii="Quicksand Light" w:cs="Quicksand Light" w:eastAsia="Quicksand Light" w:hAnsi="Quicksand Light"/>
                <w:color w:val="000000"/>
                <w:sz w:val="15"/>
                <w:szCs w:val="15"/>
              </w:rPr>
              <w:t xml:space="preserve">  21.4% reported (17.6% excluding the gain)</w:t>
            </w:r>
          </w:p>
        </w:tc>
      </w:tr>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ROE &gt;15%</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000000"/>
                <w:sz w:val="15"/>
                <w:szCs w:val="15"/>
              </w:rPr>
              <w:t xml:space="preserve">PASS</w:t>
            </w:r>
            <w:r>
              <w:rPr>
                <w:rFonts w:ascii="Quicksand Light" w:cs="Quicksand Light" w:eastAsia="Quicksand Light" w:hAnsi="Quicksand Light"/>
                <w:color w:val="000000"/>
                <w:sz w:val="15"/>
                <w:szCs w:val="15"/>
              </w:rPr>
              <w:t xml:space="preserve">  about 112%, distorted by buyback-reduced equity</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Debt/equity &lt;1.5</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C21A27"/>
                <w:sz w:val="15"/>
                <w:szCs w:val="15"/>
              </w:rPr>
              <w:t xml:space="preserve">FAIL</w:t>
            </w:r>
            <w:r>
              <w:rPr>
                <w:rFonts w:ascii="Quicksand Light" w:cs="Quicksand Light" w:eastAsia="Quicksand Light" w:hAnsi="Quicksand Light"/>
                <w:color w:val="000000"/>
                <w:sz w:val="15"/>
                <w:szCs w:val="15"/>
              </w:rPr>
              <w:t xml:space="preserve">  6.0x (December 2025 borrowings €4.76bn ÷ equity €0.80bn) </w:t>
            </w:r>
            <w:r>
              <w:rPr>
                <w:rFonts w:ascii="Quicksand Light" w:cs="Quicksand Light" w:eastAsia="Quicksand Light" w:hAnsi="Quicksand Light"/>
                <w:color w:val="615F59"/>
                <w:sz w:val="12"/>
                <w:szCs w:val="12"/>
              </w:rPr>
              <w:t xml:space="preserve">[</w:t>
            </w:r>
            <w:hyperlink w:history="1" w:anchor="src_W4">
              <w:r>
                <w:rPr>
                  <w:rFonts w:ascii="Quicksand Light" w:cs="Quicksand Light" w:eastAsia="Quicksand Light" w:hAnsi="Quicksand Light"/>
                  <w:color w:val="615F59"/>
                  <w:sz w:val="12"/>
                  <w:szCs w:val="12"/>
                </w:rPr>
                <w:t xml:space="preserve">W4</w:t>
              </w:r>
            </w:hyperlink>
            <w:r>
              <w:rPr>
                <w:rFonts w:ascii="Quicksand Light" w:cs="Quicksand Light" w:eastAsia="Quicksand Light" w:hAnsi="Quicksand Light"/>
                <w:color w:val="615F59"/>
                <w:sz w:val="12"/>
                <w:szCs w:val="12"/>
              </w:rPr>
              <w:t xml:space="preserve">]</w:t>
            </w:r>
          </w:p>
        </w:tc>
      </w:tr>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Rising interest coverage</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C21A27"/>
                <w:sz w:val="15"/>
                <w:szCs w:val="15"/>
              </w:rPr>
              <w:t xml:space="preserve">FAIL</w:t>
            </w:r>
            <w:r>
              <w:rPr>
                <w:rFonts w:ascii="Quicksand Light" w:cs="Quicksand Light" w:eastAsia="Quicksand Light" w:hAnsi="Quicksand Light"/>
                <w:color w:val="000000"/>
                <w:sz w:val="15"/>
                <w:szCs w:val="15"/>
              </w:rPr>
              <w:t xml:space="preserve">  25x (2022), 55x (2023), 26x (2024), 20x (2025), on adjusted figures </w:t>
            </w:r>
            <w:r>
              <w:rPr>
                <w:rFonts w:ascii="Quicksand Light" w:cs="Quicksand Light" w:eastAsia="Quicksand Light" w:hAnsi="Quicksand Light"/>
                <w:color w:val="615F59"/>
                <w:sz w:val="12"/>
                <w:szCs w:val="12"/>
              </w:rPr>
              <w:t xml:space="preserve">[</w:t>
            </w:r>
            <w:hyperlink w:history="1" w:anchor="src_W1">
              <w:r>
                <w:rPr>
                  <w:rFonts w:ascii="Quicksand Light" w:cs="Quicksand Light" w:eastAsia="Quicksand Light" w:hAnsi="Quicksand Light"/>
                  <w:color w:val="615F59"/>
                  <w:sz w:val="12"/>
                  <w:szCs w:val="12"/>
                </w:rPr>
                <w:t xml:space="preserve">W1</w:t>
              </w:r>
            </w:hyperlink>
            <w:r>
              <w:rPr>
                <w:rFonts w:ascii="Quicksand Light" w:cs="Quicksand Light" w:eastAsia="Quicksand Light" w:hAnsi="Quicksand Light"/>
                <w:color w:val="615F59"/>
                <w:sz w:val="12"/>
                <w:szCs w:val="12"/>
              </w:rPr>
              <w:t xml:space="preserve">, </w:t>
            </w:r>
            <w:hyperlink w:history="1" w:anchor="src_W3">
              <w:r>
                <w:rPr>
                  <w:rFonts w:ascii="Quicksand Light" w:cs="Quicksand Light" w:eastAsia="Quicksand Light" w:hAnsi="Quicksand Light"/>
                  <w:color w:val="615F59"/>
                  <w:sz w:val="12"/>
                  <w:szCs w:val="12"/>
                </w:rPr>
                <w:t xml:space="preserve">W3</w:t>
              </w:r>
            </w:hyperlink>
            <w:r>
              <w:rPr>
                <w:rFonts w:ascii="Quicksand Light" w:cs="Quicksand Light" w:eastAsia="Quicksand Light" w:hAnsi="Quicksand Light"/>
                <w:color w:val="615F59"/>
                <w:sz w:val="12"/>
                <w:szCs w:val="12"/>
              </w:rPr>
              <w:t xml:space="preserve">]</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790E17"/>
                <w:sz w:val="15"/>
                <w:szCs w:val="15"/>
              </w:rPr>
              <w:t xml:space="preserve">Positive, growing FCF</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keepLines/>
              <w:spacing w:after="0" w:before="0" w:line="228"/>
              <w:jc w:val="left"/>
            </w:pPr>
            <w:r>
              <w:rPr>
                <w:rFonts w:ascii="Quicksand Medium" w:cs="Quicksand Medium" w:eastAsia="Quicksand Medium" w:hAnsi="Quicksand Medium"/>
                <w:color w:val="615F59"/>
                <w:sz w:val="15"/>
                <w:szCs w:val="15"/>
              </w:rPr>
              <w:t xml:space="preserve">UNVERIFIED</w:t>
            </w:r>
            <w:r>
              <w:rPr>
                <w:rFonts w:ascii="Quicksand Light" w:cs="Quicksand Light" w:eastAsia="Quicksand Light" w:hAnsi="Quicksand Light"/>
                <w:color w:val="000000"/>
                <w:sz w:val="15"/>
                <w:szCs w:val="15"/>
              </w:rPr>
              <w:t xml:space="preserve">  five-year series not rebuilt; 2026 guide €1.30–1.35bn vs €1.35bn in 2025</w:t>
            </w:r>
          </w:p>
        </w:tc>
      </w:tr>
      <w:tr>
        <w:trPr>
          <w:cantSplit/>
        </w:trPr>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790E17"/>
                <w:sz w:val="15"/>
                <w:szCs w:val="15"/>
              </w:rPr>
              <w:t xml:space="preserve">P/E below industry</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615F59"/>
                <w:sz w:val="15"/>
                <w:szCs w:val="15"/>
              </w:rPr>
              <w:t xml:space="preserve">UNVERIFIED</w:t>
            </w:r>
            <w:r>
              <w:rPr>
                <w:rFonts w:ascii="Quicksand Light" w:cs="Quicksand Light" w:eastAsia="Quicksand Light" w:hAnsi="Quicksand Light"/>
                <w:color w:val="000000"/>
                <w:sz w:val="15"/>
                <w:szCs w:val="15"/>
              </w:rPr>
              <w:t xml:space="preserve">  15.0x vs RELX 20.5x and Verisk 25.0x; no industry average</w:t>
            </w:r>
          </w:p>
        </w:tc>
        <w:tc>
          <w:tcPr>
            <w:tcW w:type="dxa" w:w="1700"/>
            <w:tcBorders>
              <w:top w:val="single" w:color="D9D9D9" w:sz="4"/>
              <w:left w:val="none" w:color="FFFFFF" w:sz="0"/>
              <w:bottom w:val="single" w:color="D9D9D9" w:sz="4"/>
              <w:right w:val="none" w:color="FFFFFF" w:sz="0"/>
            </w:tcBorders>
            <w:shd w:fill="F2F2F2" w:color="auto" w:val="clear"/>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790E17"/>
                <w:sz w:val="15"/>
                <w:szCs w:val="15"/>
              </w:rPr>
              <w:t xml:space="preserve">P/B below industry</w:t>
            </w:r>
          </w:p>
        </w:tc>
        <w:tc>
          <w:tcPr>
            <w:tcW w:type="dxa" w:w="3268"/>
            <w:tcBorders>
              <w:top w:val="single" w:color="D9D9D9" w:sz="4"/>
              <w:left w:val="none" w:color="FFFFFF" w:sz="0"/>
              <w:bottom w:val="single" w:color="D9D9D9" w:sz="4"/>
              <w:right w:val="none" w:color="FFFFFF" w:sz="0"/>
            </w:tcBorders>
            <w:tcMar>
              <w:top w:type="dxa" w:w="45"/>
              <w:left w:type="dxa" w:w="80"/>
              <w:bottom w:type="dxa" w:w="45"/>
              <w:right w:type="dxa" w:w="80"/>
            </w:tcMar>
            <w:vAlign w:val="center"/>
          </w:tcPr>
          <w:p>
            <w:pPr>
              <w:keepNext w:val="false"/>
              <w:keepLines/>
              <w:spacing w:after="0" w:before="0" w:line="228"/>
              <w:jc w:val="left"/>
            </w:pPr>
            <w:r>
              <w:rPr>
                <w:rFonts w:ascii="Quicksand Medium" w:cs="Quicksand Medium" w:eastAsia="Quicksand Medium" w:hAnsi="Quicksand Medium"/>
                <w:color w:val="615F59"/>
                <w:sz w:val="15"/>
                <w:szCs w:val="15"/>
              </w:rPr>
              <w:t xml:space="preserve">UNVERIFIED</w:t>
            </w:r>
            <w:r>
              <w:rPr>
                <w:rFonts w:ascii="Quicksand Light" w:cs="Quicksand Light" w:eastAsia="Quicksand Light" w:hAnsi="Quicksand Light"/>
                <w:color w:val="000000"/>
                <w:sz w:val="15"/>
                <w:szCs w:val="15"/>
              </w:rPr>
              <w:t xml:space="preserve">  about 24x; not meaningful after buybacks</w:t>
            </w:r>
          </w:p>
        </w:tc>
      </w:tr>
    </w:tbl>
    <w:p>
      <w:pPr>
        <w:keepLines/>
        <w:spacing w:after="60" w:before="0" w:line="240" w:lineRule="auto"/>
        <w:jc w:val="left"/>
      </w:pPr>
      <w:r>
        <w:rPr>
          <w:rFonts w:ascii="Quicksand Light" w:cs="Quicksand Light" w:eastAsia="Quicksand Light" w:hAnsi="Quicksand Light"/>
          <w:color w:val="615F59"/>
          <w:sz w:val="14"/>
          <w:szCs w:val="14"/>
        </w:rPr>
        <w:t xml:space="preserve">Same definitions as for Schneider Electric. The latest Wolters Kluwer balance sheet available to us is December 2025.</w:t>
      </w:r>
    </w:p>
    <w:p>
      <w:pPr>
        <w:keepNext/>
        <w:pageBreakBefore/>
        <w:spacing w:after="20" w:before="0"/>
      </w:pPr>
      <w:r>
        <w:rPr>
          <w:rFonts w:ascii="Agus Sans" w:cs="Agus Sans" w:eastAsia="Agus Sans" w:hAnsi="Agus Sans"/>
          <w:color w:val="C21A27"/>
          <w:sz w:val="30"/>
          <w:szCs w:val="30"/>
        </w:rPr>
        <w:t xml:space="preserve">SOURCES</w:t>
      </w:r>
    </w:p>
    <w:p>
      <w:pPr>
        <w:keepNext/>
        <w:pBdr>
          <w:bottom w:val="single" w:color="C21A27" w:sz="6" w:space="3"/>
        </w:pBdr>
        <w:spacing w:after="100" w:before="0"/>
      </w:pPr>
      <w:r>
        <w:rPr>
          <w:rFonts w:ascii="Agus Sans" w:cs="Agus Sans" w:eastAsia="Agus Sans" w:hAnsi="Agus Sans"/>
          <w:color w:val="615F59"/>
          <w:sz w:val="16"/>
          <w:szCs w:val="16"/>
        </w:rPr>
        <w:t xml:space="preserve">COMPANY FILINGS AND RELEASES ARE PRIMARY EVIDENCE; TRANSCRIPTS, PRESS SUMMARIES AND AGGREGATORS ARE SECONDARY</w:t>
      </w:r>
    </w:p>
    <w:p>
      <w:pPr>
        <w:keepNext/>
        <w:spacing w:after="10" w:before="40"/>
      </w:pPr>
      <w:r>
        <w:rPr>
          <w:rFonts w:ascii="Agus Sans" w:cs="Agus Sans" w:eastAsia="Agus Sans" w:hAnsi="Agus Sans"/>
          <w:color w:val="790E17"/>
          <w:sz w:val="15"/>
          <w:szCs w:val="15"/>
        </w:rPr>
        <w:t xml:space="preserve">JEME</w:t>
      </w:r>
    </w:p>
    <w:p>
      <w:pPr>
        <w:spacing w:after="6" w:before="0" w:line="204" w:lineRule="auto"/>
        <w:ind w:left="400" w:hanging="400"/>
      </w:pPr>
      <w:bookmarkStart w:name="src_J1" w:id="101"/>
      <w:r>
        <w:rPr>
          <w:rFonts w:ascii="Quicksand Medium" w:cs="Quicksand Medium" w:eastAsia="Quicksand Medium" w:hAnsi="Quicksand Medium"/>
          <w:color w:val="C21A27"/>
          <w:sz w:val="14"/>
          <w:szCs w:val="14"/>
        </w:rPr>
        <w:t xml:space="preserve">J1  </w:t>
      </w:r>
      <w:bookmarkEnd w:id="101"/>
      <w:r>
        <w:rPr>
          <w:rFonts w:ascii="Quicksand Light" w:cs="Quicksand Light" w:eastAsia="Quicksand Light" w:hAnsi="Quicksand Light"/>
          <w:color w:val="000000"/>
          <w:sz w:val="14"/>
          <w:szCs w:val="14"/>
        </w:rPr>
        <w:t xml:space="preserve">JEME Capital Investment Philosophy, section 3 (equity selection criteria). Attached PDF.</w:t>
      </w:r>
    </w:p>
    <w:p>
      <w:pPr>
        <w:keepNext/>
        <w:spacing w:after="10" w:before="40"/>
      </w:pPr>
      <w:r>
        <w:rPr>
          <w:rFonts w:ascii="Agus Sans" w:cs="Agus Sans" w:eastAsia="Agus Sans" w:hAnsi="Agus Sans"/>
          <w:color w:val="790E17"/>
          <w:sz w:val="15"/>
          <w:szCs w:val="15"/>
        </w:rPr>
        <w:t xml:space="preserve">INDUSTRY: AI DATA-CENTRE DEMAND</w:t>
      </w:r>
    </w:p>
    <w:p>
      <w:pPr>
        <w:spacing w:after="6" w:before="0" w:line="204" w:lineRule="auto"/>
        <w:ind w:left="400" w:hanging="400"/>
      </w:pPr>
      <w:bookmarkStart w:name="src_I1" w:id="102"/>
      <w:r>
        <w:rPr>
          <w:rFonts w:ascii="Quicksand Medium" w:cs="Quicksand Medium" w:eastAsia="Quicksand Medium" w:hAnsi="Quicksand Medium"/>
          <w:color w:val="C21A27"/>
          <w:sz w:val="14"/>
          <w:szCs w:val="14"/>
        </w:rPr>
        <w:t xml:space="preserve">I1  </w:t>
      </w:r>
      <w:bookmarkEnd w:id="102"/>
      <w:r>
        <w:rPr>
          <w:rFonts w:ascii="Quicksand Light" w:cs="Quicksand Light" w:eastAsia="Quicksand Light" w:hAnsi="Quicksand Light"/>
          <w:color w:val="000000"/>
          <w:sz w:val="14"/>
          <w:szCs w:val="14"/>
        </w:rPr>
        <w:t xml:space="preserve">IEA, Energy and AI, executive summary: data-centre electricity to about 945 TWh by 2030. </w:t>
      </w:r>
      <w:hyperlink w:history="1" r:id="rIdmuejgcvdq6zwsrmit15ds">
        <w:r>
          <w:rPr>
            <w:rFonts w:ascii="Quicksand Light" w:cs="Quicksand Light" w:eastAsia="Quicksand Light" w:hAnsi="Quicksand Light"/>
            <w:color w:val="C21A27"/>
            <w:sz w:val="13"/>
            <w:szCs w:val="13"/>
            <w:u w:val="single"/>
          </w:rPr>
          <w:t xml:space="preserve">iea.org link</w:t>
        </w:r>
      </w:hyperlink>
    </w:p>
    <w:p>
      <w:pPr>
        <w:spacing w:after="6" w:before="0" w:line="204" w:lineRule="auto"/>
        <w:ind w:left="400" w:hanging="400"/>
      </w:pPr>
      <w:bookmarkStart w:name="src_I2" w:id="103"/>
      <w:r>
        <w:rPr>
          <w:rFonts w:ascii="Quicksand Medium" w:cs="Quicksand Medium" w:eastAsia="Quicksand Medium" w:hAnsi="Quicksand Medium"/>
          <w:color w:val="C21A27"/>
          <w:sz w:val="14"/>
          <w:szCs w:val="14"/>
        </w:rPr>
        <w:t xml:space="preserve">I2  </w:t>
      </w:r>
      <w:bookmarkEnd w:id="103"/>
      <w:r>
        <w:rPr>
          <w:rFonts w:ascii="Quicksand Light" w:cs="Quicksand Light" w:eastAsia="Quicksand Light" w:hAnsi="Quicksand Light"/>
          <w:color w:val="000000"/>
          <w:sz w:val="14"/>
          <w:szCs w:val="14"/>
        </w:rPr>
        <w:t xml:space="preserve">24/7 Wall St, market report on AI-infrastructure stocks (22 October 2026). </w:t>
      </w:r>
      <w:hyperlink w:history="1" r:id="rIdmktmhwybss9luifsshg4b">
        <w:r>
          <w:rPr>
            <w:rFonts w:ascii="Quicksand Light" w:cs="Quicksand Light" w:eastAsia="Quicksand Light" w:hAnsi="Quicksand Light"/>
            <w:color w:val="C21A27"/>
            <w:sz w:val="13"/>
            <w:szCs w:val="13"/>
            <w:u w:val="single"/>
          </w:rPr>
          <w:t xml:space="preserve">247wallst.com link</w:t>
        </w:r>
      </w:hyperlink>
    </w:p>
    <w:p>
      <w:pPr>
        <w:spacing w:after="6" w:before="0" w:line="204" w:lineRule="auto"/>
        <w:ind w:left="400" w:hanging="400"/>
      </w:pPr>
      <w:bookmarkStart w:name="src_I3" w:id="104"/>
      <w:r>
        <w:rPr>
          <w:rFonts w:ascii="Quicksand Medium" w:cs="Quicksand Medium" w:eastAsia="Quicksand Medium" w:hAnsi="Quicksand Medium"/>
          <w:color w:val="C21A27"/>
          <w:sz w:val="14"/>
          <w:szCs w:val="14"/>
        </w:rPr>
        <w:t xml:space="preserve">I3  </w:t>
      </w:r>
      <w:bookmarkEnd w:id="104"/>
      <w:r>
        <w:rPr>
          <w:rFonts w:ascii="Quicksand Light" w:cs="Quicksand Light" w:eastAsia="Quicksand Light" w:hAnsi="Quicksand Light"/>
          <w:color w:val="000000"/>
          <w:sz w:val="14"/>
          <w:szCs w:val="14"/>
        </w:rPr>
        <w:t xml:space="preserve">Meta, third-quarter 2026 results (21 October 2026): 2026 capital expenditure outlook. </w:t>
      </w:r>
      <w:hyperlink w:history="1" r:id="rIdtciclkq5c-0ckbsiawpyd">
        <w:r>
          <w:rPr>
            <w:rFonts w:ascii="Quicksand Light" w:cs="Quicksand Light" w:eastAsia="Quicksand Light" w:hAnsi="Quicksand Light"/>
            <w:color w:val="C21A27"/>
            <w:sz w:val="13"/>
            <w:szCs w:val="13"/>
            <w:u w:val="single"/>
          </w:rPr>
          <w:t xml:space="preserve">investor.atmeta.com link</w:t>
        </w:r>
      </w:hyperlink>
    </w:p>
    <w:p>
      <w:pPr>
        <w:spacing w:after="6" w:before="0" w:line="204" w:lineRule="auto"/>
        <w:ind w:left="400" w:hanging="400"/>
      </w:pPr>
      <w:bookmarkStart w:name="src_I4" w:id="105"/>
      <w:r>
        <w:rPr>
          <w:rFonts w:ascii="Quicksand Medium" w:cs="Quicksand Medium" w:eastAsia="Quicksand Medium" w:hAnsi="Quicksand Medium"/>
          <w:color w:val="C21A27"/>
          <w:sz w:val="14"/>
          <w:szCs w:val="14"/>
        </w:rPr>
        <w:t xml:space="preserve">I4  </w:t>
      </w:r>
      <w:bookmarkEnd w:id="105"/>
      <w:r>
        <w:rPr>
          <w:rFonts w:ascii="Quicksand Light" w:cs="Quicksand Light" w:eastAsia="Quicksand Light" w:hAnsi="Quicksand Light"/>
          <w:color w:val="000000"/>
          <w:sz w:val="14"/>
          <w:szCs w:val="14"/>
        </w:rPr>
        <w:t xml:space="preserve">Alphabet, Q3 2026 results, Form 8-K Exhibit 99.1 (28 October 2026), and call commentary on 2026–27 capex. </w:t>
      </w:r>
      <w:hyperlink w:history="1" r:id="rIdzrz4rey8p718bfb2mghoa">
        <w:r>
          <w:rPr>
            <w:rFonts w:ascii="Quicksand Light" w:cs="Quicksand Light" w:eastAsia="Quicksand Light" w:hAnsi="Quicksand Light"/>
            <w:color w:val="C21A27"/>
            <w:sz w:val="13"/>
            <w:szCs w:val="13"/>
            <w:u w:val="single"/>
          </w:rPr>
          <w:t xml:space="preserve">sec.gov link</w:t>
        </w:r>
      </w:hyperlink>
    </w:p>
    <w:p>
      <w:pPr>
        <w:keepNext/>
        <w:spacing w:after="10" w:before="40"/>
      </w:pPr>
      <w:r>
        <w:rPr>
          <w:rFonts w:ascii="Agus Sans" w:cs="Agus Sans" w:eastAsia="Agus Sans" w:hAnsi="Agus Sans"/>
          <w:color w:val="790E17"/>
          <w:sz w:val="15"/>
          <w:szCs w:val="15"/>
        </w:rPr>
        <w:t xml:space="preserve">SCHNEIDER ELECTRIC</w:t>
      </w:r>
    </w:p>
    <w:p>
      <w:pPr>
        <w:spacing w:after="6" w:before="0" w:line="204" w:lineRule="auto"/>
        <w:ind w:left="400" w:hanging="400"/>
      </w:pPr>
      <w:bookmarkStart w:name="src_S1" w:id="106"/>
      <w:r>
        <w:rPr>
          <w:rFonts w:ascii="Quicksand Medium" w:cs="Quicksand Medium" w:eastAsia="Quicksand Medium" w:hAnsi="Quicksand Medium"/>
          <w:color w:val="C21A27"/>
          <w:sz w:val="14"/>
          <w:szCs w:val="14"/>
        </w:rPr>
        <w:t xml:space="preserve">S1  </w:t>
      </w:r>
      <w:bookmarkEnd w:id="106"/>
      <w:r>
        <w:rPr>
          <w:rFonts w:ascii="Quicksand Light" w:cs="Quicksand Light" w:eastAsia="Quicksand Light" w:hAnsi="Quicksand Light"/>
          <w:color w:val="000000"/>
          <w:sz w:val="14"/>
          <w:szCs w:val="14"/>
        </w:rPr>
        <w:t xml:space="preserve">Schneider Electric, 2025 full-year results release (26 February 2026): revenue, net income, EPS, FCF €4,635m (+10%), cash conversion. </w:t>
      </w:r>
      <w:hyperlink w:history="1" r:id="rIdfdc9vnbgdqs-cjnez4zar">
        <w:r>
          <w:rPr>
            <w:rFonts w:ascii="Quicksand Light" w:cs="Quicksand Light" w:eastAsia="Quicksand Light" w:hAnsi="Quicksand Light"/>
            <w:color w:val="C21A27"/>
            <w:sz w:val="13"/>
            <w:szCs w:val="13"/>
            <w:u w:val="single"/>
          </w:rPr>
          <w:t xml:space="preserve">se.com link</w:t>
        </w:r>
      </w:hyperlink>
    </w:p>
    <w:p>
      <w:pPr>
        <w:spacing w:after="6" w:before="0" w:line="204" w:lineRule="auto"/>
        <w:ind w:left="400" w:hanging="400"/>
      </w:pPr>
      <w:bookmarkStart w:name="src_S2" w:id="107"/>
      <w:r>
        <w:rPr>
          <w:rFonts w:ascii="Quicksand Medium" w:cs="Quicksand Medium" w:eastAsia="Quicksand Medium" w:hAnsi="Quicksand Medium"/>
          <w:color w:val="C21A27"/>
          <w:sz w:val="14"/>
          <w:szCs w:val="14"/>
        </w:rPr>
        <w:t xml:space="preserve">S2  </w:t>
      </w:r>
      <w:bookmarkEnd w:id="107"/>
      <w:r>
        <w:rPr>
          <w:rFonts w:ascii="Quicksand Light" w:cs="Quicksand Light" w:eastAsia="Quicksand Light" w:hAnsi="Quicksand Light"/>
          <w:color w:val="000000"/>
          <w:sz w:val="14"/>
          <w:szCs w:val="14"/>
        </w:rPr>
        <w:t xml:space="preserve">Schneider Electric, 2026 half-year results release (July 2026): net income, adjusted EPS, FCF, margin, net debt. </w:t>
      </w:r>
      <w:hyperlink w:history="1" r:id="rIdneqpiw8bv8xfwueiii0t_">
        <w:r>
          <w:rPr>
            <w:rFonts w:ascii="Quicksand Light" w:cs="Quicksand Light" w:eastAsia="Quicksand Light" w:hAnsi="Quicksand Light"/>
            <w:color w:val="C21A27"/>
            <w:sz w:val="13"/>
            <w:szCs w:val="13"/>
            <w:u w:val="single"/>
          </w:rPr>
          <w:t xml:space="preserve">se.com link</w:t>
        </w:r>
      </w:hyperlink>
    </w:p>
    <w:p>
      <w:pPr>
        <w:spacing w:after="6" w:before="0" w:line="204" w:lineRule="auto"/>
        <w:ind w:left="400" w:hanging="400"/>
      </w:pPr>
      <w:bookmarkStart w:name="src_S3" w:id="108"/>
      <w:r>
        <w:rPr>
          <w:rFonts w:ascii="Quicksand Medium" w:cs="Quicksand Medium" w:eastAsia="Quicksand Medium" w:hAnsi="Quicksand Medium"/>
          <w:color w:val="C21A27"/>
          <w:sz w:val="14"/>
          <w:szCs w:val="14"/>
        </w:rPr>
        <w:t xml:space="preserve">S3  </w:t>
      </w:r>
      <w:bookmarkEnd w:id="108"/>
      <w:r>
        <w:rPr>
          <w:rFonts w:ascii="Quicksand Light" w:cs="Quicksand Light" w:eastAsia="Quicksand Light" w:hAnsi="Quicksand Light"/>
          <w:color w:val="000000"/>
          <w:sz w:val="14"/>
          <w:szCs w:val="14"/>
        </w:rPr>
        <w:t xml:space="preserve">Schneider Electric, Q3 2026 revenues release (16 October 2026): organic growth by business, 2026 targets. </w:t>
      </w:r>
      <w:hyperlink w:history="1" r:id="rIdians8syhvitpoq8kdkbkz">
        <w:r>
          <w:rPr>
            <w:rFonts w:ascii="Quicksand Light" w:cs="Quicksand Light" w:eastAsia="Quicksand Light" w:hAnsi="Quicksand Light"/>
            <w:color w:val="C21A27"/>
            <w:sz w:val="13"/>
            <w:szCs w:val="13"/>
            <w:u w:val="single"/>
          </w:rPr>
          <w:t xml:space="preserve">se.com link</w:t>
        </w:r>
      </w:hyperlink>
    </w:p>
    <w:p>
      <w:pPr>
        <w:spacing w:after="6" w:before="0" w:line="204" w:lineRule="auto"/>
        <w:ind w:left="400" w:hanging="400"/>
      </w:pPr>
      <w:bookmarkStart w:name="src_S4" w:id="109"/>
      <w:r>
        <w:rPr>
          <w:rFonts w:ascii="Quicksand Medium" w:cs="Quicksand Medium" w:eastAsia="Quicksand Medium" w:hAnsi="Quicksand Medium"/>
          <w:color w:val="C21A27"/>
          <w:sz w:val="14"/>
          <w:szCs w:val="14"/>
        </w:rPr>
        <w:t xml:space="preserve">S4  </w:t>
      </w:r>
      <w:bookmarkEnd w:id="109"/>
      <w:r>
        <w:rPr>
          <w:rFonts w:ascii="Quicksand Light" w:cs="Quicksand Light" w:eastAsia="Quicksand Light" w:hAnsi="Quicksand Light"/>
          <w:color w:val="000000"/>
          <w:sz w:val="14"/>
          <w:szCs w:val="14"/>
        </w:rPr>
        <w:t xml:space="preserve">PTC / Schneider Electric, acquisition announcement (5 October 2026): price, financing plan, timing, accretion, synergies. </w:t>
      </w:r>
      <w:hyperlink w:history="1" r:id="rIdrhqi2crap9lwsrugwlkt_">
        <w:r>
          <w:rPr>
            <w:rFonts w:ascii="Quicksand Light" w:cs="Quicksand Light" w:eastAsia="Quicksand Light" w:hAnsi="Quicksand Light"/>
            <w:color w:val="C21A27"/>
            <w:sz w:val="13"/>
            <w:szCs w:val="13"/>
            <w:u w:val="single"/>
          </w:rPr>
          <w:t xml:space="preserve">ptc.com link</w:t>
        </w:r>
      </w:hyperlink>
    </w:p>
    <w:p>
      <w:pPr>
        <w:spacing w:after="6" w:before="0" w:line="204" w:lineRule="auto"/>
        <w:ind w:left="400" w:hanging="400"/>
      </w:pPr>
      <w:bookmarkStart w:name="src_S5" w:id="110"/>
      <w:r>
        <w:rPr>
          <w:rFonts w:ascii="Quicksand Medium" w:cs="Quicksand Medium" w:eastAsia="Quicksand Medium" w:hAnsi="Quicksand Medium"/>
          <w:color w:val="C21A27"/>
          <w:sz w:val="14"/>
          <w:szCs w:val="14"/>
        </w:rPr>
        <w:t xml:space="preserve">S5  </w:t>
      </w:r>
      <w:bookmarkEnd w:id="110"/>
      <w:r>
        <w:rPr>
          <w:rFonts w:ascii="Quicksand Light" w:cs="Quicksand Light" w:eastAsia="Quicksand Light" w:hAnsi="Quicksand Light"/>
          <w:color w:val="000000"/>
          <w:sz w:val="14"/>
          <w:szCs w:val="14"/>
        </w:rPr>
        <w:t xml:space="preserve">MarketScreener (Reuters), "Schneider Electric raises 2026 targets again" (16 October 2026): data-centre demand, backlog, visibility. </w:t>
      </w:r>
      <w:hyperlink w:history="1" r:id="rIduad2piq9otk6er9ailcbr">
        <w:r>
          <w:rPr>
            <w:rFonts w:ascii="Quicksand Light" w:cs="Quicksand Light" w:eastAsia="Quicksand Light" w:hAnsi="Quicksand Light"/>
            <w:color w:val="C21A27"/>
            <w:sz w:val="13"/>
            <w:szCs w:val="13"/>
            <w:u w:val="single"/>
          </w:rPr>
          <w:t xml:space="preserve">marketscreener.com link</w:t>
        </w:r>
      </w:hyperlink>
    </w:p>
    <w:p>
      <w:pPr>
        <w:spacing w:after="6" w:before="0" w:line="204" w:lineRule="auto"/>
        <w:ind w:left="400" w:hanging="400"/>
      </w:pPr>
      <w:bookmarkStart w:name="src_S6" w:id="111"/>
      <w:r>
        <w:rPr>
          <w:rFonts w:ascii="Quicksand Medium" w:cs="Quicksand Medium" w:eastAsia="Quicksand Medium" w:hAnsi="Quicksand Medium"/>
          <w:color w:val="C21A27"/>
          <w:sz w:val="14"/>
          <w:szCs w:val="14"/>
        </w:rPr>
        <w:t xml:space="preserve">S6  </w:t>
      </w:r>
      <w:bookmarkEnd w:id="111"/>
      <w:r>
        <w:rPr>
          <w:rFonts w:ascii="Quicksand Light" w:cs="Quicksand Light" w:eastAsia="Quicksand Light" w:hAnsi="Quicksand Light"/>
          <w:color w:val="000000"/>
          <w:sz w:val="14"/>
          <w:szCs w:val="14"/>
        </w:rPr>
        <w:t xml:space="preserve">Schneider Electric, broker consensus compiled after H1 2026 (11 August 2026). </w:t>
      </w:r>
      <w:hyperlink w:history="1" r:id="rIdbo4otcwuxgib6eel039pl">
        <w:r>
          <w:rPr>
            <w:rFonts w:ascii="Quicksand Light" w:cs="Quicksand Light" w:eastAsia="Quicksand Light" w:hAnsi="Quicksand Light"/>
            <w:color w:val="C21A27"/>
            <w:sz w:val="13"/>
            <w:szCs w:val="13"/>
            <w:u w:val="single"/>
          </w:rPr>
          <w:t xml:space="preserve">se.com link</w:t>
        </w:r>
      </w:hyperlink>
    </w:p>
    <w:p>
      <w:pPr>
        <w:spacing w:after="6" w:before="0" w:line="204" w:lineRule="auto"/>
        <w:ind w:left="400" w:hanging="400"/>
      </w:pPr>
      <w:bookmarkStart w:name="src_S7" w:id="112"/>
      <w:r>
        <w:rPr>
          <w:rFonts w:ascii="Quicksand Medium" w:cs="Quicksand Medium" w:eastAsia="Quicksand Medium" w:hAnsi="Quicksand Medium"/>
          <w:color w:val="C21A27"/>
          <w:sz w:val="14"/>
          <w:szCs w:val="14"/>
        </w:rPr>
        <w:t xml:space="preserve">S7  </w:t>
      </w:r>
      <w:bookmarkEnd w:id="112"/>
      <w:r>
        <w:rPr>
          <w:rFonts w:ascii="Quicksand Light" w:cs="Quicksand Light" w:eastAsia="Quicksand Light" w:hAnsi="Quicksand Light"/>
          <w:color w:val="000000"/>
          <w:sz w:val="14"/>
          <w:szCs w:val="14"/>
        </w:rPr>
        <w:t xml:space="preserve">Morningstar, Schneider earnings note: data centres about 29% of 2025 revenue (analyst estimate). </w:t>
      </w:r>
      <w:hyperlink w:history="1" r:id="rIdzf6rctzvnf8x1laoqbowd">
        <w:r>
          <w:rPr>
            <w:rFonts w:ascii="Quicksand Light" w:cs="Quicksand Light" w:eastAsia="Quicksand Light" w:hAnsi="Quicksand Light"/>
            <w:color w:val="C21A27"/>
            <w:sz w:val="13"/>
            <w:szCs w:val="13"/>
            <w:u w:val="single"/>
          </w:rPr>
          <w:t xml:space="preserve">morningstar.com link</w:t>
        </w:r>
      </w:hyperlink>
    </w:p>
    <w:p>
      <w:pPr>
        <w:spacing w:after="6" w:before="0" w:line="204" w:lineRule="auto"/>
        <w:ind w:left="400" w:hanging="400"/>
      </w:pPr>
      <w:bookmarkStart w:name="src_S8" w:id="113"/>
      <w:r>
        <w:rPr>
          <w:rFonts w:ascii="Quicksand Medium" w:cs="Quicksand Medium" w:eastAsia="Quicksand Medium" w:hAnsi="Quicksand Medium"/>
          <w:color w:val="C21A27"/>
          <w:sz w:val="14"/>
          <w:szCs w:val="14"/>
        </w:rPr>
        <w:t xml:space="preserve">S8  </w:t>
      </w:r>
      <w:bookmarkEnd w:id="113"/>
      <w:r>
        <w:rPr>
          <w:rFonts w:ascii="Quicksand Light" w:cs="Quicksand Light" w:eastAsia="Quicksand Light" w:hAnsi="Quicksand Light"/>
          <w:color w:val="000000"/>
          <w:sz w:val="14"/>
          <w:szCs w:val="14"/>
        </w:rPr>
        <w:t xml:space="preserve">Schneider Electric, 2025 full-year presentation: order mix by end market. </w:t>
      </w:r>
      <w:hyperlink w:history="1" r:id="rId6vyvjtehnd871hrpcthqh">
        <w:r>
          <w:rPr>
            <w:rFonts w:ascii="Quicksand Light" w:cs="Quicksand Light" w:eastAsia="Quicksand Light" w:hAnsi="Quicksand Light"/>
            <w:color w:val="C21A27"/>
            <w:sz w:val="13"/>
            <w:szCs w:val="13"/>
            <w:u w:val="single"/>
          </w:rPr>
          <w:t xml:space="preserve">se.com link</w:t>
        </w:r>
      </w:hyperlink>
    </w:p>
    <w:p>
      <w:pPr>
        <w:spacing w:after="6" w:before="0" w:line="204" w:lineRule="auto"/>
        <w:ind w:left="400" w:hanging="400"/>
      </w:pPr>
      <w:bookmarkStart w:name="src_S10" w:id="114"/>
      <w:r>
        <w:rPr>
          <w:rFonts w:ascii="Quicksand Medium" w:cs="Quicksand Medium" w:eastAsia="Quicksand Medium" w:hAnsi="Quicksand Medium"/>
          <w:color w:val="C21A27"/>
          <w:sz w:val="14"/>
          <w:szCs w:val="14"/>
        </w:rPr>
        <w:t xml:space="preserve">S10  </w:t>
      </w:r>
      <w:bookmarkEnd w:id="114"/>
      <w:r>
        <w:rPr>
          <w:rFonts w:ascii="Quicksand Light" w:cs="Quicksand Light" w:eastAsia="Quicksand Light" w:hAnsi="Quicksand Light"/>
          <w:color w:val="000000"/>
          <w:sz w:val="14"/>
          <w:szCs w:val="14"/>
        </w:rPr>
        <w:t xml:space="preserve">MarketScreener, Schneider Electric quotes: 28 October 2026 close €246.20. </w:t>
      </w:r>
      <w:hyperlink w:history="1" r:id="rIdk9s7t5kxuhrvv3qoqsfod">
        <w:r>
          <w:rPr>
            <w:rFonts w:ascii="Quicksand Light" w:cs="Quicksand Light" w:eastAsia="Quicksand Light" w:hAnsi="Quicksand Light"/>
            <w:color w:val="C21A27"/>
            <w:sz w:val="13"/>
            <w:szCs w:val="13"/>
            <w:u w:val="single"/>
          </w:rPr>
          <w:t xml:space="preserve">marketscreener.com link</w:t>
        </w:r>
      </w:hyperlink>
    </w:p>
    <w:p>
      <w:pPr>
        <w:spacing w:after="6" w:before="0" w:line="204" w:lineRule="auto"/>
        <w:ind w:left="400" w:hanging="400"/>
      </w:pPr>
      <w:bookmarkStart w:name="src_S11" w:id="115"/>
      <w:r>
        <w:rPr>
          <w:rFonts w:ascii="Quicksand Medium" w:cs="Quicksand Medium" w:eastAsia="Quicksand Medium" w:hAnsi="Quicksand Medium"/>
          <w:color w:val="C21A27"/>
          <w:sz w:val="14"/>
          <w:szCs w:val="14"/>
        </w:rPr>
        <w:t xml:space="preserve">S11  </w:t>
      </w:r>
      <w:bookmarkEnd w:id="115"/>
      <w:r>
        <w:rPr>
          <w:rFonts w:ascii="Quicksand Light" w:cs="Quicksand Light" w:eastAsia="Quicksand Light" w:hAnsi="Quicksand Light"/>
          <w:color w:val="000000"/>
          <w:sz w:val="14"/>
          <w:szCs w:val="14"/>
        </w:rPr>
        <w:t xml:space="preserve">Stock Analysis, Schneider Electric income statement: 2021–2025 net income and diluted EPS. </w:t>
      </w:r>
      <w:hyperlink w:history="1" r:id="rIdjcd-o_swpfxjxiz1renpr">
        <w:r>
          <w:rPr>
            <w:rFonts w:ascii="Quicksand Light" w:cs="Quicksand Light" w:eastAsia="Quicksand Light" w:hAnsi="Quicksand Light"/>
            <w:color w:val="C21A27"/>
            <w:sz w:val="13"/>
            <w:szCs w:val="13"/>
            <w:u w:val="single"/>
          </w:rPr>
          <w:t xml:space="preserve">stockanalysis.com link</w:t>
        </w:r>
      </w:hyperlink>
    </w:p>
    <w:p>
      <w:pPr>
        <w:spacing w:after="6" w:before="0" w:line="204" w:lineRule="auto"/>
        <w:ind w:left="400" w:hanging="400"/>
      </w:pPr>
      <w:bookmarkStart w:name="src_S12" w:id="116"/>
      <w:r>
        <w:rPr>
          <w:rFonts w:ascii="Quicksand Medium" w:cs="Quicksand Medium" w:eastAsia="Quicksand Medium" w:hAnsi="Quicksand Medium"/>
          <w:color w:val="C21A27"/>
          <w:sz w:val="14"/>
          <w:szCs w:val="14"/>
        </w:rPr>
        <w:t xml:space="preserve">S12  </w:t>
      </w:r>
      <w:bookmarkEnd w:id="116"/>
      <w:r>
        <w:rPr>
          <w:rFonts w:ascii="Quicksand Light" w:cs="Quicksand Light" w:eastAsia="Quicksand Light" w:hAnsi="Quicksand Light"/>
          <w:color w:val="000000"/>
          <w:sz w:val="14"/>
          <w:szCs w:val="14"/>
        </w:rPr>
        <w:t xml:space="preserve">PTC, fiscal 2025 results (5 November 2025): ARR $2.48bn. </w:t>
      </w:r>
      <w:hyperlink w:history="1" r:id="rId_ja1rinlzkjscsfjs3rum">
        <w:r>
          <w:rPr>
            <w:rFonts w:ascii="Quicksand Light" w:cs="Quicksand Light" w:eastAsia="Quicksand Light" w:hAnsi="Quicksand Light"/>
            <w:color w:val="C21A27"/>
            <w:sz w:val="13"/>
            <w:szCs w:val="13"/>
            <w:u w:val="single"/>
          </w:rPr>
          <w:t xml:space="preserve">ptc.com link</w:t>
        </w:r>
      </w:hyperlink>
    </w:p>
    <w:p>
      <w:pPr>
        <w:spacing w:after="6" w:before="0" w:line="204" w:lineRule="auto"/>
        <w:ind w:left="400" w:hanging="400"/>
      </w:pPr>
      <w:bookmarkStart w:name="src_S13" w:id="117"/>
      <w:r>
        <w:rPr>
          <w:rFonts w:ascii="Quicksand Medium" w:cs="Quicksand Medium" w:eastAsia="Quicksand Medium" w:hAnsi="Quicksand Medium"/>
          <w:color w:val="C21A27"/>
          <w:sz w:val="14"/>
          <w:szCs w:val="14"/>
        </w:rPr>
        <w:t xml:space="preserve">S13  </w:t>
      </w:r>
      <w:bookmarkEnd w:id="117"/>
      <w:r>
        <w:rPr>
          <w:rFonts w:ascii="Quicksand Light" w:cs="Quicksand Light" w:eastAsia="Quicksand Light" w:hAnsi="Quicksand Light"/>
          <w:color w:val="000000"/>
          <w:sz w:val="14"/>
          <w:szCs w:val="14"/>
        </w:rPr>
        <w:t xml:space="preserve">Schneider Electric, capital increase release (20 October 2026): 25,000,000 new shares at €240. </w:t>
      </w:r>
      <w:hyperlink w:history="1" r:id="rIdlc6vt5srovplo_ncnxnjx">
        <w:r>
          <w:rPr>
            <w:rFonts w:ascii="Quicksand Light" w:cs="Quicksand Light" w:eastAsia="Quicksand Light" w:hAnsi="Quicksand Light"/>
            <w:color w:val="C21A27"/>
            <w:sz w:val="13"/>
            <w:szCs w:val="13"/>
            <w:u w:val="single"/>
          </w:rPr>
          <w:t xml:space="preserve">se.com link</w:t>
        </w:r>
      </w:hyperlink>
    </w:p>
    <w:p>
      <w:pPr>
        <w:spacing w:after="6" w:before="0" w:line="204" w:lineRule="auto"/>
        <w:ind w:left="400" w:hanging="400"/>
      </w:pPr>
      <w:bookmarkStart w:name="src_S14" w:id="118"/>
      <w:r>
        <w:rPr>
          <w:rFonts w:ascii="Quicksand Medium" w:cs="Quicksand Medium" w:eastAsia="Quicksand Medium" w:hAnsi="Quicksand Medium"/>
          <w:color w:val="C21A27"/>
          <w:sz w:val="14"/>
          <w:szCs w:val="14"/>
        </w:rPr>
        <w:t xml:space="preserve">S14  </w:t>
      </w:r>
      <w:bookmarkEnd w:id="118"/>
      <w:r>
        <w:rPr>
          <w:rFonts w:ascii="Quicksand Light" w:cs="Quicksand Light" w:eastAsia="Quicksand Light" w:hAnsi="Quicksand Light"/>
          <w:color w:val="000000"/>
          <w:sz w:val="14"/>
          <w:szCs w:val="14"/>
        </w:rPr>
        <w:t xml:space="preserve">Finanzwire, "Successful issue of a €6.0 billion bond as part of the financing of the PTC acquisition" (October 2026): tranches and coupons. </w:t>
      </w:r>
      <w:hyperlink w:history="1" r:id="rIdv29kt3chrd7t82pfxgtde">
        <w:r>
          <w:rPr>
            <w:rFonts w:ascii="Quicksand Light" w:cs="Quicksand Light" w:eastAsia="Quicksand Light" w:hAnsi="Quicksand Light"/>
            <w:color w:val="C21A27"/>
            <w:sz w:val="13"/>
            <w:szCs w:val="13"/>
            <w:u w:val="single"/>
          </w:rPr>
          <w:t xml:space="preserve">finanzwire.com link</w:t>
        </w:r>
      </w:hyperlink>
    </w:p>
    <w:p>
      <w:pPr>
        <w:spacing w:after="6" w:before="0" w:line="204" w:lineRule="auto"/>
        <w:ind w:left="400" w:hanging="400"/>
      </w:pPr>
      <w:bookmarkStart w:name="src_S15" w:id="119"/>
      <w:r>
        <w:rPr>
          <w:rFonts w:ascii="Quicksand Medium" w:cs="Quicksand Medium" w:eastAsia="Quicksand Medium" w:hAnsi="Quicksand Medium"/>
          <w:color w:val="C21A27"/>
          <w:sz w:val="14"/>
          <w:szCs w:val="14"/>
        </w:rPr>
        <w:t xml:space="preserve">S15  </w:t>
      </w:r>
      <w:bookmarkEnd w:id="119"/>
      <w:r>
        <w:rPr>
          <w:rFonts w:ascii="Quicksand Light" w:cs="Quicksand Light" w:eastAsia="Quicksand Light" w:hAnsi="Quicksand Light"/>
          <w:color w:val="000000"/>
          <w:sz w:val="14"/>
          <w:szCs w:val="14"/>
        </w:rPr>
        <w:t xml:space="preserve">Schneider Electric, 2023 full-year presentation: free cash flow €4.6bn. </w:t>
      </w:r>
      <w:hyperlink w:history="1" r:id="rIdwnypx_3ggy2ep5mxt_4ze">
        <w:r>
          <w:rPr>
            <w:rFonts w:ascii="Quicksand Light" w:cs="Quicksand Light" w:eastAsia="Quicksand Light" w:hAnsi="Quicksand Light"/>
            <w:color w:val="C21A27"/>
            <w:sz w:val="13"/>
            <w:szCs w:val="13"/>
            <w:u w:val="single"/>
          </w:rPr>
          <w:t xml:space="preserve">se.com link</w:t>
        </w:r>
      </w:hyperlink>
    </w:p>
    <w:p>
      <w:pPr>
        <w:spacing w:after="6" w:before="0" w:line="204" w:lineRule="auto"/>
        <w:ind w:left="400" w:hanging="400"/>
      </w:pPr>
      <w:bookmarkStart w:name="src_S16" w:id="120"/>
      <w:r>
        <w:rPr>
          <w:rFonts w:ascii="Quicksand Medium" w:cs="Quicksand Medium" w:eastAsia="Quicksand Medium" w:hAnsi="Quicksand Medium"/>
          <w:color w:val="C21A27"/>
          <w:sz w:val="14"/>
          <w:szCs w:val="14"/>
        </w:rPr>
        <w:t xml:space="preserve">S16  </w:t>
      </w:r>
      <w:bookmarkEnd w:id="120"/>
      <w:r>
        <w:rPr>
          <w:rFonts w:ascii="Quicksand Light" w:cs="Quicksand Light" w:eastAsia="Quicksand Light" w:hAnsi="Quicksand Light"/>
          <w:color w:val="000000"/>
          <w:sz w:val="14"/>
          <w:szCs w:val="14"/>
        </w:rPr>
        <w:t xml:space="preserve">Schneider Electric, 2024 consolidated financial statements: equity attributable to owners (restated €30,416m in the 2026 interim). </w:t>
      </w:r>
      <w:hyperlink w:history="1" r:id="rIdmgggxejcyoutvmdfbs64h">
        <w:r>
          <w:rPr>
            <w:rFonts w:ascii="Quicksand Light" w:cs="Quicksand Light" w:eastAsia="Quicksand Light" w:hAnsi="Quicksand Light"/>
            <w:color w:val="C21A27"/>
            <w:sz w:val="13"/>
            <w:szCs w:val="13"/>
            <w:u w:val="single"/>
          </w:rPr>
          <w:t xml:space="preserve">se.com link</w:t>
        </w:r>
      </w:hyperlink>
    </w:p>
    <w:p>
      <w:pPr>
        <w:spacing w:after="6" w:before="0" w:line="204" w:lineRule="auto"/>
        <w:ind w:left="400" w:hanging="400"/>
      </w:pPr>
      <w:bookmarkStart w:name="src_S17" w:id="121"/>
      <w:r>
        <w:rPr>
          <w:rFonts w:ascii="Quicksand Medium" w:cs="Quicksand Medium" w:eastAsia="Quicksand Medium" w:hAnsi="Quicksand Medium"/>
          <w:color w:val="C21A27"/>
          <w:sz w:val="14"/>
          <w:szCs w:val="14"/>
        </w:rPr>
        <w:t xml:space="preserve">S17  </w:t>
      </w:r>
      <w:bookmarkEnd w:id="121"/>
      <w:r>
        <w:rPr>
          <w:rFonts w:ascii="Quicksand Light" w:cs="Quicksand Light" w:eastAsia="Quicksand Light" w:hAnsi="Quicksand Light"/>
          <w:color w:val="000000"/>
          <w:sz w:val="14"/>
          <w:szCs w:val="14"/>
        </w:rPr>
        <w:t xml:space="preserve">MarketScreener, Schneider Electric 2026 half-year financial statements, Note 15: financial liabilities €19,390m. </w:t>
      </w:r>
      <w:hyperlink w:history="1" r:id="rIdcdipwox-hzuxnm3-ysahp">
        <w:r>
          <w:rPr>
            <w:rFonts w:ascii="Quicksand Light" w:cs="Quicksand Light" w:eastAsia="Quicksand Light" w:hAnsi="Quicksand Light"/>
            <w:color w:val="C21A27"/>
            <w:sz w:val="13"/>
            <w:szCs w:val="13"/>
            <w:u w:val="single"/>
          </w:rPr>
          <w:t xml:space="preserve">marketscreener.com link</w:t>
        </w:r>
      </w:hyperlink>
    </w:p>
    <w:p>
      <w:pPr>
        <w:spacing w:after="6" w:before="0" w:line="204" w:lineRule="auto"/>
        <w:ind w:left="400" w:hanging="400"/>
      </w:pPr>
      <w:bookmarkStart w:name="src_S18" w:id="122"/>
      <w:r>
        <w:rPr>
          <w:rFonts w:ascii="Quicksand Medium" w:cs="Quicksand Medium" w:eastAsia="Quicksand Medium" w:hAnsi="Quicksand Medium"/>
          <w:color w:val="C21A27"/>
          <w:sz w:val="14"/>
          <w:szCs w:val="14"/>
        </w:rPr>
        <w:t xml:space="preserve">S18  </w:t>
      </w:r>
      <w:bookmarkEnd w:id="122"/>
      <w:r>
        <w:rPr>
          <w:rFonts w:ascii="Quicksand Light" w:cs="Quicksand Light" w:eastAsia="Quicksand Light" w:hAnsi="Quicksand Light"/>
          <w:color w:val="000000"/>
          <w:sz w:val="14"/>
          <w:szCs w:val="14"/>
        </w:rPr>
        <w:t xml:space="preserve">PTC, fiscal 2025 results, Form 8-K Exhibit 99.1: revenue $2,739m. </w:t>
      </w:r>
      <w:hyperlink w:history="1" r:id="rIdsfi90yulb5rek0tarn1qr">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S19" w:id="123"/>
      <w:r>
        <w:rPr>
          <w:rFonts w:ascii="Quicksand Medium" w:cs="Quicksand Medium" w:eastAsia="Quicksand Medium" w:hAnsi="Quicksand Medium"/>
          <w:color w:val="C21A27"/>
          <w:sz w:val="14"/>
          <w:szCs w:val="14"/>
        </w:rPr>
        <w:t xml:space="preserve">S19  </w:t>
      </w:r>
      <w:bookmarkEnd w:id="123"/>
      <w:r>
        <w:rPr>
          <w:rFonts w:ascii="Quicksand Light" w:cs="Quicksand Light" w:eastAsia="Quicksand Light" w:hAnsi="Quicksand Light"/>
          <w:color w:val="000000"/>
          <w:sz w:val="14"/>
          <w:szCs w:val="14"/>
        </w:rPr>
        <w:t xml:space="preserve">Investing.com, Schneider Electric earnings calendar (next results 18 February 2027) and Yahoo Finance analyst estimates. </w:t>
      </w:r>
      <w:hyperlink w:history="1" r:id="rIdyk1226qcqogwidkaq4fot">
        <w:r>
          <w:rPr>
            <w:rFonts w:ascii="Quicksand Light" w:cs="Quicksand Light" w:eastAsia="Quicksand Light" w:hAnsi="Quicksand Light"/>
            <w:color w:val="C21A27"/>
            <w:sz w:val="13"/>
            <w:szCs w:val="13"/>
            <w:u w:val="single"/>
          </w:rPr>
          <w:t xml:space="preserve">investing.com link</w:t>
        </w:r>
      </w:hyperlink>
    </w:p>
    <w:p>
      <w:pPr>
        <w:spacing w:after="6" w:before="0" w:line="204" w:lineRule="auto"/>
        <w:ind w:left="400" w:hanging="400"/>
      </w:pPr>
      <w:bookmarkStart w:name="src_E1" w:id="124"/>
      <w:r>
        <w:rPr>
          <w:rFonts w:ascii="Quicksand Medium" w:cs="Quicksand Medium" w:eastAsia="Quicksand Medium" w:hAnsi="Quicksand Medium"/>
          <w:color w:val="C21A27"/>
          <w:sz w:val="14"/>
          <w:szCs w:val="14"/>
        </w:rPr>
        <w:t xml:space="preserve">E1  </w:t>
      </w:r>
      <w:bookmarkEnd w:id="124"/>
      <w:r>
        <w:rPr>
          <w:rFonts w:ascii="Quicksand Light" w:cs="Quicksand Light" w:eastAsia="Quicksand Light" w:hAnsi="Quicksand Light"/>
          <w:color w:val="000000"/>
          <w:sz w:val="14"/>
          <w:szCs w:val="14"/>
        </w:rPr>
        <w:t xml:space="preserve">Eaton, Q2 2026 results, Form 8-K Exhibit 99 (31 July 2026): 2026 adjusted EPS guidance $13.40–13.60. </w:t>
      </w:r>
      <w:hyperlink w:history="1" r:id="rIdtraj15m9pvucmugvfks-w">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E2" w:id="125"/>
      <w:r>
        <w:rPr>
          <w:rFonts w:ascii="Quicksand Medium" w:cs="Quicksand Medium" w:eastAsia="Quicksand Medium" w:hAnsi="Quicksand Medium"/>
          <w:color w:val="C21A27"/>
          <w:sz w:val="14"/>
          <w:szCs w:val="14"/>
        </w:rPr>
        <w:t xml:space="preserve">E2  </w:t>
      </w:r>
      <w:bookmarkEnd w:id="125"/>
      <w:r>
        <w:rPr>
          <w:rFonts w:ascii="Quicksand Light" w:cs="Quicksand Light" w:eastAsia="Quicksand Light" w:hAnsi="Quicksand Light"/>
          <w:color w:val="000000"/>
          <w:sz w:val="14"/>
          <w:szCs w:val="14"/>
        </w:rPr>
        <w:t xml:space="preserve">Hubbell, Q3 2026 results, Form 8-K Exhibit 99.1 (27 October 2026): 2026 adjusted EPS guidance $20.40–20.60. </w:t>
      </w:r>
      <w:hyperlink w:history="1" r:id="rIdrsbz-tjyj6nxt45iac8ip">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E3" w:id="126"/>
      <w:r>
        <w:rPr>
          <w:rFonts w:ascii="Quicksand Medium" w:cs="Quicksand Medium" w:eastAsia="Quicksand Medium" w:hAnsi="Quicksand Medium"/>
          <w:color w:val="C21A27"/>
          <w:sz w:val="14"/>
          <w:szCs w:val="14"/>
        </w:rPr>
        <w:t xml:space="preserve">E3  </w:t>
      </w:r>
      <w:bookmarkEnd w:id="126"/>
      <w:r>
        <w:rPr>
          <w:rFonts w:ascii="Quicksand Light" w:cs="Quicksand Light" w:eastAsia="Quicksand Light" w:hAnsi="Quicksand Light"/>
          <w:color w:val="000000"/>
          <w:sz w:val="14"/>
          <w:szCs w:val="14"/>
        </w:rPr>
        <w:t xml:space="preserve">Vertiv, Q3 2026 results, Form 8-K Exhibit 99.1 (28 October 2026): 2026 adjusted EPS guidance $7.15. </w:t>
      </w:r>
      <w:hyperlink w:history="1" r:id="rIddj1au33uorjtfjfplhfli">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E4" w:id="127"/>
      <w:r>
        <w:rPr>
          <w:rFonts w:ascii="Quicksand Medium" w:cs="Quicksand Medium" w:eastAsia="Quicksand Medium" w:hAnsi="Quicksand Medium"/>
          <w:color w:val="C21A27"/>
          <w:sz w:val="14"/>
          <w:szCs w:val="14"/>
        </w:rPr>
        <w:t xml:space="preserve">E4  </w:t>
      </w:r>
      <w:bookmarkEnd w:id="127"/>
      <w:r>
        <w:rPr>
          <w:rFonts w:ascii="Quicksand Light" w:cs="Quicksand Light" w:eastAsia="Quicksand Light" w:hAnsi="Quicksand Light"/>
          <w:color w:val="000000"/>
          <w:sz w:val="14"/>
          <w:szCs w:val="14"/>
        </w:rPr>
        <w:t xml:space="preserve">MarketChameleon, Eaton: 28 October 2026 close $392.88. </w:t>
      </w:r>
      <w:hyperlink w:history="1" r:id="rIdq3zgowvziqortlhxazu7q">
        <w:r>
          <w:rPr>
            <w:rFonts w:ascii="Quicksand Light" w:cs="Quicksand Light" w:eastAsia="Quicksand Light" w:hAnsi="Quicksand Light"/>
            <w:color w:val="C21A27"/>
            <w:sz w:val="13"/>
            <w:szCs w:val="13"/>
            <w:u w:val="single"/>
          </w:rPr>
          <w:t xml:space="preserve">marketchameleon.com link</w:t>
        </w:r>
      </w:hyperlink>
    </w:p>
    <w:p>
      <w:pPr>
        <w:spacing w:after="6" w:before="0" w:line="204" w:lineRule="auto"/>
        <w:ind w:left="400" w:hanging="400"/>
      </w:pPr>
      <w:bookmarkStart w:name="src_E5" w:id="128"/>
      <w:r>
        <w:rPr>
          <w:rFonts w:ascii="Quicksand Medium" w:cs="Quicksand Medium" w:eastAsia="Quicksand Medium" w:hAnsi="Quicksand Medium"/>
          <w:color w:val="C21A27"/>
          <w:sz w:val="14"/>
          <w:szCs w:val="14"/>
        </w:rPr>
        <w:t xml:space="preserve">E5  </w:t>
      </w:r>
      <w:bookmarkEnd w:id="128"/>
      <w:r>
        <w:rPr>
          <w:rFonts w:ascii="Quicksand Light" w:cs="Quicksand Light" w:eastAsia="Quicksand Light" w:hAnsi="Quicksand Light"/>
          <w:color w:val="000000"/>
          <w:sz w:val="14"/>
          <w:szCs w:val="14"/>
        </w:rPr>
        <w:t xml:space="preserve">HeyGoTrade, Hubbell: 28 October 2026 close $437.33. </w:t>
      </w:r>
      <w:hyperlink w:history="1" r:id="rIdatrwzao_hseiuhlc8993n">
        <w:r>
          <w:rPr>
            <w:rFonts w:ascii="Quicksand Light" w:cs="Quicksand Light" w:eastAsia="Quicksand Light" w:hAnsi="Quicksand Light"/>
            <w:color w:val="C21A27"/>
            <w:sz w:val="13"/>
            <w:szCs w:val="13"/>
            <w:u w:val="single"/>
          </w:rPr>
          <w:t xml:space="preserve">heygotrade.com link</w:t>
        </w:r>
      </w:hyperlink>
    </w:p>
    <w:p>
      <w:pPr>
        <w:spacing w:after="6" w:before="0" w:line="204" w:lineRule="auto"/>
        <w:ind w:left="400" w:hanging="400"/>
      </w:pPr>
      <w:bookmarkStart w:name="src_E6" w:id="129"/>
      <w:r>
        <w:rPr>
          <w:rFonts w:ascii="Quicksand Medium" w:cs="Quicksand Medium" w:eastAsia="Quicksand Medium" w:hAnsi="Quicksand Medium"/>
          <w:color w:val="C21A27"/>
          <w:sz w:val="14"/>
          <w:szCs w:val="14"/>
        </w:rPr>
        <w:t xml:space="preserve">E6  </w:t>
      </w:r>
      <w:bookmarkEnd w:id="129"/>
      <w:r>
        <w:rPr>
          <w:rFonts w:ascii="Quicksand Light" w:cs="Quicksand Light" w:eastAsia="Quicksand Light" w:hAnsi="Quicksand Light"/>
          <w:color w:val="000000"/>
          <w:sz w:val="14"/>
          <w:szCs w:val="14"/>
        </w:rPr>
        <w:t xml:space="preserve">Stock Analysis, Vertiv: 28 October 2026 close $242.94. </w:t>
      </w:r>
      <w:hyperlink w:history="1" r:id="rIdp3flliyccina-v4etvv9h">
        <w:r>
          <w:rPr>
            <w:rFonts w:ascii="Quicksand Light" w:cs="Quicksand Light" w:eastAsia="Quicksand Light" w:hAnsi="Quicksand Light"/>
            <w:color w:val="C21A27"/>
            <w:sz w:val="13"/>
            <w:szCs w:val="13"/>
            <w:u w:val="single"/>
          </w:rPr>
          <w:t xml:space="preserve">stockanalysis.com link</w:t>
        </w:r>
      </w:hyperlink>
    </w:p>
    <w:p>
      <w:pPr>
        <w:keepNext/>
        <w:spacing w:after="10" w:before="40"/>
      </w:pPr>
      <w:r>
        <w:rPr>
          <w:rFonts w:ascii="Agus Sans" w:cs="Agus Sans" w:eastAsia="Agus Sans" w:hAnsi="Agus Sans"/>
          <w:color w:val="790E17"/>
          <w:sz w:val="15"/>
          <w:szCs w:val="15"/>
        </w:rPr>
        <w:t xml:space="preserve">HOWMET AEROSPACE AND AEROSPACE DEMAND</w:t>
      </w:r>
    </w:p>
    <w:p>
      <w:pPr>
        <w:spacing w:after="6" w:before="0" w:line="204" w:lineRule="auto"/>
        <w:ind w:left="400" w:hanging="400"/>
      </w:pPr>
      <w:bookmarkStart w:name="src_H1" w:id="130"/>
      <w:r>
        <w:rPr>
          <w:rFonts w:ascii="Quicksand Medium" w:cs="Quicksand Medium" w:eastAsia="Quicksand Medium" w:hAnsi="Quicksand Medium"/>
          <w:color w:val="C21A27"/>
          <w:sz w:val="14"/>
          <w:szCs w:val="14"/>
        </w:rPr>
        <w:t xml:space="preserve">H1  </w:t>
      </w:r>
      <w:bookmarkEnd w:id="130"/>
      <w:r>
        <w:rPr>
          <w:rFonts w:ascii="Quicksand Light" w:cs="Quicksand Light" w:eastAsia="Quicksand Light" w:hAnsi="Quicksand Light"/>
          <w:color w:val="000000"/>
          <w:sz w:val="14"/>
          <w:szCs w:val="14"/>
        </w:rPr>
        <w:t xml:space="preserve">Howmet, Q3 2026 results, Form 8-K Exhibit 99.1 (29 October 2026): segments, EPS, FCF, buybacks, 2027 outlook. </w:t>
      </w:r>
      <w:hyperlink w:history="1" r:id="rId3ltuxbodzvwcso20we-pq">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H2" w:id="131"/>
      <w:r>
        <w:rPr>
          <w:rFonts w:ascii="Quicksand Medium" w:cs="Quicksand Medium" w:eastAsia="Quicksand Medium" w:hAnsi="Quicksand Medium"/>
          <w:color w:val="C21A27"/>
          <w:sz w:val="14"/>
          <w:szCs w:val="14"/>
        </w:rPr>
        <w:t xml:space="preserve">H2  </w:t>
      </w:r>
      <w:bookmarkEnd w:id="131"/>
      <w:r>
        <w:rPr>
          <w:rFonts w:ascii="Quicksand Light" w:cs="Quicksand Light" w:eastAsia="Quicksand Light" w:hAnsi="Quicksand Light"/>
          <w:color w:val="000000"/>
          <w:sz w:val="14"/>
          <w:szCs w:val="14"/>
        </w:rPr>
        <w:t xml:space="preserve">Howmet, full-year 2025 results (12 February 2026): revenue, EPS, adjusted EPS, FCF, capex. </w:t>
      </w:r>
      <w:hyperlink w:history="1" r:id="rIdwpqneo9u55rut0lsujxus">
        <w:r>
          <w:rPr>
            <w:rFonts w:ascii="Quicksand Light" w:cs="Quicksand Light" w:eastAsia="Quicksand Light" w:hAnsi="Quicksand Light"/>
            <w:color w:val="C21A27"/>
            <w:sz w:val="13"/>
            <w:szCs w:val="13"/>
            <w:u w:val="single"/>
          </w:rPr>
          <w:t xml:space="preserve">howmet.com link</w:t>
        </w:r>
      </w:hyperlink>
    </w:p>
    <w:p>
      <w:pPr>
        <w:spacing w:after="6" w:before="0" w:line="204" w:lineRule="auto"/>
        <w:ind w:left="400" w:hanging="400"/>
      </w:pPr>
      <w:bookmarkStart w:name="src_H3" w:id="132"/>
      <w:r>
        <w:rPr>
          <w:rFonts w:ascii="Quicksand Medium" w:cs="Quicksand Medium" w:eastAsia="Quicksand Medium" w:hAnsi="Quicksand Medium"/>
          <w:color w:val="C21A27"/>
          <w:sz w:val="14"/>
          <w:szCs w:val="14"/>
        </w:rPr>
        <w:t xml:space="preserve">H3  </w:t>
      </w:r>
      <w:bookmarkEnd w:id="132"/>
      <w:r>
        <w:rPr>
          <w:rFonts w:ascii="Quicksand Light" w:cs="Quicksand Light" w:eastAsia="Quicksand Light" w:hAnsi="Quicksand Light"/>
          <w:color w:val="000000"/>
          <w:sz w:val="14"/>
          <w:szCs w:val="14"/>
        </w:rPr>
        <w:t xml:space="preserve">Howmet, Form 10-K for 2025: balance sheet and interest expense. </w:t>
      </w:r>
      <w:hyperlink w:history="1" r:id="rIdmlymxigjdfszxf5kqmblj">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H4" w:id="133"/>
      <w:r>
        <w:rPr>
          <w:rFonts w:ascii="Quicksand Medium" w:cs="Quicksand Medium" w:eastAsia="Quicksand Medium" w:hAnsi="Quicksand Medium"/>
          <w:color w:val="C21A27"/>
          <w:sz w:val="14"/>
          <w:szCs w:val="14"/>
        </w:rPr>
        <w:t xml:space="preserve">H4  </w:t>
      </w:r>
      <w:bookmarkEnd w:id="133"/>
      <w:r>
        <w:rPr>
          <w:rFonts w:ascii="Quicksand Light" w:cs="Quicksand Light" w:eastAsia="Quicksand Light" w:hAnsi="Quicksand Light"/>
          <w:color w:val="000000"/>
          <w:sz w:val="14"/>
          <w:szCs w:val="14"/>
        </w:rPr>
        <w:t xml:space="preserve">Howmet, full-year 2023 results: revenue, net income, OCF $901m, FCF $682m. </w:t>
      </w:r>
      <w:hyperlink w:history="1" r:id="rIdab919vrnvkbtvv0vginp9">
        <w:r>
          <w:rPr>
            <w:rFonts w:ascii="Quicksand Light" w:cs="Quicksand Light" w:eastAsia="Quicksand Light" w:hAnsi="Quicksand Light"/>
            <w:color w:val="C21A27"/>
            <w:sz w:val="13"/>
            <w:szCs w:val="13"/>
            <w:u w:val="single"/>
          </w:rPr>
          <w:t xml:space="preserve">howmet.com link</w:t>
        </w:r>
      </w:hyperlink>
    </w:p>
    <w:p>
      <w:pPr>
        <w:spacing w:after="6" w:before="0" w:line="204" w:lineRule="auto"/>
        <w:ind w:left="400" w:hanging="400"/>
      </w:pPr>
      <w:bookmarkStart w:name="src_H5" w:id="134"/>
      <w:r>
        <w:rPr>
          <w:rFonts w:ascii="Quicksand Medium" w:cs="Quicksand Medium" w:eastAsia="Quicksand Medium" w:hAnsi="Quicksand Medium"/>
          <w:color w:val="C21A27"/>
          <w:sz w:val="14"/>
          <w:szCs w:val="14"/>
        </w:rPr>
        <w:t xml:space="preserve">H5  </w:t>
      </w:r>
      <w:bookmarkEnd w:id="134"/>
      <w:r>
        <w:rPr>
          <w:rFonts w:ascii="Quicksand Light" w:cs="Quicksand Light" w:eastAsia="Quicksand Light" w:hAnsi="Quicksand Light"/>
          <w:color w:val="000000"/>
          <w:sz w:val="14"/>
          <w:szCs w:val="14"/>
        </w:rPr>
        <w:t xml:space="preserve">Howmet, full-year 2024 results: revenue, operating margin 22.0%, FCF $977m. </w:t>
      </w:r>
      <w:hyperlink w:history="1" r:id="rIdpxue6x2r8jfy4kiuhfqpw">
        <w:r>
          <w:rPr>
            <w:rFonts w:ascii="Quicksand Light" w:cs="Quicksand Light" w:eastAsia="Quicksand Light" w:hAnsi="Quicksand Light"/>
            <w:color w:val="C21A27"/>
            <w:sz w:val="13"/>
            <w:szCs w:val="13"/>
            <w:u w:val="single"/>
          </w:rPr>
          <w:t xml:space="preserve">howmet.com link</w:t>
        </w:r>
      </w:hyperlink>
    </w:p>
    <w:p>
      <w:pPr>
        <w:spacing w:after="6" w:before="0" w:line="204" w:lineRule="auto"/>
        <w:ind w:left="400" w:hanging="400"/>
      </w:pPr>
      <w:bookmarkStart w:name="src_H6" w:id="135"/>
      <w:r>
        <w:rPr>
          <w:rFonts w:ascii="Quicksand Medium" w:cs="Quicksand Medium" w:eastAsia="Quicksand Medium" w:hAnsi="Quicksand Medium"/>
          <w:color w:val="C21A27"/>
          <w:sz w:val="14"/>
          <w:szCs w:val="14"/>
        </w:rPr>
        <w:t xml:space="preserve">H6  </w:t>
      </w:r>
      <w:bookmarkEnd w:id="135"/>
      <w:r>
        <w:rPr>
          <w:rFonts w:ascii="Quicksand Light" w:cs="Quicksand Light" w:eastAsia="Quicksand Light" w:hAnsi="Quicksand Light"/>
          <w:color w:val="000000"/>
          <w:sz w:val="14"/>
          <w:szCs w:val="14"/>
        </w:rPr>
        <w:t xml:space="preserve">Howmet, full-year 2021 results: 2021 EPS $0.59; 2020 continuing EPS $0.48. </w:t>
      </w:r>
      <w:hyperlink w:history="1" r:id="rIduxubtk6wobwbhh55ozzzh">
        <w:r>
          <w:rPr>
            <w:rFonts w:ascii="Quicksand Light" w:cs="Quicksand Light" w:eastAsia="Quicksand Light" w:hAnsi="Quicksand Light"/>
            <w:color w:val="C21A27"/>
            <w:sz w:val="13"/>
            <w:szCs w:val="13"/>
            <w:u w:val="single"/>
          </w:rPr>
          <w:t xml:space="preserve">howmet.com link</w:t>
        </w:r>
      </w:hyperlink>
    </w:p>
    <w:p>
      <w:pPr>
        <w:spacing w:after="6" w:before="0" w:line="204" w:lineRule="auto"/>
        <w:ind w:left="400" w:hanging="400"/>
      </w:pPr>
      <w:bookmarkStart w:name="src_H7" w:id="136"/>
      <w:r>
        <w:rPr>
          <w:rFonts w:ascii="Quicksand Medium" w:cs="Quicksand Medium" w:eastAsia="Quicksand Medium" w:hAnsi="Quicksand Medium"/>
          <w:color w:val="C21A27"/>
          <w:sz w:val="14"/>
          <w:szCs w:val="14"/>
        </w:rPr>
        <w:t xml:space="preserve">H7  </w:t>
      </w:r>
      <w:bookmarkEnd w:id="136"/>
      <w:r>
        <w:rPr>
          <w:rFonts w:ascii="Quicksand Light" w:cs="Quicksand Light" w:eastAsia="Quicksand Light" w:hAnsi="Quicksand Light"/>
          <w:color w:val="000000"/>
          <w:sz w:val="14"/>
          <w:szCs w:val="14"/>
        </w:rPr>
        <w:t xml:space="preserve">MarketBeat, Howmet quote: 28 October 2026 close $194.56 (+$2.57). </w:t>
      </w:r>
      <w:hyperlink w:history="1" r:id="rIdjdfroyplvv0lvygucrblc">
        <w:r>
          <w:rPr>
            <w:rFonts w:ascii="Quicksand Light" w:cs="Quicksand Light" w:eastAsia="Quicksand Light" w:hAnsi="Quicksand Light"/>
            <w:color w:val="C21A27"/>
            <w:sz w:val="13"/>
            <w:szCs w:val="13"/>
            <w:u w:val="single"/>
          </w:rPr>
          <w:t xml:space="preserve">marketbeat.com link</w:t>
        </w:r>
      </w:hyperlink>
    </w:p>
    <w:p>
      <w:pPr>
        <w:spacing w:after="6" w:before="0" w:line="204" w:lineRule="auto"/>
        <w:ind w:left="400" w:hanging="400"/>
      </w:pPr>
      <w:bookmarkStart w:name="src_H9" w:id="137"/>
      <w:r>
        <w:rPr>
          <w:rFonts w:ascii="Quicksand Medium" w:cs="Quicksand Medium" w:eastAsia="Quicksand Medium" w:hAnsi="Quicksand Medium"/>
          <w:color w:val="C21A27"/>
          <w:sz w:val="14"/>
          <w:szCs w:val="14"/>
        </w:rPr>
        <w:t xml:space="preserve">H9  </w:t>
      </w:r>
      <w:bookmarkEnd w:id="137"/>
      <w:r>
        <w:rPr>
          <w:rFonts w:ascii="Quicksand Light" w:cs="Quicksand Light" w:eastAsia="Quicksand Light" w:hAnsi="Quicksand Light"/>
          <w:color w:val="000000"/>
          <w:sz w:val="14"/>
          <w:szCs w:val="14"/>
        </w:rPr>
        <w:t xml:space="preserve">Howmet, Q1 2026 results, Form 8-K Exhibit 99.1: completion of the CAM acquisition (6 April 2026). </w:t>
      </w:r>
      <w:hyperlink w:history="1" r:id="rIdsxrtain8z0qw-vk6tsrmt">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H10" w:id="138"/>
      <w:r>
        <w:rPr>
          <w:rFonts w:ascii="Quicksand Medium" w:cs="Quicksand Medium" w:eastAsia="Quicksand Medium" w:hAnsi="Quicksand Medium"/>
          <w:color w:val="C21A27"/>
          <w:sz w:val="14"/>
          <w:szCs w:val="14"/>
        </w:rPr>
        <w:t xml:space="preserve">H10  </w:t>
      </w:r>
      <w:bookmarkEnd w:id="138"/>
      <w:r>
        <w:rPr>
          <w:rFonts w:ascii="Quicksand Light" w:cs="Quicksand Light" w:eastAsia="Quicksand Light" w:hAnsi="Quicksand Light"/>
          <w:color w:val="000000"/>
          <w:sz w:val="14"/>
          <w:szCs w:val="14"/>
        </w:rPr>
        <w:t xml:space="preserve">Howmet, full-year 2020 results: continuing EPS $0.48, discontinued $0.11. </w:t>
      </w:r>
      <w:hyperlink w:history="1" r:id="rIduli3hhedhkgerjotwnyi9">
        <w:r>
          <w:rPr>
            <w:rFonts w:ascii="Quicksand Light" w:cs="Quicksand Light" w:eastAsia="Quicksand Light" w:hAnsi="Quicksand Light"/>
            <w:color w:val="C21A27"/>
            <w:sz w:val="13"/>
            <w:szCs w:val="13"/>
            <w:u w:val="single"/>
          </w:rPr>
          <w:t xml:space="preserve">howmet.com link</w:t>
        </w:r>
      </w:hyperlink>
    </w:p>
    <w:p>
      <w:pPr>
        <w:spacing w:after="6" w:before="0" w:line="204" w:lineRule="auto"/>
        <w:ind w:left="400" w:hanging="400"/>
      </w:pPr>
      <w:bookmarkStart w:name="src_H11" w:id="139"/>
      <w:r>
        <w:rPr>
          <w:rFonts w:ascii="Quicksand Medium" w:cs="Quicksand Medium" w:eastAsia="Quicksand Medium" w:hAnsi="Quicksand Medium"/>
          <w:color w:val="C21A27"/>
          <w:sz w:val="14"/>
          <w:szCs w:val="14"/>
        </w:rPr>
        <w:t xml:space="preserve">H11  </w:t>
      </w:r>
      <w:bookmarkEnd w:id="139"/>
      <w:r>
        <w:rPr>
          <w:rFonts w:ascii="Quicksand Light" w:cs="Quicksand Light" w:eastAsia="Quicksand Light" w:hAnsi="Quicksand Light"/>
          <w:color w:val="000000"/>
          <w:sz w:val="14"/>
          <w:szCs w:val="14"/>
        </w:rPr>
        <w:t xml:space="preserve">Howmet, full-year 2022 results: OCF $733m, capex $193m. </w:t>
      </w:r>
      <w:hyperlink w:history="1" r:id="rId2x_2iuta0ninmnblxop5f">
        <w:r>
          <w:rPr>
            <w:rFonts w:ascii="Quicksand Light" w:cs="Quicksand Light" w:eastAsia="Quicksand Light" w:hAnsi="Quicksand Light"/>
            <w:color w:val="C21A27"/>
            <w:sz w:val="13"/>
            <w:szCs w:val="13"/>
            <w:u w:val="single"/>
          </w:rPr>
          <w:t xml:space="preserve">howmet.com link</w:t>
        </w:r>
      </w:hyperlink>
    </w:p>
    <w:p>
      <w:pPr>
        <w:spacing w:after="6" w:before="0" w:line="204" w:lineRule="auto"/>
        <w:ind w:left="400" w:hanging="400"/>
      </w:pPr>
      <w:bookmarkStart w:name="src_H12" w:id="140"/>
      <w:r>
        <w:rPr>
          <w:rFonts w:ascii="Quicksand Medium" w:cs="Quicksand Medium" w:eastAsia="Quicksand Medium" w:hAnsi="Quicksand Medium"/>
          <w:color w:val="C21A27"/>
          <w:sz w:val="14"/>
          <w:szCs w:val="14"/>
        </w:rPr>
        <w:t xml:space="preserve">H12  </w:t>
      </w:r>
      <w:bookmarkEnd w:id="140"/>
      <w:r>
        <w:rPr>
          <w:rFonts w:ascii="Quicksand Light" w:cs="Quicksand Light" w:eastAsia="Quicksand Light" w:hAnsi="Quicksand Light"/>
          <w:color w:val="000000"/>
          <w:sz w:val="14"/>
          <w:szCs w:val="14"/>
        </w:rPr>
        <w:t xml:space="preserve">Howmet, Form 8-K (2022) reconciliation: 2021 OCF $449m, capex $199m, sold receivables $267m. </w:t>
      </w:r>
      <w:hyperlink w:history="1" r:id="rIdymzdqx-lpo6o00anln6ed">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H13" w:id="141"/>
      <w:r>
        <w:rPr>
          <w:rFonts w:ascii="Quicksand Medium" w:cs="Quicksand Medium" w:eastAsia="Quicksand Medium" w:hAnsi="Quicksand Medium"/>
          <w:color w:val="C21A27"/>
          <w:sz w:val="14"/>
          <w:szCs w:val="14"/>
        </w:rPr>
        <w:t xml:space="preserve">H13  </w:t>
      </w:r>
      <w:bookmarkEnd w:id="141"/>
      <w:r>
        <w:rPr>
          <w:rFonts w:ascii="Quicksand Light" w:cs="Quicksand Light" w:eastAsia="Quicksand Light" w:hAnsi="Quicksand Light"/>
          <w:color w:val="000000"/>
          <w:sz w:val="14"/>
          <w:szCs w:val="14"/>
        </w:rPr>
        <w:t xml:space="preserve">Howmet, Form 10-K for 2023: operating income and net interest expense 2021–2023. </w:t>
      </w:r>
      <w:hyperlink w:history="1" r:id="rIdaxmvslz9xewiqhd7p3s-z">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H14" w:id="142"/>
      <w:r>
        <w:rPr>
          <w:rFonts w:ascii="Quicksand Medium" w:cs="Quicksand Medium" w:eastAsia="Quicksand Medium" w:hAnsi="Quicksand Medium"/>
          <w:color w:val="C21A27"/>
          <w:sz w:val="14"/>
          <w:szCs w:val="14"/>
        </w:rPr>
        <w:t xml:space="preserve">H14  </w:t>
      </w:r>
      <w:bookmarkEnd w:id="142"/>
      <w:r>
        <w:rPr>
          <w:rFonts w:ascii="Quicksand Light" w:cs="Quicksand Light" w:eastAsia="Quicksand Light" w:hAnsi="Quicksand Light"/>
          <w:color w:val="000000"/>
          <w:sz w:val="14"/>
          <w:szCs w:val="14"/>
        </w:rPr>
        <w:t xml:space="preserve">Minichart, reproduction of Howmet’s 29 October 2026 release: 2026 and Q4 guidance ranges. </w:t>
      </w:r>
      <w:hyperlink w:history="1" r:id="rIdld9pd9obihd_df7cj6itc">
        <w:r>
          <w:rPr>
            <w:rFonts w:ascii="Quicksand Light" w:cs="Quicksand Light" w:eastAsia="Quicksand Light" w:hAnsi="Quicksand Light"/>
            <w:color w:val="C21A27"/>
            <w:sz w:val="13"/>
            <w:szCs w:val="13"/>
            <w:u w:val="single"/>
          </w:rPr>
          <w:t xml:space="preserve">minichart.com.sg link</w:t>
        </w:r>
      </w:hyperlink>
    </w:p>
    <w:p>
      <w:pPr>
        <w:spacing w:after="6" w:before="0" w:line="204" w:lineRule="auto"/>
        <w:ind w:left="400" w:hanging="400"/>
      </w:pPr>
      <w:bookmarkStart w:name="src_H15" w:id="143"/>
      <w:r>
        <w:rPr>
          <w:rFonts w:ascii="Quicksand Medium" w:cs="Quicksand Medium" w:eastAsia="Quicksand Medium" w:hAnsi="Quicksand Medium"/>
          <w:color w:val="C21A27"/>
          <w:sz w:val="14"/>
          <w:szCs w:val="14"/>
        </w:rPr>
        <w:t xml:space="preserve">H15  </w:t>
      </w:r>
      <w:bookmarkEnd w:id="143"/>
      <w:r>
        <w:rPr>
          <w:rFonts w:ascii="Quicksand Light" w:cs="Quicksand Light" w:eastAsia="Quicksand Light" w:hAnsi="Quicksand Light"/>
          <w:color w:val="000000"/>
          <w:sz w:val="14"/>
          <w:szCs w:val="14"/>
        </w:rPr>
        <w:t xml:space="preserve">Mining Stock Education, reproduction of the 29 October 2026 release: balance sheet at 30 September 2026. </w:t>
      </w:r>
      <w:hyperlink w:history="1" r:id="rIdrgw5jv5z9tg-p2l8vm9mt">
        <w:r>
          <w:rPr>
            <w:rFonts w:ascii="Quicksand Light" w:cs="Quicksand Light" w:eastAsia="Quicksand Light" w:hAnsi="Quicksand Light"/>
            <w:color w:val="C21A27"/>
            <w:sz w:val="13"/>
            <w:szCs w:val="13"/>
            <w:u w:val="single"/>
          </w:rPr>
          <w:t xml:space="preserve">miningstockeducation.com link</w:t>
        </w:r>
      </w:hyperlink>
    </w:p>
    <w:p>
      <w:pPr>
        <w:spacing w:after="6" w:before="0" w:line="204" w:lineRule="auto"/>
        <w:ind w:left="400" w:hanging="400"/>
      </w:pPr>
      <w:bookmarkStart w:name="src_H16" w:id="144"/>
      <w:r>
        <w:rPr>
          <w:rFonts w:ascii="Quicksand Medium" w:cs="Quicksand Medium" w:eastAsia="Quicksand Medium" w:hAnsi="Quicksand Medium"/>
          <w:color w:val="C21A27"/>
          <w:sz w:val="14"/>
          <w:szCs w:val="14"/>
        </w:rPr>
        <w:t xml:space="preserve">H16  </w:t>
      </w:r>
      <w:bookmarkEnd w:id="144"/>
      <w:r>
        <w:rPr>
          <w:rFonts w:ascii="Quicksand Light" w:cs="Quicksand Light" w:eastAsia="Quicksand Light" w:hAnsi="Quicksand Light"/>
          <w:color w:val="000000"/>
          <w:sz w:val="14"/>
          <w:szCs w:val="14"/>
        </w:rPr>
        <w:t xml:space="preserve">Howmet, Q2 2026 results (6 August 2026): buybacks $300m at $250.61; July $200m at $276.61. </w:t>
      </w:r>
      <w:hyperlink w:history="1" r:id="rId9nko6oulduigkpozsxau7">
        <w:r>
          <w:rPr>
            <w:rFonts w:ascii="Quicksand Light" w:cs="Quicksand Light" w:eastAsia="Quicksand Light" w:hAnsi="Quicksand Light"/>
            <w:color w:val="C21A27"/>
            <w:sz w:val="13"/>
            <w:szCs w:val="13"/>
            <w:u w:val="single"/>
          </w:rPr>
          <w:t xml:space="preserve">howmet.com link</w:t>
        </w:r>
      </w:hyperlink>
    </w:p>
    <w:p>
      <w:pPr>
        <w:spacing w:after="6" w:before="0" w:line="204" w:lineRule="auto"/>
        <w:ind w:left="400" w:hanging="400"/>
      </w:pPr>
      <w:bookmarkStart w:name="src_H17" w:id="145"/>
      <w:r>
        <w:rPr>
          <w:rFonts w:ascii="Quicksand Medium" w:cs="Quicksand Medium" w:eastAsia="Quicksand Medium" w:hAnsi="Quicksand Medium"/>
          <w:color w:val="C21A27"/>
          <w:sz w:val="14"/>
          <w:szCs w:val="14"/>
        </w:rPr>
        <w:t xml:space="preserve">H17  </w:t>
      </w:r>
      <w:bookmarkEnd w:id="145"/>
      <w:r>
        <w:rPr>
          <w:rFonts w:ascii="Quicksand Light" w:cs="Quicksand Light" w:eastAsia="Quicksand Light" w:hAnsi="Quicksand Light"/>
          <w:color w:val="000000"/>
          <w:sz w:val="14"/>
          <w:szCs w:val="14"/>
        </w:rPr>
        <w:t xml:space="preserve">Trefis, "Howmet Aerospace stock: 5 straight red days, down 16%" (24 October 2026): $185.91 close, $310 high. </w:t>
      </w:r>
      <w:hyperlink w:history="1" r:id="rIdfore3xbvqlkeac48hfwuo">
        <w:r>
          <w:rPr>
            <w:rFonts w:ascii="Quicksand Light" w:cs="Quicksand Light" w:eastAsia="Quicksand Light" w:hAnsi="Quicksand Light"/>
            <w:color w:val="C21A27"/>
            <w:sz w:val="13"/>
            <w:szCs w:val="13"/>
            <w:u w:val="single"/>
          </w:rPr>
          <w:t xml:space="preserve">trefis.com link</w:t>
        </w:r>
      </w:hyperlink>
    </w:p>
    <w:p>
      <w:pPr>
        <w:spacing w:after="6" w:before="0" w:line="204" w:lineRule="auto"/>
        <w:ind w:left="400" w:hanging="400"/>
      </w:pPr>
      <w:bookmarkStart w:name="src_A1" w:id="146"/>
      <w:r>
        <w:rPr>
          <w:rFonts w:ascii="Quicksand Medium" w:cs="Quicksand Medium" w:eastAsia="Quicksand Medium" w:hAnsi="Quicksand Medium"/>
          <w:color w:val="C21A27"/>
          <w:sz w:val="14"/>
          <w:szCs w:val="14"/>
        </w:rPr>
        <w:t xml:space="preserve">A1  </w:t>
      </w:r>
      <w:bookmarkEnd w:id="146"/>
      <w:r>
        <w:rPr>
          <w:rFonts w:ascii="Quicksand Light" w:cs="Quicksand Light" w:eastAsia="Quicksand Light" w:hAnsi="Quicksand Light"/>
          <w:color w:val="000000"/>
          <w:sz w:val="14"/>
          <w:szCs w:val="14"/>
        </w:rPr>
        <w:t xml:space="preserve">Boeing, Q3 2026 results, Form 8-K Exhibit 99.1: commercial backlog $612bn. </w:t>
      </w:r>
      <w:hyperlink w:history="1" r:id="rIdg7ygfe4r8ml71nqvsi2t9">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A2" w:id="147"/>
      <w:r>
        <w:rPr>
          <w:rFonts w:ascii="Quicksand Medium" w:cs="Quicksand Medium" w:eastAsia="Quicksand Medium" w:hAnsi="Quicksand Medium"/>
          <w:color w:val="C21A27"/>
          <w:sz w:val="14"/>
          <w:szCs w:val="14"/>
        </w:rPr>
        <w:t xml:space="preserve">A2  </w:t>
      </w:r>
      <w:bookmarkEnd w:id="147"/>
      <w:r>
        <w:rPr>
          <w:rFonts w:ascii="Quicksand Light" w:cs="Quicksand Light" w:eastAsia="Quicksand Light" w:hAnsi="Quicksand Light"/>
          <w:color w:val="000000"/>
          <w:sz w:val="14"/>
          <w:szCs w:val="14"/>
        </w:rPr>
        <w:t xml:space="preserve">Forecast International, Airbus and Boeing August 2026 orders and deliveries (9 September 2026). </w:t>
      </w:r>
      <w:hyperlink w:history="1" r:id="rIdjlq2mnl4cntcsmkspmg7q">
        <w:r>
          <w:rPr>
            <w:rFonts w:ascii="Quicksand Light" w:cs="Quicksand Light" w:eastAsia="Quicksand Light" w:hAnsi="Quicksand Light"/>
            <w:color w:val="C21A27"/>
            <w:sz w:val="13"/>
            <w:szCs w:val="13"/>
            <w:u w:val="single"/>
          </w:rPr>
          <w:t xml:space="preserve">flightplan.forecastinternational.com link</w:t>
        </w:r>
      </w:hyperlink>
    </w:p>
    <w:p>
      <w:pPr>
        <w:spacing w:after="6" w:before="0" w:line="204" w:lineRule="auto"/>
        <w:ind w:left="400" w:hanging="400"/>
      </w:pPr>
      <w:bookmarkStart w:name="src_A3" w:id="148"/>
      <w:r>
        <w:rPr>
          <w:rFonts w:ascii="Quicksand Medium" w:cs="Quicksand Medium" w:eastAsia="Quicksand Medium" w:hAnsi="Quicksand Medium"/>
          <w:color w:val="C21A27"/>
          <w:sz w:val="14"/>
          <w:szCs w:val="14"/>
        </w:rPr>
        <w:t xml:space="preserve">A3  </w:t>
      </w:r>
      <w:bookmarkEnd w:id="148"/>
      <w:r>
        <w:rPr>
          <w:rFonts w:ascii="Quicksand Light" w:cs="Quicksand Light" w:eastAsia="Quicksand Light" w:hAnsi="Quicksand Light"/>
          <w:color w:val="000000"/>
          <w:sz w:val="14"/>
          <w:szCs w:val="14"/>
        </w:rPr>
        <w:t xml:space="preserve">GE Aerospace, Q3 2026 results, Form 8-K (20 October 2026): orders and services backlog. </w:t>
      </w:r>
      <w:hyperlink w:history="1" r:id="rIdzkqzqopj2jdvafywwyrwa">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P1" w:id="149"/>
      <w:r>
        <w:rPr>
          <w:rFonts w:ascii="Quicksand Medium" w:cs="Quicksand Medium" w:eastAsia="Quicksand Medium" w:hAnsi="Quicksand Medium"/>
          <w:color w:val="C21A27"/>
          <w:sz w:val="14"/>
          <w:szCs w:val="14"/>
        </w:rPr>
        <w:t xml:space="preserve">P1  </w:t>
      </w:r>
      <w:bookmarkEnd w:id="149"/>
      <w:r>
        <w:rPr>
          <w:rFonts w:ascii="Quicksand Light" w:cs="Quicksand Light" w:eastAsia="Quicksand Light" w:hAnsi="Quicksand Light"/>
          <w:color w:val="000000"/>
          <w:sz w:val="14"/>
          <w:szCs w:val="14"/>
        </w:rPr>
        <w:t xml:space="preserve">Stock Analysis, GE Aerospace: 28 October 2026 close $301.13. </w:t>
      </w:r>
      <w:hyperlink w:history="1" r:id="rIdtwx1aogelgey3wk8z68aa">
        <w:r>
          <w:rPr>
            <w:rFonts w:ascii="Quicksand Light" w:cs="Quicksand Light" w:eastAsia="Quicksand Light" w:hAnsi="Quicksand Light"/>
            <w:color w:val="C21A27"/>
            <w:sz w:val="13"/>
            <w:szCs w:val="13"/>
            <w:u w:val="single"/>
          </w:rPr>
          <w:t xml:space="preserve">stockanalysis.com link</w:t>
        </w:r>
      </w:hyperlink>
    </w:p>
    <w:p>
      <w:pPr>
        <w:spacing w:after="6" w:before="0" w:line="204" w:lineRule="auto"/>
        <w:ind w:left="400" w:hanging="400"/>
      </w:pPr>
      <w:bookmarkStart w:name="src_P2" w:id="150"/>
      <w:r>
        <w:rPr>
          <w:rFonts w:ascii="Quicksand Medium" w:cs="Quicksand Medium" w:eastAsia="Quicksand Medium" w:hAnsi="Quicksand Medium"/>
          <w:color w:val="C21A27"/>
          <w:sz w:val="14"/>
          <w:szCs w:val="14"/>
        </w:rPr>
        <w:t xml:space="preserve">P2  </w:t>
      </w:r>
      <w:bookmarkEnd w:id="150"/>
      <w:r>
        <w:rPr>
          <w:rFonts w:ascii="Quicksand Light" w:cs="Quicksand Light" w:eastAsia="Quicksand Light" w:hAnsi="Quicksand Light"/>
          <w:color w:val="000000"/>
          <w:sz w:val="14"/>
          <w:szCs w:val="14"/>
        </w:rPr>
        <w:t xml:space="preserve">Benzinga, GE Aerospace Q3 2026 call transcript: 2026 EPS guidance $8.00–8.10. </w:t>
      </w:r>
      <w:hyperlink w:history="1" r:id="rId3jb3fse7p6hcziuvhc803">
        <w:r>
          <w:rPr>
            <w:rFonts w:ascii="Quicksand Light" w:cs="Quicksand Light" w:eastAsia="Quicksand Light" w:hAnsi="Quicksand Light"/>
            <w:color w:val="C21A27"/>
            <w:sz w:val="13"/>
            <w:szCs w:val="13"/>
            <w:u w:val="single"/>
          </w:rPr>
          <w:t xml:space="preserve">benzinga.com link</w:t>
        </w:r>
      </w:hyperlink>
    </w:p>
    <w:p>
      <w:pPr>
        <w:spacing w:after="6" w:before="0" w:line="204" w:lineRule="auto"/>
        <w:ind w:left="400" w:hanging="400"/>
      </w:pPr>
      <w:bookmarkStart w:name="src_P3" w:id="151"/>
      <w:r>
        <w:rPr>
          <w:rFonts w:ascii="Quicksand Medium" w:cs="Quicksand Medium" w:eastAsia="Quicksand Medium" w:hAnsi="Quicksand Medium"/>
          <w:color w:val="C21A27"/>
          <w:sz w:val="14"/>
          <w:szCs w:val="14"/>
        </w:rPr>
        <w:t xml:space="preserve">P3  </w:t>
      </w:r>
      <w:bookmarkEnd w:id="151"/>
      <w:r>
        <w:rPr>
          <w:rFonts w:ascii="Quicksand Light" w:cs="Quicksand Light" w:eastAsia="Quicksand Light" w:hAnsi="Quicksand Light"/>
          <w:color w:val="000000"/>
          <w:sz w:val="14"/>
          <w:szCs w:val="14"/>
        </w:rPr>
        <w:t xml:space="preserve">TransDigm, Q3 fiscal 2026 results, Form 8-K Exhibit 99.1: guidance midpoint raised by $1.52. </w:t>
      </w:r>
      <w:hyperlink w:history="1" r:id="rIduteggnqunsyqe-ihlr0u1">
        <w:r>
          <w:rPr>
            <w:rFonts w:ascii="Quicksand Light" w:cs="Quicksand Light" w:eastAsia="Quicksand Light" w:hAnsi="Quicksand Light"/>
            <w:color w:val="C21A27"/>
            <w:sz w:val="13"/>
            <w:szCs w:val="13"/>
            <w:u w:val="single"/>
          </w:rPr>
          <w:t xml:space="preserve">sec.gov link</w:t>
        </w:r>
      </w:hyperlink>
    </w:p>
    <w:p>
      <w:pPr>
        <w:spacing w:after="6" w:before="0" w:line="204" w:lineRule="auto"/>
        <w:ind w:left="400" w:hanging="400"/>
      </w:pPr>
      <w:bookmarkStart w:name="src_P4" w:id="152"/>
      <w:r>
        <w:rPr>
          <w:rFonts w:ascii="Quicksand Medium" w:cs="Quicksand Medium" w:eastAsia="Quicksand Medium" w:hAnsi="Quicksand Medium"/>
          <w:color w:val="C21A27"/>
          <w:sz w:val="14"/>
          <w:szCs w:val="14"/>
        </w:rPr>
        <w:t xml:space="preserve">P4  </w:t>
      </w:r>
      <w:bookmarkEnd w:id="152"/>
      <w:r>
        <w:rPr>
          <w:rFonts w:ascii="Quicksand Light" w:cs="Quicksand Light" w:eastAsia="Quicksand Light" w:hAnsi="Quicksand Light"/>
          <w:color w:val="000000"/>
          <w:sz w:val="14"/>
          <w:szCs w:val="14"/>
        </w:rPr>
        <w:t xml:space="preserve">Massive.com, TransDigm: $1,124.47 on 26 October 2026. </w:t>
      </w:r>
      <w:hyperlink w:history="1" r:id="rIdbbw-_yv9s3i_rwqpnku0e">
        <w:r>
          <w:rPr>
            <w:rFonts w:ascii="Quicksand Light" w:cs="Quicksand Light" w:eastAsia="Quicksand Light" w:hAnsi="Quicksand Light"/>
            <w:color w:val="C21A27"/>
            <w:sz w:val="13"/>
            <w:szCs w:val="13"/>
            <w:u w:val="single"/>
          </w:rPr>
          <w:t xml:space="preserve">massive.com link</w:t>
        </w:r>
      </w:hyperlink>
    </w:p>
    <w:p>
      <w:pPr>
        <w:keepNext/>
        <w:spacing w:after="10" w:before="40"/>
      </w:pPr>
      <w:r>
        <w:rPr>
          <w:rFonts w:ascii="Agus Sans" w:cs="Agus Sans" w:eastAsia="Agus Sans" w:hAnsi="Agus Sans"/>
          <w:color w:val="790E17"/>
          <w:sz w:val="15"/>
          <w:szCs w:val="15"/>
        </w:rPr>
        <w:t xml:space="preserve">WOLTERS KLUWER AND INFORMATION SERVICES</w:t>
      </w:r>
    </w:p>
    <w:p>
      <w:pPr>
        <w:spacing w:after="6" w:before="0" w:line="204" w:lineRule="auto"/>
        <w:ind w:left="400" w:hanging="400"/>
      </w:pPr>
      <w:bookmarkStart w:name="src_W1" w:id="153"/>
      <w:r>
        <w:rPr>
          <w:rFonts w:ascii="Quicksand Medium" w:cs="Quicksand Medium" w:eastAsia="Quicksand Medium" w:hAnsi="Quicksand Medium"/>
          <w:color w:val="C21A27"/>
          <w:sz w:val="14"/>
          <w:szCs w:val="14"/>
        </w:rPr>
        <w:t xml:space="preserve">W1  </w:t>
      </w:r>
      <w:bookmarkEnd w:id="153"/>
      <w:r>
        <w:rPr>
          <w:rFonts w:ascii="Quicksand Light" w:cs="Quicksand Light" w:eastAsia="Quicksand Light" w:hAnsi="Quicksand Light"/>
          <w:color w:val="000000"/>
          <w:sz w:val="14"/>
          <w:szCs w:val="14"/>
        </w:rPr>
        <w:t xml:space="preserve">Wolters Kluwer, 2025 full-year report (25 February 2026): FRR gain €232m, adjusted net profit €1,225m, adjusted EPS €5.29, financing costs. </w:t>
      </w:r>
      <w:hyperlink w:history="1" r:id="rIdpkujb1aagqmhtu-opc0db">
        <w:r>
          <w:rPr>
            <w:rFonts w:ascii="Quicksand Light" w:cs="Quicksand Light" w:eastAsia="Quicksand Light" w:hAnsi="Quicksand Light"/>
            <w:color w:val="C21A27"/>
            <w:sz w:val="13"/>
            <w:szCs w:val="13"/>
            <w:u w:val="single"/>
          </w:rPr>
          <w:t xml:space="preserve">globenewswire.com link</w:t>
        </w:r>
      </w:hyperlink>
    </w:p>
    <w:p>
      <w:pPr>
        <w:spacing w:after="6" w:before="0" w:line="204" w:lineRule="auto"/>
        <w:ind w:left="400" w:hanging="400"/>
      </w:pPr>
      <w:bookmarkStart w:name="src_W2" w:id="154"/>
      <w:r>
        <w:rPr>
          <w:rFonts w:ascii="Quicksand Medium" w:cs="Quicksand Medium" w:eastAsia="Quicksand Medium" w:hAnsi="Quicksand Medium"/>
          <w:color w:val="C21A27"/>
          <w:sz w:val="14"/>
          <w:szCs w:val="14"/>
        </w:rPr>
        <w:t xml:space="preserve">W2  </w:t>
      </w:r>
      <w:bookmarkEnd w:id="154"/>
      <w:r>
        <w:rPr>
          <w:rFonts w:ascii="Quicksand Light" w:cs="Quicksand Light" w:eastAsia="Quicksand Light" w:hAnsi="Quicksand Light"/>
          <w:color w:val="000000"/>
          <w:sz w:val="14"/>
          <w:szCs w:val="14"/>
        </w:rPr>
        <w:t xml:space="preserve">Wolters Kluwer, 2026 half-year report (5 August 2026): organic growth, margin, adjusted EPS, guidance. </w:t>
      </w:r>
      <w:hyperlink w:history="1" r:id="rIdycqnaxcpn246g2zhxnt1e">
        <w:r>
          <w:rPr>
            <w:rFonts w:ascii="Quicksand Light" w:cs="Quicksand Light" w:eastAsia="Quicksand Light" w:hAnsi="Quicksand Light"/>
            <w:color w:val="C21A27"/>
            <w:sz w:val="13"/>
            <w:szCs w:val="13"/>
            <w:u w:val="single"/>
          </w:rPr>
          <w:t xml:space="preserve">globenewswire.com link</w:t>
        </w:r>
      </w:hyperlink>
    </w:p>
    <w:p>
      <w:pPr>
        <w:spacing w:after="6" w:before="0" w:line="204" w:lineRule="auto"/>
        <w:ind w:left="400" w:hanging="400"/>
      </w:pPr>
      <w:bookmarkStart w:name="src_W3" w:id="155"/>
      <w:r>
        <w:rPr>
          <w:rFonts w:ascii="Quicksand Medium" w:cs="Quicksand Medium" w:eastAsia="Quicksand Medium" w:hAnsi="Quicksand Medium"/>
          <w:color w:val="C21A27"/>
          <w:sz w:val="14"/>
          <w:szCs w:val="14"/>
        </w:rPr>
        <w:t xml:space="preserve">W3  </w:t>
      </w:r>
      <w:bookmarkEnd w:id="155"/>
      <w:r>
        <w:rPr>
          <w:rFonts w:ascii="Quicksand Light" w:cs="Quicksand Light" w:eastAsia="Quicksand Light" w:hAnsi="Quicksand Light"/>
          <w:color w:val="000000"/>
          <w:sz w:val="14"/>
          <w:szCs w:val="14"/>
        </w:rPr>
        <w:t xml:space="preserve">Wolters Kluwer, five-year key figures: revenue, profit, operating profit, IFRS and adjusted EPS. </w:t>
      </w:r>
      <w:hyperlink w:history="1" r:id="rIdlfgrep1myjhcuv0ampkmp">
        <w:r>
          <w:rPr>
            <w:rFonts w:ascii="Quicksand Light" w:cs="Quicksand Light" w:eastAsia="Quicksand Light" w:hAnsi="Quicksand Light"/>
            <w:color w:val="C21A27"/>
            <w:sz w:val="13"/>
            <w:szCs w:val="13"/>
            <w:u w:val="single"/>
          </w:rPr>
          <w:t xml:space="preserve">wolterskluwer.com link</w:t>
        </w:r>
      </w:hyperlink>
    </w:p>
    <w:p>
      <w:pPr>
        <w:spacing w:after="6" w:before="0" w:line="204" w:lineRule="auto"/>
        <w:ind w:left="400" w:hanging="400"/>
      </w:pPr>
      <w:bookmarkStart w:name="src_W4" w:id="156"/>
      <w:r>
        <w:rPr>
          <w:rFonts w:ascii="Quicksand Medium" w:cs="Quicksand Medium" w:eastAsia="Quicksand Medium" w:hAnsi="Quicksand Medium"/>
          <w:color w:val="C21A27"/>
          <w:sz w:val="14"/>
          <w:szCs w:val="14"/>
        </w:rPr>
        <w:t xml:space="preserve">W4  </w:t>
      </w:r>
      <w:bookmarkEnd w:id="156"/>
      <w:r>
        <w:rPr>
          <w:rFonts w:ascii="Quicksand Light" w:cs="Quicksand Light" w:eastAsia="Quicksand Light" w:hAnsi="Quicksand Light"/>
          <w:color w:val="000000"/>
          <w:sz w:val="14"/>
          <w:szCs w:val="14"/>
        </w:rPr>
        <w:t xml:space="preserve">Wolters Kluwer, 2025 full-year results PDF: equity €798m (2024: €1,545m), gross financial debt €4,755m, net debt €4,024m. </w:t>
      </w:r>
      <w:hyperlink w:history="1" r:id="rIdxmzcpxed-l_thma00diif">
        <w:r>
          <w:rPr>
            <w:rFonts w:ascii="Quicksand Light" w:cs="Quicksand Light" w:eastAsia="Quicksand Light" w:hAnsi="Quicksand Light"/>
            <w:color w:val="C21A27"/>
            <w:sz w:val="13"/>
            <w:szCs w:val="13"/>
            <w:u w:val="single"/>
          </w:rPr>
          <w:t xml:space="preserve">assets.contenthub.wolterskluwer.com link</w:t>
        </w:r>
      </w:hyperlink>
    </w:p>
    <w:p>
      <w:pPr>
        <w:spacing w:after="6" w:before="0" w:line="204" w:lineRule="auto"/>
        <w:ind w:left="400" w:hanging="400"/>
      </w:pPr>
      <w:bookmarkStart w:name="src_W5" w:id="157"/>
      <w:r>
        <w:rPr>
          <w:rFonts w:ascii="Quicksand Medium" w:cs="Quicksand Medium" w:eastAsia="Quicksand Medium" w:hAnsi="Quicksand Medium"/>
          <w:color w:val="C21A27"/>
          <w:sz w:val="14"/>
          <w:szCs w:val="14"/>
        </w:rPr>
        <w:t xml:space="preserve">W5  </w:t>
      </w:r>
      <w:bookmarkEnd w:id="157"/>
      <w:r>
        <w:rPr>
          <w:rFonts w:ascii="Quicksand Light" w:cs="Quicksand Light" w:eastAsia="Quicksand Light" w:hAnsi="Quicksand Light"/>
          <w:color w:val="000000"/>
          <w:sz w:val="14"/>
          <w:szCs w:val="14"/>
        </w:rPr>
        <w:t xml:space="preserve">Morningstar, "Thomson Reuters, RELX and Wolters stocks crushed after Anthropic debuts Claude legal plug-in" (February 2026). </w:t>
      </w:r>
      <w:hyperlink w:history="1" r:id="rIdhpwlyqbtvosrk1gbfokq8">
        <w:r>
          <w:rPr>
            <w:rFonts w:ascii="Quicksand Light" w:cs="Quicksand Light" w:eastAsia="Quicksand Light" w:hAnsi="Quicksand Light"/>
            <w:color w:val="C21A27"/>
            <w:sz w:val="13"/>
            <w:szCs w:val="13"/>
            <w:u w:val="single"/>
          </w:rPr>
          <w:t xml:space="preserve">global.morningstar.com link</w:t>
        </w:r>
      </w:hyperlink>
    </w:p>
    <w:p>
      <w:pPr>
        <w:spacing w:after="6" w:before="0" w:line="204" w:lineRule="auto"/>
        <w:ind w:left="400" w:hanging="400"/>
      </w:pPr>
      <w:bookmarkStart w:name="src_W6" w:id="158"/>
      <w:r>
        <w:rPr>
          <w:rFonts w:ascii="Quicksand Medium" w:cs="Quicksand Medium" w:eastAsia="Quicksand Medium" w:hAnsi="Quicksand Medium"/>
          <w:color w:val="C21A27"/>
          <w:sz w:val="14"/>
          <w:szCs w:val="14"/>
        </w:rPr>
        <w:t xml:space="preserve">W6  </w:t>
      </w:r>
      <w:bookmarkEnd w:id="158"/>
      <w:r>
        <w:rPr>
          <w:rFonts w:ascii="Quicksand Light" w:cs="Quicksand Light" w:eastAsia="Quicksand Light" w:hAnsi="Quicksand Light"/>
          <w:color w:val="000000"/>
          <w:sz w:val="14"/>
          <w:szCs w:val="14"/>
        </w:rPr>
        <w:t xml:space="preserve">Twelve Data, Wolters Kluwer (Euronext) daily prices: 28 October 2026 close €83.80. </w:t>
      </w:r>
      <w:hyperlink w:history="1" r:id="rIdknmoxaugurc7psx_t0ucm">
        <w:r>
          <w:rPr>
            <w:rFonts w:ascii="Quicksand Light" w:cs="Quicksand Light" w:eastAsia="Quicksand Light" w:hAnsi="Quicksand Light"/>
            <w:color w:val="C21A27"/>
            <w:sz w:val="13"/>
            <w:szCs w:val="13"/>
            <w:u w:val="single"/>
          </w:rPr>
          <w:t xml:space="preserve">twelvedata.com link</w:t>
        </w:r>
      </w:hyperlink>
    </w:p>
    <w:p>
      <w:pPr>
        <w:spacing w:after="6" w:before="0" w:line="204" w:lineRule="auto"/>
        <w:ind w:left="400" w:hanging="400"/>
      </w:pPr>
      <w:bookmarkStart w:name="src_W7" w:id="159"/>
      <w:r>
        <w:rPr>
          <w:rFonts w:ascii="Quicksand Medium" w:cs="Quicksand Medium" w:eastAsia="Quicksand Medium" w:hAnsi="Quicksand Medium"/>
          <w:color w:val="C21A27"/>
          <w:sz w:val="14"/>
          <w:szCs w:val="14"/>
        </w:rPr>
        <w:t xml:space="preserve">W7  </w:t>
      </w:r>
      <w:bookmarkEnd w:id="159"/>
      <w:r>
        <w:rPr>
          <w:rFonts w:ascii="Quicksand Light" w:cs="Quicksand Light" w:eastAsia="Quicksand Light" w:hAnsi="Quicksand Light"/>
          <w:color w:val="000000"/>
          <w:sz w:val="14"/>
          <w:szCs w:val="14"/>
        </w:rPr>
        <w:t xml:space="preserve">Stock Analysis, Wolters Kluwer forecast (June 2026): S&amp;P Global consensus 2026 adjusted EPS €5.62; price €60. </w:t>
      </w:r>
      <w:hyperlink w:history="1" r:id="rIdfqets8uex07hjt1oyi31h">
        <w:r>
          <w:rPr>
            <w:rFonts w:ascii="Quicksand Light" w:cs="Quicksand Light" w:eastAsia="Quicksand Light" w:hAnsi="Quicksand Light"/>
            <w:color w:val="C21A27"/>
            <w:sz w:val="13"/>
            <w:szCs w:val="13"/>
            <w:u w:val="single"/>
          </w:rPr>
          <w:t xml:space="preserve">stockanalysis.com link</w:t>
        </w:r>
      </w:hyperlink>
    </w:p>
    <w:p>
      <w:pPr>
        <w:spacing w:after="6" w:before="0" w:line="204" w:lineRule="auto"/>
        <w:ind w:left="400" w:hanging="400"/>
      </w:pPr>
      <w:bookmarkStart w:name="src_W8" w:id="160"/>
      <w:r>
        <w:rPr>
          <w:rFonts w:ascii="Quicksand Medium" w:cs="Quicksand Medium" w:eastAsia="Quicksand Medium" w:hAnsi="Quicksand Medium"/>
          <w:color w:val="C21A27"/>
          <w:sz w:val="14"/>
          <w:szCs w:val="14"/>
        </w:rPr>
        <w:t xml:space="preserve">W8  </w:t>
      </w:r>
      <w:bookmarkEnd w:id="160"/>
      <w:r>
        <w:rPr>
          <w:rFonts w:ascii="Quicksand Light" w:cs="Quicksand Light" w:eastAsia="Quicksand Light" w:hAnsi="Quicksand Light"/>
          <w:color w:val="000000"/>
          <w:sz w:val="14"/>
          <w:szCs w:val="14"/>
        </w:rPr>
        <w:t xml:space="preserve">RELX, trading update (22 October 2026): nine-month underlying growth by business. </w:t>
      </w:r>
      <w:hyperlink w:history="1" r:id="rId1ptvcwrei7kl_mco5ykeb">
        <w:r>
          <w:rPr>
            <w:rFonts w:ascii="Quicksand Light" w:cs="Quicksand Light" w:eastAsia="Quicksand Light" w:hAnsi="Quicksand Light"/>
            <w:color w:val="C21A27"/>
            <w:sz w:val="13"/>
            <w:szCs w:val="13"/>
            <w:u w:val="single"/>
          </w:rPr>
          <w:t xml:space="preserve">relx.com link</w:t>
        </w:r>
      </w:hyperlink>
    </w:p>
    <w:p>
      <w:pPr>
        <w:spacing w:after="6" w:before="0" w:line="204" w:lineRule="auto"/>
        <w:ind w:left="400" w:hanging="400"/>
      </w:pPr>
      <w:bookmarkStart w:name="src_W9" w:id="161"/>
      <w:r>
        <w:rPr>
          <w:rFonts w:ascii="Quicksand Medium" w:cs="Quicksand Medium" w:eastAsia="Quicksand Medium" w:hAnsi="Quicksand Medium"/>
          <w:color w:val="C21A27"/>
          <w:sz w:val="14"/>
          <w:szCs w:val="14"/>
        </w:rPr>
        <w:t xml:space="preserve">W9  </w:t>
      </w:r>
      <w:bookmarkEnd w:id="161"/>
      <w:r>
        <w:rPr>
          <w:rFonts w:ascii="Quicksand Light" w:cs="Quicksand Light" w:eastAsia="Quicksand Light" w:hAnsi="Quicksand Light"/>
          <w:color w:val="000000"/>
          <w:sz w:val="14"/>
          <w:szCs w:val="14"/>
        </w:rPr>
        <w:t xml:space="preserve">Verisk, Q2 2026 results: 2026 adjusted EPS guidance $7.45–7.75 unchanged. </w:t>
      </w:r>
      <w:hyperlink w:history="1" r:id="rIdns1tup-m2ia9pg4dd6f3h">
        <w:r>
          <w:rPr>
            <w:rFonts w:ascii="Quicksand Light" w:cs="Quicksand Light" w:eastAsia="Quicksand Light" w:hAnsi="Quicksand Light"/>
            <w:color w:val="C21A27"/>
            <w:sz w:val="13"/>
            <w:szCs w:val="13"/>
            <w:u w:val="single"/>
          </w:rPr>
          <w:t xml:space="preserve">s29.q4cdn.com link</w:t>
        </w:r>
      </w:hyperlink>
    </w:p>
    <w:p>
      <w:pPr>
        <w:spacing w:after="6" w:before="0" w:line="204" w:lineRule="auto"/>
        <w:ind w:left="400" w:hanging="400"/>
      </w:pPr>
      <w:bookmarkStart w:name="src_W12" w:id="162"/>
      <w:r>
        <w:rPr>
          <w:rFonts w:ascii="Quicksand Medium" w:cs="Quicksand Medium" w:eastAsia="Quicksand Medium" w:hAnsi="Quicksand Medium"/>
          <w:color w:val="C21A27"/>
          <w:sz w:val="14"/>
          <w:szCs w:val="14"/>
        </w:rPr>
        <w:t xml:space="preserve">W12  </w:t>
      </w:r>
      <w:bookmarkEnd w:id="162"/>
      <w:r>
        <w:rPr>
          <w:rFonts w:ascii="Quicksand Light" w:cs="Quicksand Light" w:eastAsia="Quicksand Light" w:hAnsi="Quicksand Light"/>
          <w:color w:val="000000"/>
          <w:sz w:val="14"/>
          <w:szCs w:val="14"/>
        </w:rPr>
        <w:t xml:space="preserve">Yahoo Finance, Wolters Kluwer H1 2026 call highlights: UpToDate Expert AI adoption. </w:t>
      </w:r>
      <w:hyperlink w:history="1" r:id="rIdaanhldoq2gty6bcqzofmj">
        <w:r>
          <w:rPr>
            <w:rFonts w:ascii="Quicksand Light" w:cs="Quicksand Light" w:eastAsia="Quicksand Light" w:hAnsi="Quicksand Light"/>
            <w:color w:val="C21A27"/>
            <w:sz w:val="13"/>
            <w:szCs w:val="13"/>
            <w:u w:val="single"/>
          </w:rPr>
          <w:t xml:space="preserve">finance.yahoo.com link</w:t>
        </w:r>
      </w:hyperlink>
    </w:p>
    <w:p>
      <w:pPr>
        <w:spacing w:after="6" w:before="0" w:line="204" w:lineRule="auto"/>
        <w:ind w:left="400" w:hanging="400"/>
      </w:pPr>
      <w:bookmarkStart w:name="src_W13" w:id="163"/>
      <w:r>
        <w:rPr>
          <w:rFonts w:ascii="Quicksand Medium" w:cs="Quicksand Medium" w:eastAsia="Quicksand Medium" w:hAnsi="Quicksand Medium"/>
          <w:color w:val="C21A27"/>
          <w:sz w:val="14"/>
          <w:szCs w:val="14"/>
        </w:rPr>
        <w:t xml:space="preserve">W13  </w:t>
      </w:r>
      <w:bookmarkEnd w:id="163"/>
      <w:r>
        <w:rPr>
          <w:rFonts w:ascii="Quicksand Light" w:cs="Quicksand Light" w:eastAsia="Quicksand Light" w:hAnsi="Quicksand Light"/>
          <w:color w:val="000000"/>
          <w:sz w:val="14"/>
          <w:szCs w:val="14"/>
        </w:rPr>
        <w:t xml:space="preserve">Stock Analysis, Wolters Kluwer company profile: Industrials, Professional Services. </w:t>
      </w:r>
      <w:hyperlink w:history="1" r:id="rId2nrzcmnrcehmqtvgqvpdf">
        <w:r>
          <w:rPr>
            <w:rFonts w:ascii="Quicksand Light" w:cs="Quicksand Light" w:eastAsia="Quicksand Light" w:hAnsi="Quicksand Light"/>
            <w:color w:val="C21A27"/>
            <w:sz w:val="13"/>
            <w:szCs w:val="13"/>
            <w:u w:val="single"/>
          </w:rPr>
          <w:t xml:space="preserve">stockanalysis.com link</w:t>
        </w:r>
      </w:hyperlink>
    </w:p>
    <w:p>
      <w:pPr>
        <w:spacing w:after="6" w:before="0" w:line="204" w:lineRule="auto"/>
        <w:ind w:left="400" w:hanging="400"/>
      </w:pPr>
      <w:bookmarkStart w:name="src_W15" w:id="164"/>
      <w:r>
        <w:rPr>
          <w:rFonts w:ascii="Quicksand Medium" w:cs="Quicksand Medium" w:eastAsia="Quicksand Medium" w:hAnsi="Quicksand Medium"/>
          <w:color w:val="C21A27"/>
          <w:sz w:val="14"/>
          <w:szCs w:val="14"/>
        </w:rPr>
        <w:t xml:space="preserve">W15  </w:t>
      </w:r>
      <w:bookmarkEnd w:id="164"/>
      <w:r>
        <w:rPr>
          <w:rFonts w:ascii="Quicksand Light" w:cs="Quicksand Light" w:eastAsia="Quicksand Light" w:hAnsi="Quicksand Light"/>
          <w:color w:val="000000"/>
          <w:sz w:val="14"/>
          <w:szCs w:val="14"/>
        </w:rPr>
        <w:t xml:space="preserve">Wolters Kluwer, 2025 annual report: renewal rates for largest subscription products above 90%. </w:t>
      </w:r>
      <w:hyperlink w:history="1" r:id="rId_erxgty2l6kum4yxvbtei">
        <w:r>
          <w:rPr>
            <w:rFonts w:ascii="Quicksand Light" w:cs="Quicksand Light" w:eastAsia="Quicksand Light" w:hAnsi="Quicksand Light"/>
            <w:color w:val="C21A27"/>
            <w:sz w:val="13"/>
            <w:szCs w:val="13"/>
            <w:u w:val="single"/>
          </w:rPr>
          <w:t xml:space="preserve">assets.contenthub.wolterskluwer.com link</w:t>
        </w:r>
      </w:hyperlink>
    </w:p>
    <w:p>
      <w:pPr>
        <w:spacing w:after="6" w:before="0" w:line="204" w:lineRule="auto"/>
        <w:ind w:left="400" w:hanging="400"/>
      </w:pPr>
      <w:bookmarkStart w:name="src_W16" w:id="165"/>
      <w:r>
        <w:rPr>
          <w:rFonts w:ascii="Quicksand Medium" w:cs="Quicksand Medium" w:eastAsia="Quicksand Medium" w:hAnsi="Quicksand Medium"/>
          <w:color w:val="C21A27"/>
          <w:sz w:val="14"/>
          <w:szCs w:val="14"/>
        </w:rPr>
        <w:t xml:space="preserve">W16  </w:t>
      </w:r>
      <w:bookmarkEnd w:id="165"/>
      <w:r>
        <w:rPr>
          <w:rFonts w:ascii="Quicksand Light" w:cs="Quicksand Light" w:eastAsia="Quicksand Light" w:hAnsi="Quicksand Light"/>
          <w:color w:val="000000"/>
          <w:sz w:val="14"/>
          <w:szCs w:val="14"/>
        </w:rPr>
        <w:t xml:space="preserve">Investing.com, Wolters Kluwer H1 2026 earnings call transcript: AI bundling, monetisation through renewals and add-ons. </w:t>
      </w:r>
      <w:hyperlink w:history="1" r:id="rIdhdtm5ketnkz1xxxhzmsre">
        <w:r>
          <w:rPr>
            <w:rFonts w:ascii="Quicksand Light" w:cs="Quicksand Light" w:eastAsia="Quicksand Light" w:hAnsi="Quicksand Light"/>
            <w:color w:val="C21A27"/>
            <w:sz w:val="13"/>
            <w:szCs w:val="13"/>
            <w:u w:val="single"/>
          </w:rPr>
          <w:t xml:space="preserve">investing.com link</w:t>
        </w:r>
      </w:hyperlink>
    </w:p>
    <w:p>
      <w:pPr>
        <w:spacing w:after="6" w:before="0" w:line="204" w:lineRule="auto"/>
        <w:ind w:left="400" w:hanging="400"/>
      </w:pPr>
      <w:bookmarkStart w:name="src_W17" w:id="166"/>
      <w:r>
        <w:rPr>
          <w:rFonts w:ascii="Quicksand Medium" w:cs="Quicksand Medium" w:eastAsia="Quicksand Medium" w:hAnsi="Quicksand Medium"/>
          <w:color w:val="C21A27"/>
          <w:sz w:val="14"/>
          <w:szCs w:val="14"/>
        </w:rPr>
        <w:t xml:space="preserve">W17  </w:t>
      </w:r>
      <w:bookmarkEnd w:id="166"/>
      <w:r>
        <w:rPr>
          <w:rFonts w:ascii="Quicksand Light" w:cs="Quicksand Light" w:eastAsia="Quicksand Light" w:hAnsi="Quicksand Light"/>
          <w:color w:val="000000"/>
          <w:sz w:val="14"/>
          <w:szCs w:val="14"/>
        </w:rPr>
        <w:t xml:space="preserve">Wolters Kluwer, investor calendar: nine-month 2026 trading update on 4 November 2026. </w:t>
      </w:r>
      <w:hyperlink w:history="1" r:id="rIdmic1gxd6jrgd_eaguw4n0">
        <w:r>
          <w:rPr>
            <w:rFonts w:ascii="Quicksand Light" w:cs="Quicksand Light" w:eastAsia="Quicksand Light" w:hAnsi="Quicksand Light"/>
            <w:color w:val="C21A27"/>
            <w:sz w:val="13"/>
            <w:szCs w:val="13"/>
            <w:u w:val="single"/>
          </w:rPr>
          <w:t xml:space="preserve">wolterskluwer.com link</w:t>
        </w:r>
      </w:hyperlink>
    </w:p>
    <w:p>
      <w:pPr>
        <w:spacing w:after="6" w:before="0" w:line="204" w:lineRule="auto"/>
        <w:ind w:left="400" w:hanging="400"/>
      </w:pPr>
      <w:bookmarkStart w:name="src_W18" w:id="167"/>
      <w:r>
        <w:rPr>
          <w:rFonts w:ascii="Quicksand Medium" w:cs="Quicksand Medium" w:eastAsia="Quicksand Medium" w:hAnsi="Quicksand Medium"/>
          <w:color w:val="C21A27"/>
          <w:sz w:val="14"/>
          <w:szCs w:val="14"/>
        </w:rPr>
        <w:t xml:space="preserve">W18  </w:t>
      </w:r>
      <w:bookmarkEnd w:id="167"/>
      <w:r>
        <w:rPr>
          <w:rFonts w:ascii="Quicksand Light" w:cs="Quicksand Light" w:eastAsia="Quicksand Light" w:hAnsi="Quicksand Light"/>
          <w:color w:val="000000"/>
          <w:sz w:val="14"/>
          <w:szCs w:val="14"/>
        </w:rPr>
        <w:t xml:space="preserve">Stock Analysis, RELX (London) forecast (June 2026): 2026 consensus EPS 141p. </w:t>
      </w:r>
      <w:hyperlink w:history="1" r:id="rIdbmpmuezrohtqbzod134eo">
        <w:r>
          <w:rPr>
            <w:rFonts w:ascii="Quicksand Light" w:cs="Quicksand Light" w:eastAsia="Quicksand Light" w:hAnsi="Quicksand Light"/>
            <w:color w:val="C21A27"/>
            <w:sz w:val="13"/>
            <w:szCs w:val="13"/>
            <w:u w:val="single"/>
          </w:rPr>
          <w:t xml:space="preserve">stockanalysis.com link</w:t>
        </w:r>
      </w:hyperlink>
    </w:p>
    <w:p>
      <w:pPr>
        <w:spacing w:after="6" w:before="0" w:line="204" w:lineRule="auto"/>
        <w:ind w:left="400" w:hanging="400"/>
      </w:pPr>
      <w:bookmarkStart w:name="src_W19" w:id="168"/>
      <w:r>
        <w:rPr>
          <w:rFonts w:ascii="Quicksand Medium" w:cs="Quicksand Medium" w:eastAsia="Quicksand Medium" w:hAnsi="Quicksand Medium"/>
          <w:color w:val="C21A27"/>
          <w:sz w:val="14"/>
          <w:szCs w:val="14"/>
        </w:rPr>
        <w:t xml:space="preserve">W19  </w:t>
      </w:r>
      <w:bookmarkEnd w:id="168"/>
      <w:r>
        <w:rPr>
          <w:rFonts w:ascii="Quicksand Light" w:cs="Quicksand Light" w:eastAsia="Quicksand Light" w:hAnsi="Quicksand Light"/>
          <w:color w:val="000000"/>
          <w:sz w:val="14"/>
          <w:szCs w:val="14"/>
        </w:rPr>
        <w:t xml:space="preserve">MarketScreener, RELX (London): 28 October 2026 close 2,891p. </w:t>
      </w:r>
      <w:hyperlink w:history="1" r:id="rIdloa84eg9c7din39vrn96k">
        <w:r>
          <w:rPr>
            <w:rFonts w:ascii="Quicksand Light" w:cs="Quicksand Light" w:eastAsia="Quicksand Light" w:hAnsi="Quicksand Light"/>
            <w:color w:val="C21A27"/>
            <w:sz w:val="13"/>
            <w:szCs w:val="13"/>
            <w:u w:val="single"/>
          </w:rPr>
          <w:t xml:space="preserve">uk.marketscreener.com link</w:t>
        </w:r>
      </w:hyperlink>
    </w:p>
    <w:p>
      <w:pPr>
        <w:spacing w:after="6" w:before="0" w:line="204" w:lineRule="auto"/>
        <w:ind w:left="400" w:hanging="400"/>
      </w:pPr>
      <w:bookmarkStart w:name="src_W20" w:id="169"/>
      <w:r>
        <w:rPr>
          <w:rFonts w:ascii="Quicksand Medium" w:cs="Quicksand Medium" w:eastAsia="Quicksand Medium" w:hAnsi="Quicksand Medium"/>
          <w:color w:val="C21A27"/>
          <w:sz w:val="14"/>
          <w:szCs w:val="14"/>
        </w:rPr>
        <w:t xml:space="preserve">W20  </w:t>
      </w:r>
      <w:bookmarkEnd w:id="169"/>
      <w:r>
        <w:rPr>
          <w:rFonts w:ascii="Quicksand Light" w:cs="Quicksand Light" w:eastAsia="Quicksand Light" w:hAnsi="Quicksand Light"/>
          <w:color w:val="000000"/>
          <w:sz w:val="14"/>
          <w:szCs w:val="14"/>
        </w:rPr>
        <w:t xml:space="preserve">Yahoo Finance, Verisk: 28 October 2026 close $189.80. </w:t>
      </w:r>
      <w:hyperlink w:history="1" r:id="rIdahqilsi7yz2otlj9yyyvu">
        <w:r>
          <w:rPr>
            <w:rFonts w:ascii="Quicksand Light" w:cs="Quicksand Light" w:eastAsia="Quicksand Light" w:hAnsi="Quicksand Light"/>
            <w:color w:val="C21A27"/>
            <w:sz w:val="13"/>
            <w:szCs w:val="13"/>
            <w:u w:val="single"/>
          </w:rPr>
          <w:t xml:space="preserve">finance.yahoo.com link</w:t>
        </w:r>
      </w:hyperlink>
    </w:p>
    <w:p>
      <w:pPr>
        <w:spacing w:after="6" w:before="0" w:line="204" w:lineRule="auto"/>
        <w:ind w:left="400" w:hanging="400"/>
      </w:pPr>
      <w:bookmarkStart w:name="src_W21" w:id="170"/>
      <w:r>
        <w:rPr>
          <w:rFonts w:ascii="Quicksand Medium" w:cs="Quicksand Medium" w:eastAsia="Quicksand Medium" w:hAnsi="Quicksand Medium"/>
          <w:color w:val="C21A27"/>
          <w:sz w:val="14"/>
          <w:szCs w:val="14"/>
        </w:rPr>
        <w:t xml:space="preserve">W21  </w:t>
      </w:r>
      <w:bookmarkEnd w:id="170"/>
      <w:r>
        <w:rPr>
          <w:rFonts w:ascii="Quicksand Light" w:cs="Quicksand Light" w:eastAsia="Quicksand Light" w:hAnsi="Quicksand Light"/>
          <w:color w:val="000000"/>
          <w:sz w:val="14"/>
          <w:szCs w:val="14"/>
        </w:rPr>
        <w:t xml:space="preserve">Yahoo Finance (Reuters), "Wolters Kluwer’s long-time CEO McKinstry to retire, shares tumble" (February 2025): shares near €159. </w:t>
      </w:r>
      <w:hyperlink w:history="1" r:id="rIdhkk_a6mfxkkbjzdofdj_b">
        <w:r>
          <w:rPr>
            <w:rFonts w:ascii="Quicksand Light" w:cs="Quicksand Light" w:eastAsia="Quicksand Light" w:hAnsi="Quicksand Light"/>
            <w:color w:val="C21A27"/>
            <w:sz w:val="13"/>
            <w:szCs w:val="13"/>
            <w:u w:val="single"/>
          </w:rPr>
          <w:t xml:space="preserve">finance.yahoo.com link</w:t>
        </w:r>
      </w:hyperlink>
    </w:p>
    <w:p>
      <w:pPr>
        <w:keepLines/>
        <w:spacing w:after="70" w:before="80" w:line="240" w:lineRule="auto"/>
        <w:jc w:val="both"/>
      </w:pPr>
      <w:r>
        <w:rPr>
          <w:rFonts w:ascii="Quicksand Medium" w:cs="Quicksand Medium" w:eastAsia="Quicksand Medium" w:hAnsi="Quicksand Medium"/>
          <w:color w:val="000000"/>
          <w:sz w:val="14"/>
          <w:szCs w:val="14"/>
        </w:rPr>
        <w:t xml:space="preserve">Philosophy test definitions</w:t>
      </w:r>
      <w:r>
        <w:rPr>
          <w:rFonts w:ascii="Quicksand Light" w:cs="Quicksand Light" w:eastAsia="Quicksand Light" w:hAnsi="Quicksand Light"/>
          <w:color w:val="000000"/>
          <w:sz w:val="14"/>
          <w:szCs w:val="14"/>
        </w:rPr>
        <w:t xml:space="preserve"> (all three companies) </w:t>
      </w:r>
      <w:r>
        <w:rPr>
          <w:rFonts w:ascii="Quicksand Light" w:cs="Quicksand Light" w:eastAsia="Quicksand Light" w:hAnsi="Quicksand Light"/>
          <w:color w:val="615F59"/>
          <w:sz w:val="11"/>
          <w:szCs w:val="11"/>
        </w:rPr>
        <w:t xml:space="preserve">[</w:t>
      </w:r>
      <w:hyperlink w:history="1" w:anchor="src_J1">
        <w:r>
          <w:rPr>
            <w:rFonts w:ascii="Quicksand Light" w:cs="Quicksand Light" w:eastAsia="Quicksand Light" w:hAnsi="Quicksand Light"/>
            <w:color w:val="615F59"/>
            <w:sz w:val="11"/>
            <w:szCs w:val="11"/>
          </w:rPr>
          <w:t xml:space="preserve">J1</w:t>
        </w:r>
      </w:hyperlink>
      <w:r>
        <w:rPr>
          <w:rFonts w:ascii="Quicksand Light" w:cs="Quicksand Light" w:eastAsia="Quicksand Light" w:hAnsi="Quicksand Light"/>
          <w:color w:val="615F59"/>
          <w:sz w:val="11"/>
          <w:szCs w:val="11"/>
        </w:rPr>
        <w:t xml:space="preserve">]</w:t>
      </w:r>
      <w:r>
        <w:rPr>
          <w:rFonts w:ascii="Quicksand Light" w:cs="Quicksand Light" w:eastAsia="Quicksand Light" w:hAnsi="Quicksand Light"/>
          <w:color w:val="000000"/>
          <w:sz w:val="14"/>
          <w:szCs w:val="14"/>
        </w:rPr>
        <w:t xml:space="preserve">: EPS growth uses reported diluted EPS, with growth of at least 10% in each year 2021–25. Net margin is reported net income ÷ revenue. ROE is net income ÷ the average of opening and closing equity. Debt/equity is current plus non-current borrowings (excluding leases) ÷ total equity at the latest balance sheet; acquisition pro forma figures are shown separately. Interest coverage is operating profit ÷ net interest, each year 2021–25. FCF is operating cash flow − capital expenditure. PASS needs a complete test; incomplete tests are UNVERIFIED.</w:t>
      </w:r>
    </w:p>
    <w:p>
      <w:pPr>
        <w:keepLines/>
        <w:spacing w:after="70" w:before="80" w:line="240" w:lineRule="auto"/>
        <w:jc w:val="both"/>
      </w:pPr>
      <w:r>
        <w:rPr>
          <w:rFonts w:ascii="Quicksand Light" w:cs="Quicksand Light" w:eastAsia="Quicksand Light" w:hAnsi="Quicksand Light"/>
          <w:color w:val="615F59"/>
          <w:sz w:val="14"/>
          <w:szCs w:val="14"/>
        </w:rPr>
        <w:t xml:space="preserve">Growth rates, margins, ratios, multiples, earnings bridges and scenario values are our calculations from the sources above. Prices are 28 October 2026 closes unless another date is shown. Consensus figures are aggregator or company-compiled snapshots and may differ by provider.</w:t>
      </w:r>
    </w:p>
    <w:sectPr>
      <w:headerReference w:type="default" r:id="rId7"/>
      <w:footerReference w:type="default" r:id="rId8"/>
      <w:pgSz w:w="12240" w:h="15840" w:orient="portrait"/>
      <w:pgMar w:top="1060" w:right="1152" w:bottom="820" w:left="1152"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4"/>
      </w:pBdr>
      <w:tabs>
        <w:tab w:val="right" w:pos="9936"/>
      </w:tabs>
    </w:pPr>
    <w:r>
      <w:rPr>
        <w:rFonts w:ascii="Quicksand Light" w:cs="Quicksand Light" w:eastAsia="Quicksand Light" w:hAnsi="Quicksand Light"/>
        <w:color w:val="615F59"/>
        <w:sz w:val="13"/>
        <w:szCs w:val="13"/>
      </w:rPr>
      <w:t xml:space="preserve">Internal research for JEME Capital associates. Not investment advice. Research date 29 October 2026.</w:t>
    </w:r>
    <w:r>
      <w:rPr>
        <w:rFonts w:ascii="Quicksand Light" w:cs="Quicksand Light" w:eastAsia="Quicksand Light" w:hAnsi="Quicksand Light"/>
        <w:color w:val="615F59"/>
        <w:sz w:val="14"/>
        <w:szCs w:val="14"/>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21A27" w:sz="8" w:space="4"/>
      </w:pBdr>
      <w:tabs>
        <w:tab w:val="right" w:pos="9936"/>
      </w:tabs>
      <w:spacing w:after="0" w:line="240" w:lineRule="auto"/>
    </w:pPr>
    <w:r>
      <w:drawing>
        <wp:inline distT="0" distB="0" distL="0" distR="0">
          <wp:extent cx="868680" cy="327355"/>
          <wp:effectExtent t="0" r="0" b="0" l="0"/>
          <wp:docPr id="1" name="logo" descr="JEME Bocconi Studenti logo" title="JE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68680" cy="327355"/>
                  </a:xfrm>
                  <a:prstGeom prst="rect">
                    <a:avLst/>
                  </a:prstGeom>
                </pic:spPr>
              </pic:pic>
            </a:graphicData>
          </a:graphic>
        </wp:inline>
      </w:drawing>
    </w:r>
    <w:r>
      <w:rPr>
        <w:rFonts w:ascii="Agus Sans" w:cs="Agus Sans" w:eastAsia="Agus Sans" w:hAnsi="Agus Sans"/>
        <w:color w:val="615F59"/>
        <w:sz w:val="14"/>
        <w:szCs w:val="14"/>
      </w:rPr>
      <w:t xml:space="preserve">	JEME CAPITAL  |  INDUSTRIALS RESEARCH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Quicksand Light" w:cs="Quicksand Light" w:eastAsia="Quicksand Light" w:hAnsi="Quicksand Light"/>
        <w:sz w:val="18"/>
        <w:szCs w:val="18"/>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uejgcvdq6zwsrmit15ds" Type="http://schemas.openxmlformats.org/officeDocument/2006/relationships/hyperlink" Target="https://www.iea.org/reports/energy-and-ai/executive-summary" TargetMode="External"/><Relationship Id="rIdmktmhwybss9luifsshg4b" Type="http://schemas.openxmlformats.org/officeDocument/2006/relationships/hyperlink" Target="https://247wallst.com/investing/2026/10/22/ge-vernova-slumps-11-as-metas-spending-outlook-stokes-ai-financing-worries-vertiv-holdings-drops-7-eaton-slides-6" TargetMode="External"/><Relationship Id="rIdtciclkq5c-0ckbsiawpyd" Type="http://schemas.openxmlformats.org/officeDocument/2006/relationships/hyperlink" Target="https://investor.atmeta.com/investor-news/press-release-details/2026/Meta-Reports-Third-Quarter-2026-Results/default.aspx" TargetMode="External"/><Relationship Id="rIdzrz4rey8p718bfb2mghoa" Type="http://schemas.openxmlformats.org/officeDocument/2006/relationships/hyperlink" Target="https://www.sec.gov/Archives/edgar/data/0001652044/000165204426000080/googexhibit991q32026.htm" TargetMode="External"/><Relationship Id="rIdfdc9vnbgdqs-cjnez4zar" Type="http://schemas.openxmlformats.org/officeDocument/2006/relationships/hyperlink" Target="https://www.se.com/ww/en/assets/564/document/528237/release-fy-results-2025.pdf" TargetMode="External"/><Relationship Id="rIdneqpiw8bv8xfwueiii0t_" Type="http://schemas.openxmlformats.org/officeDocument/2006/relationships/hyperlink" Target="https://www.se.com/ww/en/assets/pdf/release-hy-results-2026" TargetMode="External"/><Relationship Id="rIdians8syhvitpoq8kdkbkz" Type="http://schemas.openxmlformats.org/officeDocument/2006/relationships/hyperlink" Target="https://www.se.com/ww/en/assets/pdf/release-Q3-revenues-2026" TargetMode="External"/><Relationship Id="rIdrhqi2crap9lwsrugwlkt_" Type="http://schemas.openxmlformats.org/officeDocument/2006/relationships/hyperlink" Target="https://www.ptc.com/en/news/2026/schneider-electric-to-acquire-ptc" TargetMode="External"/><Relationship Id="rIduad2piq9otk6er9ailcbr" Type="http://schemas.openxmlformats.org/officeDocument/2006/relationships/hyperlink" Target="https://www.marketscreener.com/news/schneider-electric-raises-2026-targets-again-on-booming-data-centre-demand-ce785cdad98cf322" TargetMode="External"/><Relationship Id="rIdbo4otcwuxgib6eel039pl" Type="http://schemas.openxmlformats.org/officeDocument/2006/relationships/hyperlink" Target="https://www.se.com/ww/fr/assets/pdf/post-H1-2026-release-consensus" TargetMode="External"/><Relationship Id="rIdzf6rctzvnf8x1laoqbowd" Type="http://schemas.openxmlformats.org/officeDocument/2006/relationships/hyperlink" Target="https://www.morningstar.com/company-reports/1438585-schneider-earnings-best-in-class-organic-revenue-growth-and-2026-guidance-is-reflected-in-the-price" TargetMode="External"/><Relationship Id="rId6vyvjtehnd871hrpcthqh" Type="http://schemas.openxmlformats.org/officeDocument/2006/relationships/hyperlink" Target="https://www.se.com/ww/en/assets/564/document/528239/presentation-fy-results-2025.pdf" TargetMode="External"/><Relationship Id="rIdk9s7t5kxuhrvv3qoqsfod" Type="http://schemas.openxmlformats.org/officeDocument/2006/relationships/hyperlink" Target="https://www.marketscreener.com/quote/stock/SCHNEIDER-ELECTRIC-SE-4699/quotes/" TargetMode="External"/><Relationship Id="rIdjcd-o_swpfxjxiz1renpr" Type="http://schemas.openxmlformats.org/officeDocument/2006/relationships/hyperlink" Target="https://stockanalysis.com/quote/epa/SU/financials/income-statement/" TargetMode="External"/><Relationship Id="rId_ja1rinlzkjscsfjs3rum" Type="http://schemas.openxmlformats.org/officeDocument/2006/relationships/hyperlink" Target="https://www.ptc.com/en/news/2025/earnings-results-q4-fy25" TargetMode="External"/><Relationship Id="rIdlc6vt5srovplo_ncnxnjx" Type="http://schemas.openxmlformats.org/officeDocument/2006/relationships/hyperlink" Target="https://www.se.com/ww/en/assets/pdf/88a13b564d504489a60e78515594f41e" TargetMode="External"/><Relationship Id="rIdv29kt3chrd7t82pfxgtde" Type="http://schemas.openxmlformats.org/officeDocument/2006/relationships/hyperlink" Target="https://www.finanzwire.com/press-release/schneider-electric-epa-su-successful-issue-of-a-60-billion-bond-as-part-of-the-financing-of-the-ptc-acquisition-gXInqCaRQEG" TargetMode="External"/><Relationship Id="rIdwnypx_3ggy2ep5mxt_4ze" Type="http://schemas.openxmlformats.org/officeDocument/2006/relationships/hyperlink" Target="https://www.se.com/ww/en/assets/564/document/453166/presentation-fy-results-2023.pdf" TargetMode="External"/><Relationship Id="rIdmgggxejcyoutvmdfbs64h" Type="http://schemas.openxmlformats.org/officeDocument/2006/relationships/hyperlink" Target="https://www.se.com/ww/en/assets/564/document/505720/accounts-full-year-results-2024.pdf" TargetMode="External"/><Relationship Id="rIdcdipwox-hzuxnm3-ysahp" Type="http://schemas.openxmlformats.org/officeDocument/2006/relationships/hyperlink" Target="https://www.marketscreener.com/news/schneider-electric-2026-half-year-financial-statements-ce7f50dbde88f324" TargetMode="External"/><Relationship Id="rIdsfi90yulb5rek0tarn1qr" Type="http://schemas.openxmlformats.org/officeDocument/2006/relationships/hyperlink" Target="https://www.sec.gov/Archives/edgar/data/857005/000119312525266865/ptc-ex99_1.htm" TargetMode="External"/><Relationship Id="rIdyk1226qcqogwidkaq4fot" Type="http://schemas.openxmlformats.org/officeDocument/2006/relationships/hyperlink" Target="https://www.investing.com/equities/schneider-electr-earnings" TargetMode="External"/><Relationship Id="rIdtraj15m9pvucmugvfks-w" Type="http://schemas.openxmlformats.org/officeDocument/2006/relationships/hyperlink" Target="https://www.sec.gov/Archives/edgar/data/0001551182/000155118226000027/etn06302026exhibit99.htm" TargetMode="External"/><Relationship Id="rIdrsbz-tjyj6nxt45iac8ip" Type="http://schemas.openxmlformats.org/officeDocument/2006/relationships/hyperlink" Target="https://www.sec.gov/Archives/edgar/data/0000048898/000162828026067421/exhibit991_10272026.htm" TargetMode="External"/><Relationship Id="rIddj1au33uorjtfjfplhfli" Type="http://schemas.openxmlformats.org/officeDocument/2006/relationships/hyperlink" Target="https://www.sec.gov/Archives/edgar/data/0001674101/000162828026067707/q32026exhibit991vrt10282026.htm" TargetMode="External"/><Relationship Id="rIdq3zgowvziqortlhxazu7q" Type="http://schemas.openxmlformats.org/officeDocument/2006/relationships/hyperlink" Target="https://marketchameleon.com/Overview/ETN/Summary/" TargetMode="External"/><Relationship Id="rIdatrwzao_hseiuhlc8993n" Type="http://schemas.openxmlformats.org/officeDocument/2006/relationships/hyperlink" Target="https://www.heygotrade.com/en/us-stock/hubb/" TargetMode="External"/><Relationship Id="rIdp3flliyccina-v4etvv9h" Type="http://schemas.openxmlformats.org/officeDocument/2006/relationships/hyperlink" Target="https://stockanalysis.com/stocks/vrt/" TargetMode="External"/><Relationship Id="rId3ltuxbodzvwcso20we-pq" Type="http://schemas.openxmlformats.org/officeDocument/2006/relationships/hyperlink" Target="https://www.sec.gov/Archives/edgar/data/0000004281/000110465926119857/tm2628456d1_ex99-1.htm" TargetMode="External"/><Relationship Id="rIdwpqneo9u55rut0lsujxus" Type="http://schemas.openxmlformats.org/officeDocument/2006/relationships/hyperlink" Target="https://www.howmet.com/press-release/2026-02-12/howmet-aerospace-reports-fourth-quarter-and-full-year-2025-results/" TargetMode="External"/><Relationship Id="rIdmlymxigjdfszxf5kqmblj" Type="http://schemas.openxmlformats.org/officeDocument/2006/relationships/hyperlink" Target="https://www.sec.gov/Archives/edgar/data/4281/000000428126000012/hwm-20251231.htm" TargetMode="External"/><Relationship Id="rIdab919vrnvkbtvv0vginp9" Type="http://schemas.openxmlformats.org/officeDocument/2006/relationships/hyperlink" Target="https://www.howmet.com/wp-content/uploads/sites/3/2024/02/2023-Q4-Earnings-Press-Release.pdf" TargetMode="External"/><Relationship Id="rIdpxue6x2r8jfy4kiuhfqpw" Type="http://schemas.openxmlformats.org/officeDocument/2006/relationships/hyperlink" Target="https://www.howmet.com/press-release/2025-02-13/howmet-aerospace-reports-fourth-quarter-and-full-year-2024-results/" TargetMode="External"/><Relationship Id="rIduxubtk6wobwbhh55ozzzh" Type="http://schemas.openxmlformats.org/officeDocument/2006/relationships/hyperlink" Target="https://www.howmet.com/financial-release/2022-02-02/howmet-aerospace-reports-fourth-quarter-2021-and-full-year-2021-results/" TargetMode="External"/><Relationship Id="rIdjdfroyplvv0lvygucrblc" Type="http://schemas.openxmlformats.org/officeDocument/2006/relationships/hyperlink" Target="https://www.marketbeat.com/stocks/NYSE/HWM/" TargetMode="External"/><Relationship Id="rIdsxrtain8z0qw-vk6tsrmt" Type="http://schemas.openxmlformats.org/officeDocument/2006/relationships/hyperlink" Target="https://www.sec.gov/Archives/edgar/data/0000004281/000110465926056645/tm2613779d1_ex99-1.htm" TargetMode="External"/><Relationship Id="rIduli3hhedhkgerjotwnyi9" Type="http://schemas.openxmlformats.org/officeDocument/2006/relationships/hyperlink" Target="https://www.howmet.com/financial-release/2021-02-03/howmet-aerospace-reports-fourth-quarter-2020-and-full-year-2020-results/" TargetMode="External"/><Relationship Id="rId2x_2iuta0ninmnblxop5f" Type="http://schemas.openxmlformats.org/officeDocument/2006/relationships/hyperlink" Target="https://www.howmet.com/press-release/2023-02-14/howmet-aerospace-reports-fourth-quarter-and-full-year-2022-results/" TargetMode="External"/><Relationship Id="rIdymzdqx-lpo6o00anln6ed" Type="http://schemas.openxmlformats.org/officeDocument/2006/relationships/hyperlink" Target="https://www.sec.gov/Archives/edgar/data/4281/000110465922063643/tm2216225d1_ex99-1.htm" TargetMode="External"/><Relationship Id="rIdaxmvslz9xewiqhd7p3s-z" Type="http://schemas.openxmlformats.org/officeDocument/2006/relationships/hyperlink" Target="https://www.sec.gov/Archives/edgar/data/4281/000000428124000007/hwm-20231231.htm" TargetMode="External"/><Relationship Id="rIdld9pd9obihd_df7cj6itc" Type="http://schemas.openxmlformats.org/officeDocument/2006/relationships/hyperlink" Target="https://www.minichart.com.sg/2026/10/29/howmet-q3-revenue-jumps-29-to-2-7b-raises-2026-outlook-adds-5b-buyback/" TargetMode="External"/><Relationship Id="rIdrgw5jv5z9tg-p2l8vm9mt" Type="http://schemas.openxmlformats.org/officeDocument/2006/relationships/hyperlink" Target="https://www.miningstockeducation.com/2026/10/howmet-aerospace-reports-third-quarter-2026-results/" TargetMode="External"/><Relationship Id="rId9nko6oulduigkpozsxau7" Type="http://schemas.openxmlformats.org/officeDocument/2006/relationships/hyperlink" Target="https://www.howmet.com/press-release/2026-08-06/howmet-aerospace-reports-second-quarter-2026-results/" TargetMode="External"/><Relationship Id="rIdfore3xbvqlkeac48hfwuo" Type="http://schemas.openxmlformats.org/officeDocument/2006/relationships/hyperlink" Target="https://www.trefis.com/stock/hwm/articles/620309/howmet-aerospace-stock-5-straight-red-days-down-16/2026-10-24" TargetMode="External"/><Relationship Id="rIdg7ygfe4r8ml71nqvsi2t9" Type="http://schemas.openxmlformats.org/officeDocument/2006/relationships/hyperlink" Target="https://www.sec.gov/Archives/edgar/data/0000012927/000162828026067411/a202609sep308kprex991.htm" TargetMode="External"/><Relationship Id="rIdjlq2mnl4cntcsmkspmg7q" Type="http://schemas.openxmlformats.org/officeDocument/2006/relationships/hyperlink" Target="https://flightplan.forecastinternational.com/2026/09/09/airbus-and-boeing-report-august-2026-commercial-aircraft-orders-and-deliveries/" TargetMode="External"/><Relationship Id="rIdzkqzqopj2jdvafywwyrwa" Type="http://schemas.openxmlformats.org/officeDocument/2006/relationships/hyperlink" Target="https://www.sec.gov/Archives/edgar/data/0000040545/000004054526000063/ge3q2026earningsrelease.htm" TargetMode="External"/><Relationship Id="rIdtwx1aogelgey3wk8z68aa" Type="http://schemas.openxmlformats.org/officeDocument/2006/relationships/hyperlink" Target="https://stockanalysis.com/stocks/ge/" TargetMode="External"/><Relationship Id="rId3jb3fse7p6hcziuvhc803" Type="http://schemas.openxmlformats.org/officeDocument/2006/relationships/hyperlink" Target="https://www.benzinga.com/news/26/10/62464248/ge-aerospace-q3-2026-earnings-call-transcript" TargetMode="External"/><Relationship Id="rIduteggnqunsyqe-ihlr0u1" Type="http://schemas.openxmlformats.org/officeDocument/2006/relationships/hyperlink" Target="https://www.sec.gov/Archives/edgar/data/0001260221/000126022126000052/exhibit991tdg2026q3earning.htm" TargetMode="External"/><Relationship Id="rIdbbw-_yv9s3i_rwqpnku0e" Type="http://schemas.openxmlformats.org/officeDocument/2006/relationships/hyperlink" Target="https://massive.com/quote/tdg" TargetMode="External"/><Relationship Id="rIdpkujb1aagqmhtu-opc0db" Type="http://schemas.openxmlformats.org/officeDocument/2006/relationships/hyperlink" Target="https://www.globenewswire.com/news-release/2026/02/25/3244280/0/en/wolters-kluwer-2025-full-year-report.html" TargetMode="External"/><Relationship Id="rIdycqnaxcpn246g2zhxnt1e" Type="http://schemas.openxmlformats.org/officeDocument/2006/relationships/hyperlink" Target="https://www.globenewswire.com/news-release/2026/08/05/3339046/0/en/wolters-kluwer-2026-half-year-report.html" TargetMode="External"/><Relationship Id="rIdlfgrep1myjhcuv0ampkmp" Type="http://schemas.openxmlformats.org/officeDocument/2006/relationships/hyperlink" Target="https://www.wolterskluwer.com/en/investors/financials/5-year-key-figures" TargetMode="External"/><Relationship Id="rIdxmzcpxed-l_thma00diif" Type="http://schemas.openxmlformats.org/officeDocument/2006/relationships/hyperlink" Target="https://assets.contenthub.wolterskluwer.com/api/public/content/3118646-2026-02-25-wolters-kluwer-2025-full-year-results-7391945524?v=2c966da9" TargetMode="External"/><Relationship Id="rIdhpwlyqbtvosrk1gbfokq8" Type="http://schemas.openxmlformats.org/officeDocument/2006/relationships/hyperlink" Target="https://global.morningstar.com/en-nd/stocks/reuters-relx-wolters-stocks-crushed-after-anthropic-debuts-claude-legal-plug-in" TargetMode="External"/><Relationship Id="rIdknmoxaugurc7psx_t0ucm" Type="http://schemas.openxmlformats.org/officeDocument/2006/relationships/hyperlink" Target="https://twelvedata.com/markets/290351/stock/euronext/wkl/historical-data" TargetMode="External"/><Relationship Id="rIdfqets8uex07hjt1oyi31h" Type="http://schemas.openxmlformats.org/officeDocument/2006/relationships/hyperlink" Target="https://stockanalysis.com/quote/ams/WKL/forecast/" TargetMode="External"/><Relationship Id="rId1ptvcwrei7kl_mco5ykeb" Type="http://schemas.openxmlformats.org/officeDocument/2006/relationships/hyperlink" Target="https://www.relx.com/media/press-releases/year-2026/trading-update-oct" TargetMode="External"/><Relationship Id="rIdns1tup-m2ia9pg4dd6f3h" Type="http://schemas.openxmlformats.org/officeDocument/2006/relationships/hyperlink" Target="https://s29.q4cdn.com/767340216/files/doc_news/Verisk-Reports-SecondQuarter-2026Financial-Results-2026.pdf" TargetMode="External"/><Relationship Id="rIdaanhldoq2gty6bcqzofmj" Type="http://schemas.openxmlformats.org/officeDocument/2006/relationships/hyperlink" Target="https://finance.yahoo.com/technology/ai/articles/wolters-kluwer-nv-woltf-h1-190032345.html" TargetMode="External"/><Relationship Id="rId2nrzcmnrcehmqtvgqvpdf" Type="http://schemas.openxmlformats.org/officeDocument/2006/relationships/hyperlink" Target="https://stockanalysis.com/quote/vie/WKL/company" TargetMode="External"/><Relationship Id="rId_erxgty2l6kum4yxvbtei" Type="http://schemas.openxmlformats.org/officeDocument/2006/relationships/hyperlink" Target="https://assets.contenthub.wolterskluwer.com/api/public/content/3210406-wolters-kluwer-2025-annual-report-pdf-8bb01b4e47?v=ddef685b" TargetMode="External"/><Relationship Id="rIdhdtm5ketnkz1xxxhzmsre" Type="http://schemas.openxmlformats.org/officeDocument/2006/relationships/hyperlink" Target="https://www.investing.com/news/transcripts/earnings-call-transcript-wolters-kluwer-h1-2026-profit-rises-as-ai-rollout-accelerates-93CH-4837529" TargetMode="External"/><Relationship Id="rIdmic1gxd6jrgd_eaguw4n0" Type="http://schemas.openxmlformats.org/officeDocument/2006/relationships/hyperlink" Target="https://www.wolterskluwer.com/es/investors/calendar-faq/investor-calendar" TargetMode="External"/><Relationship Id="rIdbmpmuezrohtqbzod134eo" Type="http://schemas.openxmlformats.org/officeDocument/2006/relationships/hyperlink" Target="https://stockanalysis.com/quote/lon/REL/forecast/" TargetMode="External"/><Relationship Id="rIdloa84eg9c7din39vrn96k" Type="http://schemas.openxmlformats.org/officeDocument/2006/relationships/hyperlink" Target="https://uk.marketscreener.com/quote/stock/RELX-PLC-9590187/" TargetMode="External"/><Relationship Id="rIdahqilsi7yz2otlj9yyyvu" Type="http://schemas.openxmlformats.org/officeDocument/2006/relationships/hyperlink" Target="https://finance.yahoo.com/quote/VRSK/latest-news/" TargetMode="External"/><Relationship Id="rIdhkk_a6mfxkkbjzdofdj_b" Type="http://schemas.openxmlformats.org/officeDocument/2006/relationships/hyperlink" Target="https://finance.yahoo.com/news/wolters-kluwers-long-time-ceo-114011969.html" TargetMode="External"/><Relationship Id="rId9" Type="http://schemas.openxmlformats.org/officeDocument/2006/relationships/image" Target="media/9e3ed8c7a8d519a57f0674ceb995e1cfe125fb79.png"/><Relationship Id="rId10" Type="http://schemas.openxmlformats.org/officeDocument/2006/relationships/image" Target="media/6afac653a401cfd89e88a9fc6d3e8a98b6684b66.png"/><Relationship Id="rId11" Type="http://schemas.openxmlformats.org/officeDocument/2006/relationships/image" Target="media/670f66cebd7211d7f4de615a201c17b294196abf.png"/><Relationship Id="rId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c08f546930301b4a235d1ee47e6f10920b40b5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JEME Capital Industrials proposals: Schneider Electric, Howmet Aerospace, Wolters Kluwer</dc:title>
  <dc:creator>Tanmay Gambhir</dc:creator>
  <dc:description>Industrials research submission for associate review, 29 October 2026</dc:description>
  <cp:lastModifiedBy>Un-named</cp:lastModifiedBy>
  <cp:revision>1</cp:revision>
  <dcterms:created xsi:type="dcterms:W3CDTF">2026-10-29T13:26:03.101Z</dcterms:created>
  <dcterms:modified xsi:type="dcterms:W3CDTF">2026-10-29T13:26:03.101Z</dcterms:modified>
</cp:coreProperties>
</file>

<file path=docProps/custom.xml><?xml version="1.0" encoding="utf-8"?>
<Properties xmlns="http://schemas.openxmlformats.org/officeDocument/2006/custom-properties" xmlns:vt="http://schemas.openxmlformats.org/officeDocument/2006/docPropsVTypes"/>
</file>