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Immunogenicity</w:t>
      </w:r>
      <w:r>
        <w:t xml:space="preserve"> </w:t>
      </w:r>
      <w:r>
        <w:t xml:space="preserve">and</w:t>
      </w:r>
      <w:r>
        <w:t xml:space="preserve"> </w:t>
      </w:r>
      <w:r>
        <w:t xml:space="preserve">durability</w:t>
      </w:r>
      <w:r>
        <w:t xml:space="preserve"> </w:t>
      </w:r>
      <w:r>
        <w:t xml:space="preserve">of</w:t>
      </w:r>
      <w:r>
        <w:t xml:space="preserve"> </w:t>
      </w:r>
      <w:r>
        <w:t xml:space="preserve">up</w:t>
      </w:r>
      <w:r>
        <w:t xml:space="preserve"> </w:t>
      </w:r>
      <w:r>
        <w:t xml:space="preserve">to</w:t>
      </w:r>
      <w:r>
        <w:t xml:space="preserve"> </w:t>
      </w:r>
      <w:r>
        <w:t xml:space="preserve">four</w:t>
      </w:r>
      <w:r>
        <w:t xml:space="preserve"> </w:t>
      </w:r>
      <w:r>
        <w:t xml:space="preserve">doses</w:t>
      </w:r>
      <w:r>
        <w:t xml:space="preserve"> </w:t>
      </w:r>
      <w:r>
        <w:t xml:space="preserve">of</w:t>
      </w:r>
      <w:r>
        <w:t xml:space="preserve"> </w:t>
      </w:r>
      <w:r>
        <w:t xml:space="preserve">ancestral</w:t>
      </w:r>
      <w:r>
        <w:t xml:space="preserve"> </w:t>
      </w:r>
      <w:r>
        <w:t xml:space="preserve">SARS-CoV-2-based</w:t>
      </w:r>
      <w:r>
        <w:t xml:space="preserve"> </w:t>
      </w:r>
      <w:r>
        <w:t xml:space="preserve">mRNA</w:t>
      </w:r>
      <w:r>
        <w:t xml:space="preserve"> </w:t>
      </w:r>
      <w:r>
        <w:t xml:space="preserve">and</w:t>
      </w:r>
      <w:r>
        <w:t xml:space="preserve"> </w:t>
      </w:r>
      <w:r>
        <w:t xml:space="preserve">inactivated</w:t>
      </w:r>
      <w:r>
        <w:t xml:space="preserve"> </w:t>
      </w:r>
      <w:r>
        <w:t xml:space="preserve">COVID-19</w:t>
      </w:r>
      <w:r>
        <w:t xml:space="preserve"> </w:t>
      </w:r>
      <w:r>
        <w:t xml:space="preserve">vaccines</w:t>
      </w:r>
      <w:r>
        <w:t xml:space="preserve"> </w:t>
      </w:r>
      <w:r>
        <w:t xml:space="preserve">among</w:t>
      </w:r>
      <w:r>
        <w:t xml:space="preserve"> </w:t>
      </w:r>
      <w:r>
        <w:t xml:space="preserve">healthcare</w:t>
      </w:r>
      <w:r>
        <w:t xml:space="preserve"> </w:t>
      </w:r>
      <w:r>
        <w:t xml:space="preserve">workers</w:t>
      </w:r>
      <w:r>
        <w:t xml:space="preserve"> </w:t>
      </w:r>
      <w:r>
        <w:t xml:space="preserve">in</w:t>
      </w:r>
      <w:r>
        <w:t xml:space="preserve"> </w:t>
      </w:r>
      <w:r>
        <w:t xml:space="preserve">Hong</w:t>
      </w:r>
      <w:r>
        <w:t xml:space="preserve"> </w:t>
      </w:r>
      <w:r>
        <w:t xml:space="preserve">Kong</w:t>
      </w:r>
    </w:p>
    <w:p>
      <w:pPr>
        <w:pStyle w:val="Author"/>
      </w:pPr>
      <w:r>
        <w:t xml:space="preserve">Wey</w:t>
      </w:r>
      <w:r>
        <w:t xml:space="preserve"> </w:t>
      </w:r>
      <w:r>
        <w:t xml:space="preserve">Wen</w:t>
      </w:r>
      <w:r>
        <w:t xml:space="preserve"> </w:t>
      </w:r>
      <w:r>
        <w:t xml:space="preserve">Lim</w:t>
      </w:r>
      <w:r>
        <w:t xml:space="preserve"> </w:t>
      </w:r>
      <w:r>
        <w:t xml:space="preserve">and</w:t>
      </w:r>
      <w:r>
        <w:t xml:space="preserve"> </w:t>
      </w:r>
      <w:r>
        <w:t xml:space="preserve">Tanmayi</w:t>
      </w:r>
      <w:r>
        <w:t xml:space="preserve"> </w:t>
      </w:r>
      <w:r>
        <w:t xml:space="preserve">Patharkar</w:t>
      </w:r>
    </w:p>
    <w:p>
      <w:pPr>
        <w:pStyle w:val="FirstParagraph"/>
      </w:pPr>
    </w:p>
    <w:p>
      <w:pPr>
        <w:pStyle w:val="BodyText"/>
      </w:pPr>
      <w:r>
        <w:t xml:space="preserve">Abbreviations:</w:t>
      </w:r>
    </w:p>
    <w:p>
      <w:pPr>
        <w:pStyle w:val="BodyText"/>
      </w:pPr>
      <w:r>
        <w:t xml:space="preserve">healthcare workers (HCW)</w:t>
      </w:r>
    </w:p>
    <w:p>
      <w:pPr>
        <w:pStyle w:val="BodyText"/>
      </w:pPr>
    </w:p>
    <w:p>
      <w:pPr>
        <w:pStyle w:val="Heading1"/>
      </w:pPr>
      <w:r>
        <w:t xml:space="preserve">Methods</w:t>
      </w:r>
    </w:p>
    <w:p>
      <w:pPr>
        <w:pStyle w:val="BodyText"/>
      </w:pPr>
      <w:r>
        <w:t xml:space="preserve">Since June 2020, HCWs were recruited from public and private healthcare institutions from around Hong Kong. We defined HCWs as anyone who worked in a hospital or medical clinic for at least six months, including medical, allied health, administrative, and support staff. Medically trained personnel working in community healthcare settings such as residential care homes, prisons, and schools are not included.</w:t>
      </w:r>
    </w:p>
    <w:p>
      <w:pPr>
        <w:pStyle w:val="BodyText"/>
      </w:pPr>
    </w:p>
    <w:p>
      <w:pPr>
        <w:pStyle w:val="Heading1"/>
      </w:pPr>
      <w:r>
        <w:t xml:space="preserve">Results</w:t>
      </w:r>
    </w:p>
    <w:p>
      <w:pPr>
        <w:pStyle w:val="BodyText"/>
      </w:pPr>
      <w:r>
        <w:t xml:space="preserve">Between June 2020 and February 2023,</w:t>
      </w:r>
    </w:p>
    <w:p>
      <w:pPr>
        <w:pStyle w:val="BodyText"/>
      </w:pPr>
      <w:r>
        <w:drawing>
          <wp:inline>
            <wp:extent cx="5943600" cy="4754880"/>
            <wp:effectExtent b="0" l="0" r="0" t="0"/>
            <wp:docPr descr="" title="" id="21" name="Picture"/>
            <a:graphic>
              <a:graphicData uri="http://schemas.openxmlformats.org/drawingml/2006/picture">
                <pic:pic>
                  <pic:nvPicPr>
                    <pic:cNvPr descr="20251107_hcw_abwane_results_files/figure-docx/Figure%201-1.png" id="22" name="Picture"/>
                    <pic:cNvPicPr>
                      <a:picLocks noChangeArrowheads="1" noChangeAspect="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24" name="Picture"/>
            <a:graphic>
              <a:graphicData uri="http://schemas.openxmlformats.org/drawingml/2006/picture">
                <pic:pic>
                  <pic:nvPicPr>
                    <pic:cNvPr descr="20251107_hcw_abwane_results_files/figure-docx/Figure%202-1.png" id="25" name="Picture"/>
                    <pic:cNvPicPr>
                      <a:picLocks noChangeArrowheads="1" noChangeAspect="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27" name="Picture"/>
            <a:graphic>
              <a:graphicData uri="http://schemas.openxmlformats.org/drawingml/2006/picture">
                <pic:pic>
                  <pic:nvPicPr>
                    <pic:cNvPr descr="20251107_hcw_abwane_results_files/figure-docx/Supplementary%20Figure%201-1.png" id="28" name="Picture"/>
                    <pic:cNvPicPr>
                      <a:picLocks noChangeArrowheads="1" noChangeAspect="1"/>
                    </pic:cNvPicPr>
                  </pic:nvPicPr>
                  <pic:blipFill>
                    <a:blip r:embed="rId2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30" name="Picture"/>
            <a:graphic>
              <a:graphicData uri="http://schemas.openxmlformats.org/drawingml/2006/picture">
                <pic:pic>
                  <pic:nvPicPr>
                    <pic:cNvPr descr="20251107_hcw_abwane_results_files/figure-docx/Supplementary%20Figure%202-1.png" id="31" name="Picture"/>
                    <pic:cNvPicPr>
                      <a:picLocks noChangeArrowheads="1" noChangeAspect="1"/>
                    </pic:cNvPicPr>
                  </pic:nvPicPr>
                  <pic:blipFill>
                    <a:blip r:embed="rId29"/>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33" name="Picture"/>
            <a:graphic>
              <a:graphicData uri="http://schemas.openxmlformats.org/drawingml/2006/picture">
                <pic:pic>
                  <pic:nvPicPr>
                    <pic:cNvPr descr="20251107_hcw_abwane_results_files/figure-docx/Supplementary%20Figure%203-1.png" id="34" name="Picture"/>
                    <pic:cNvPicPr>
                      <a:picLocks noChangeArrowheads="1" noChangeAspect="1"/>
                    </pic:cNvPicPr>
                  </pic:nvPicPr>
                  <pic:blipFill>
                    <a:blip r:embed="rId32"/>
                    <a:stretch>
                      <a:fillRect/>
                    </a:stretch>
                  </pic:blipFill>
                  <pic:spPr bwMode="auto">
                    <a:xfrm>
                      <a:off x="0" y="0"/>
                      <a:ext cx="5943600" cy="4754880"/>
                    </a:xfrm>
                    <a:prstGeom prst="rect">
                      <a:avLst/>
                    </a:prstGeom>
                    <a:noFill/>
                    <a:ln w="9525">
                      <a:noFill/>
                      <a:headEnd/>
                      <a:tailEnd/>
                    </a:ln>
                  </pic:spPr>
                </pic:pic>
              </a:graphicData>
            </a:graphic>
          </wp:inline>
        </w:drawing>
      </w:r>
    </w:p>
    <w:sectPr w:rsidR="00323678" w:rsidRPr="0032367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04"/>
    <w:rsid w:val="000A56AB"/>
    <w:rsid w:val="000D0E07"/>
    <w:rsid w:val="000D6551"/>
    <w:rsid w:val="001202E0"/>
    <w:rsid w:val="0013303D"/>
    <w:rsid w:val="00170D66"/>
    <w:rsid w:val="001A25B7"/>
    <w:rsid w:val="001C3959"/>
    <w:rsid w:val="001D1944"/>
    <w:rsid w:val="001D6157"/>
    <w:rsid w:val="002241D0"/>
    <w:rsid w:val="002B549F"/>
    <w:rsid w:val="002B6104"/>
    <w:rsid w:val="002C3A1B"/>
    <w:rsid w:val="002F13DA"/>
    <w:rsid w:val="00323678"/>
    <w:rsid w:val="00326723"/>
    <w:rsid w:val="00340038"/>
    <w:rsid w:val="00347850"/>
    <w:rsid w:val="003977D1"/>
    <w:rsid w:val="003B7873"/>
    <w:rsid w:val="0046009D"/>
    <w:rsid w:val="0048776A"/>
    <w:rsid w:val="00493385"/>
    <w:rsid w:val="005045E6"/>
    <w:rsid w:val="00527975"/>
    <w:rsid w:val="00534360"/>
    <w:rsid w:val="00541FAF"/>
    <w:rsid w:val="00557187"/>
    <w:rsid w:val="005656A7"/>
    <w:rsid w:val="00572C04"/>
    <w:rsid w:val="005845D8"/>
    <w:rsid w:val="005B4590"/>
    <w:rsid w:val="005C0E6B"/>
    <w:rsid w:val="005C7D6F"/>
    <w:rsid w:val="005D4EED"/>
    <w:rsid w:val="005E1BE6"/>
    <w:rsid w:val="006156F5"/>
    <w:rsid w:val="0068685B"/>
    <w:rsid w:val="006C62EF"/>
    <w:rsid w:val="006F6DB3"/>
    <w:rsid w:val="00705477"/>
    <w:rsid w:val="00714596"/>
    <w:rsid w:val="0072035D"/>
    <w:rsid w:val="00721EE2"/>
    <w:rsid w:val="00726CA5"/>
    <w:rsid w:val="007B68DB"/>
    <w:rsid w:val="007D5322"/>
    <w:rsid w:val="007E6C05"/>
    <w:rsid w:val="007F3AC0"/>
    <w:rsid w:val="008F50D9"/>
    <w:rsid w:val="009027B6"/>
    <w:rsid w:val="00910F5C"/>
    <w:rsid w:val="00912AB6"/>
    <w:rsid w:val="009224F8"/>
    <w:rsid w:val="00946367"/>
    <w:rsid w:val="00956545"/>
    <w:rsid w:val="009749C0"/>
    <w:rsid w:val="009A23D1"/>
    <w:rsid w:val="00A23A0A"/>
    <w:rsid w:val="00A3387C"/>
    <w:rsid w:val="00A56EA9"/>
    <w:rsid w:val="00AB7816"/>
    <w:rsid w:val="00AE09CB"/>
    <w:rsid w:val="00AF1DCE"/>
    <w:rsid w:val="00B355DE"/>
    <w:rsid w:val="00B364CD"/>
    <w:rsid w:val="00B60578"/>
    <w:rsid w:val="00B73337"/>
    <w:rsid w:val="00B74F88"/>
    <w:rsid w:val="00BE0C88"/>
    <w:rsid w:val="00C44244"/>
    <w:rsid w:val="00C51450"/>
    <w:rsid w:val="00C87725"/>
    <w:rsid w:val="00CE3418"/>
    <w:rsid w:val="00CF18D3"/>
    <w:rsid w:val="00D1295E"/>
    <w:rsid w:val="00D12A62"/>
    <w:rsid w:val="00D56D93"/>
    <w:rsid w:val="00DB5C3C"/>
    <w:rsid w:val="00DC1F16"/>
    <w:rsid w:val="00E01B69"/>
    <w:rsid w:val="00E01EE7"/>
    <w:rsid w:val="00E30B33"/>
    <w:rsid w:val="00EB38AE"/>
    <w:rsid w:val="00F245E5"/>
    <w:rsid w:val="00FA22F2"/>
    <w:rsid w:val="00FF1885"/>
  </w:rsids>
  <w:themeFontLang w:eastAsia="zh-TW"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TW"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70D66"/>
    <w:pPr>
      <w:spacing w:after="0" w:line="360" w:lineRule="auto"/>
      <w:jc w:val="both"/>
    </w:pPr>
    <w:rPr>
      <w:rFonts w:ascii="Arial" w:cs="Arial" w:hAnsi="Arial"/>
      <w:sz w:val="20"/>
      <w:szCs w:val="20"/>
    </w:rPr>
  </w:style>
  <w:style w:styleId="Heading1" w:type="paragraph">
    <w:name w:val="heading 1"/>
    <w:basedOn w:val="Normal"/>
    <w:next w:val="Normal"/>
    <w:link w:val="Heading1Char"/>
    <w:uiPriority w:val="9"/>
    <w:qFormat/>
    <w:rsid w:val="00170D66"/>
    <w:pPr>
      <w:outlineLvl w:val="0"/>
    </w:pPr>
    <w:rPr>
      <w:b/>
      <w:bCs/>
    </w:rPr>
  </w:style>
  <w:style w:styleId="Heading2" w:type="paragraph">
    <w:name w:val="heading 2"/>
    <w:basedOn w:val="Normal"/>
    <w:next w:val="Normal"/>
    <w:link w:val="Heading2Char"/>
    <w:uiPriority w:val="9"/>
    <w:unhideWhenUsed/>
    <w:qFormat/>
    <w:rsid w:val="00170D66"/>
    <w:pPr>
      <w:outlineLvl w:val="1"/>
    </w:pPr>
    <w:rPr>
      <w:i/>
      <w:iCs/>
    </w:rPr>
  </w:style>
  <w:style w:styleId="Heading3" w:type="paragraph">
    <w:name w:val="heading 3"/>
    <w:basedOn w:val="Normal"/>
    <w:next w:val="Normal"/>
    <w:link w:val="Heading3Char"/>
    <w:uiPriority w:val="9"/>
    <w:unhideWhenUsed/>
    <w:qFormat/>
    <w:rsid w:val="00170D66"/>
    <w:pPr>
      <w:outlineLvl w:val="2"/>
    </w:pPr>
    <w:rPr>
      <w:sz w:val="19"/>
      <w:szCs w:val="19"/>
    </w:rPr>
  </w:style>
  <w:style w:styleId="Heading4" w:type="paragraph">
    <w:name w:val="heading 4"/>
    <w:basedOn w:val="Normal"/>
    <w:next w:val="Normal"/>
    <w:link w:val="Heading4Char"/>
    <w:uiPriority w:val="9"/>
    <w:unhideWhenUsed/>
    <w:qFormat/>
    <w:rsid w:val="00170D66"/>
    <w:pPr>
      <w:outlineLvl w:val="3"/>
    </w:pPr>
    <w:rPr>
      <w:sz w:val="18"/>
      <w:szCs w:val="18"/>
    </w:rPr>
  </w:style>
  <w:style w:styleId="Heading5" w:type="paragraph">
    <w:name w:val="heading 5"/>
    <w:basedOn w:val="Normal"/>
    <w:next w:val="Normal"/>
    <w:link w:val="Heading5Char"/>
    <w:uiPriority w:val="9"/>
    <w:semiHidden/>
    <w:unhideWhenUsed/>
    <w:qFormat/>
    <w:rsid w:val="002B6104"/>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2B6104"/>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2B6104"/>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2B6104"/>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2B6104"/>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70D66"/>
    <w:rPr>
      <w:rFonts w:ascii="Arial" w:cs="Arial" w:hAnsi="Arial"/>
      <w:b/>
      <w:bCs/>
      <w:sz w:val="20"/>
      <w:szCs w:val="20"/>
    </w:rPr>
  </w:style>
  <w:style w:customStyle="1" w:styleId="Heading2Char" w:type="character">
    <w:name w:val="Heading 2 Char"/>
    <w:basedOn w:val="DefaultParagraphFont"/>
    <w:link w:val="Heading2"/>
    <w:uiPriority w:val="9"/>
    <w:rsid w:val="00170D66"/>
    <w:rPr>
      <w:rFonts w:ascii="Arial" w:cs="Arial" w:hAnsi="Arial"/>
      <w:i/>
      <w:iCs/>
      <w:sz w:val="20"/>
      <w:szCs w:val="20"/>
    </w:rPr>
  </w:style>
  <w:style w:customStyle="1" w:styleId="Heading3Char" w:type="character">
    <w:name w:val="Heading 3 Char"/>
    <w:basedOn w:val="DefaultParagraphFont"/>
    <w:link w:val="Heading3"/>
    <w:uiPriority w:val="9"/>
    <w:rsid w:val="00170D66"/>
    <w:rPr>
      <w:rFonts w:ascii="Arial" w:cs="Arial" w:hAnsi="Arial"/>
      <w:sz w:val="19"/>
      <w:szCs w:val="19"/>
    </w:rPr>
  </w:style>
  <w:style w:customStyle="1" w:styleId="Heading4Char" w:type="character">
    <w:name w:val="Heading 4 Char"/>
    <w:basedOn w:val="DefaultParagraphFont"/>
    <w:link w:val="Heading4"/>
    <w:uiPriority w:val="9"/>
    <w:rsid w:val="00170D66"/>
    <w:rPr>
      <w:rFonts w:ascii="Arial" w:cs="Arial" w:hAnsi="Arial"/>
      <w:sz w:val="18"/>
      <w:szCs w:val="18"/>
    </w:rPr>
  </w:style>
  <w:style w:customStyle="1" w:styleId="Heading5Char" w:type="character">
    <w:name w:val="Heading 5 Char"/>
    <w:basedOn w:val="DefaultParagraphFont"/>
    <w:link w:val="Heading5"/>
    <w:uiPriority w:val="9"/>
    <w:semiHidden/>
    <w:rsid w:val="002B6104"/>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2B6104"/>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2B6104"/>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2B6104"/>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2B6104"/>
    <w:rPr>
      <w:rFonts w:cstheme="majorBidi" w:eastAsiaTheme="majorEastAsia"/>
      <w:color w:themeColor="text1" w:themeTint="D8" w:val="272727"/>
    </w:rPr>
  </w:style>
  <w:style w:styleId="Title" w:type="paragraph">
    <w:name w:val="Title"/>
    <w:basedOn w:val="Normal"/>
    <w:next w:val="Normal"/>
    <w:link w:val="TitleChar"/>
    <w:uiPriority w:val="10"/>
    <w:qFormat/>
    <w:rsid w:val="00170D66"/>
    <w:rPr>
      <w:b/>
      <w:bCs/>
      <w:sz w:val="22"/>
      <w:szCs w:val="22"/>
    </w:rPr>
  </w:style>
  <w:style w:customStyle="1" w:styleId="TitleChar" w:type="character">
    <w:name w:val="Title Char"/>
    <w:basedOn w:val="DefaultParagraphFont"/>
    <w:link w:val="Title"/>
    <w:uiPriority w:val="10"/>
    <w:rsid w:val="00170D66"/>
    <w:rPr>
      <w:rFonts w:ascii="Arial" w:cs="Arial" w:hAnsi="Arial"/>
      <w:b/>
      <w:bCs/>
      <w:sz w:val="22"/>
      <w:szCs w:val="22"/>
    </w:rPr>
  </w:style>
  <w:style w:styleId="Subtitle" w:type="paragraph">
    <w:name w:val="Subtitle"/>
    <w:basedOn w:val="Normal"/>
    <w:next w:val="Normal"/>
    <w:link w:val="SubtitleChar"/>
    <w:uiPriority w:val="11"/>
    <w:qFormat/>
    <w:rsid w:val="002B6104"/>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2B6104"/>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2B6104"/>
    <w:pPr>
      <w:spacing w:before="160"/>
      <w:jc w:val="center"/>
    </w:pPr>
    <w:rPr>
      <w:i/>
      <w:iCs/>
      <w:color w:themeColor="text1" w:themeTint="BF" w:val="404040"/>
    </w:rPr>
  </w:style>
  <w:style w:customStyle="1" w:styleId="QuoteChar" w:type="character">
    <w:name w:val="Quote Char"/>
    <w:basedOn w:val="DefaultParagraphFont"/>
    <w:link w:val="Quote"/>
    <w:uiPriority w:val="29"/>
    <w:rsid w:val="002B6104"/>
    <w:rPr>
      <w:i/>
      <w:iCs/>
      <w:color w:themeColor="text1" w:themeTint="BF" w:val="404040"/>
    </w:rPr>
  </w:style>
  <w:style w:styleId="ListParagraph" w:type="paragraph">
    <w:name w:val="List Paragraph"/>
    <w:basedOn w:val="Normal"/>
    <w:uiPriority w:val="34"/>
    <w:qFormat/>
    <w:rsid w:val="002B6104"/>
    <w:pPr>
      <w:ind w:left="720"/>
      <w:contextualSpacing/>
    </w:pPr>
  </w:style>
  <w:style w:styleId="IntenseEmphasis" w:type="character">
    <w:name w:val="Intense Emphasis"/>
    <w:basedOn w:val="DefaultParagraphFont"/>
    <w:uiPriority w:val="21"/>
    <w:qFormat/>
    <w:rsid w:val="002B6104"/>
    <w:rPr>
      <w:i/>
      <w:iCs/>
      <w:color w:themeColor="accent1" w:themeShade="BF" w:val="0F4761"/>
    </w:rPr>
  </w:style>
  <w:style w:styleId="IntenseQuote" w:type="paragraph">
    <w:name w:val="Intense Quote"/>
    <w:basedOn w:val="Normal"/>
    <w:next w:val="Normal"/>
    <w:link w:val="IntenseQuoteChar"/>
    <w:uiPriority w:val="30"/>
    <w:qFormat/>
    <w:rsid w:val="002B6104"/>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2B6104"/>
    <w:rPr>
      <w:i/>
      <w:iCs/>
      <w:color w:themeColor="accent1" w:themeShade="BF" w:val="0F4761"/>
    </w:rPr>
  </w:style>
  <w:style w:styleId="IntenseReference" w:type="character">
    <w:name w:val="Intense Reference"/>
    <w:basedOn w:val="DefaultParagraphFont"/>
    <w:uiPriority w:val="32"/>
    <w:qFormat/>
    <w:rsid w:val="002B6104"/>
    <w:rPr>
      <w:b/>
      <w:bCs/>
      <w:smallCaps/>
      <w:color w:themeColor="accent1" w:themeShade="BF" w:val="0F4761"/>
      <w:spacing w:val="5"/>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Words>
  <Characters>112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Immunogenicity and durability of up to four doses of ancestral SARS-CoV-2-based mRNA and inactivated COVID-19 vaccines among healthcare workers in Hong Kong</dc:title>
  <dc:creator>Wey Wen Lim and Tanmayi Patharkar</dc:creator>
  <cp:keywords/>
  <dcterms:created xsi:type="dcterms:W3CDTF">2025-11-12T02:45:24Z</dcterms:created>
  <dcterms:modified xsi:type="dcterms:W3CDTF">2025-11-12T02:45:24Z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output">
    <vt:lpwstr/>
  </property>
  <property fmtid="{D5CDD505-2E9C-101B-9397-08002B2CF9AE}" pid="4" name="site">
    <vt:lpwstr>bookdown::bookdown_site</vt:lpwstr>
  </property>
</Properties>
</file>