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76"/>
        <w:gridCol w:w="7341"/>
      </w:tblGrid>
      <w:tr w:rsidR="00CF1D71" w14:paraId="70CAC3C9" w14:textId="77777777">
        <w:trPr>
          <w:trHeight w:val="1781"/>
        </w:trPr>
        <w:tc>
          <w:tcPr>
            <w:tcW w:w="1998" w:type="dxa"/>
          </w:tcPr>
          <w:p w14:paraId="554D8598" w14:textId="615D8103" w:rsidR="00CF1D71" w:rsidRDefault="000A7428" w:rsidP="00912F88">
            <w:pPr>
              <w:spacing w:line="360" w:lineRule="auto"/>
              <w:ind w:left="144"/>
            </w:pPr>
            <w:r>
              <w:rPr>
                <w:noProof/>
                <w:lang w:val="en-IN" w:eastAsia="en-IN"/>
              </w:rPr>
              <w:drawing>
                <wp:anchor distT="0" distB="0" distL="114300" distR="114300" simplePos="0" relativeHeight="2" behindDoc="1" locked="0" layoutInCell="1" allowOverlap="1" wp14:anchorId="38D5DDF5" wp14:editId="620FB100">
                  <wp:simplePos x="0" y="0"/>
                  <wp:positionH relativeFrom="column">
                    <wp:posOffset>-137160</wp:posOffset>
                  </wp:positionH>
                  <wp:positionV relativeFrom="paragraph">
                    <wp:posOffset>111760</wp:posOffset>
                  </wp:positionV>
                  <wp:extent cx="784860" cy="822959"/>
                  <wp:effectExtent l="19050" t="0" r="0" b="0"/>
                  <wp:wrapTight wrapText="bothSides">
                    <wp:wrapPolygon edited="0">
                      <wp:start x="6816" y="500"/>
                      <wp:lineTo x="4718" y="1000"/>
                      <wp:lineTo x="-524" y="6500"/>
                      <wp:lineTo x="1049" y="21000"/>
                      <wp:lineTo x="20447" y="21000"/>
                      <wp:lineTo x="19922" y="17000"/>
                      <wp:lineTo x="19922" y="16500"/>
                      <wp:lineTo x="21495" y="9500"/>
                      <wp:lineTo x="21495" y="6000"/>
                      <wp:lineTo x="17825" y="2000"/>
                      <wp:lineTo x="14680" y="500"/>
                      <wp:lineTo x="6816" y="500"/>
                    </wp:wrapPolygon>
                  </wp:wrapTight>
                  <wp:docPr id="1026" name="Picture 1" descr="C:\Users\EEE DEO\Downloads\bnmitlogo_transparent_background.pn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7" cstate="print"/>
                          <a:srcRect/>
                          <a:stretch/>
                        </pic:blipFill>
                        <pic:spPr>
                          <a:xfrm>
                            <a:off x="0" y="0"/>
                            <a:ext cx="784860" cy="822959"/>
                          </a:xfrm>
                          <a:prstGeom prst="rect">
                            <a:avLst/>
                          </a:prstGeom>
                          <a:ln>
                            <a:noFill/>
                          </a:ln>
                        </pic:spPr>
                      </pic:pic>
                    </a:graphicData>
                  </a:graphic>
                  <wp14:sizeRelH relativeFrom="margin">
                    <wp14:pctWidth>0</wp14:pctWidth>
                  </wp14:sizeRelH>
                  <wp14:sizeRelV relativeFrom="margin">
                    <wp14:pctHeight>0</wp14:pctHeight>
                  </wp14:sizeRelV>
                </wp:anchor>
              </w:drawing>
            </w:r>
          </w:p>
        </w:tc>
        <w:tc>
          <w:tcPr>
            <w:tcW w:w="7535" w:type="dxa"/>
            <w:vAlign w:val="center"/>
          </w:tcPr>
          <w:p w14:paraId="1A0AE9BE" w14:textId="34D7AFB5" w:rsidR="00CF1D71" w:rsidRPr="00CA4882" w:rsidRDefault="000A7428" w:rsidP="00912F88">
            <w:pPr>
              <w:spacing w:before="120" w:line="360" w:lineRule="auto"/>
              <w:rPr>
                <w:b/>
                <w:color w:val="ED7D31"/>
                <w:sz w:val="56"/>
              </w:rPr>
            </w:pPr>
            <w:r>
              <w:rPr>
                <w:b/>
                <w:color w:val="ED7D31"/>
                <w:sz w:val="56"/>
              </w:rPr>
              <w:t>B.N.M. Institute of Technology</w:t>
            </w:r>
          </w:p>
          <w:p w14:paraId="2FB5E97A" w14:textId="77777777" w:rsidR="00CF1D71" w:rsidRDefault="000A7428" w:rsidP="00912F88">
            <w:pPr>
              <w:spacing w:line="360" w:lineRule="auto"/>
            </w:pPr>
            <w:r>
              <w:rPr>
                <w:b/>
                <w:sz w:val="28"/>
                <w:szCs w:val="22"/>
              </w:rPr>
              <w:t>An Autonomous Institution under VTU</w:t>
            </w:r>
          </w:p>
        </w:tc>
      </w:tr>
    </w:tbl>
    <w:p w14:paraId="613EDC8A" w14:textId="6E45C82F" w:rsidR="00912F88" w:rsidRDefault="00B63AE1" w:rsidP="00B63AE1">
      <w:pPr>
        <w:pStyle w:val="HTMLPreformatted"/>
        <w:spacing w:line="360" w:lineRule="auto"/>
        <w:rPr>
          <w:rFonts w:ascii="Times New Roman" w:hAnsi="Times New Roman"/>
          <w:b/>
          <w:bCs/>
          <w:sz w:val="28"/>
          <w:szCs w:val="28"/>
        </w:rPr>
      </w:pPr>
      <w:r>
        <w:rPr>
          <w:rFonts w:ascii="Times New Roman" w:hAnsi="Times New Roman"/>
          <w:b/>
          <w:bCs/>
          <w:sz w:val="28"/>
          <w:szCs w:val="28"/>
        </w:rPr>
        <w:t xml:space="preserve">                    </w:t>
      </w:r>
      <w:r w:rsidR="000A7428">
        <w:rPr>
          <w:rFonts w:ascii="Times New Roman" w:hAnsi="Times New Roman"/>
          <w:b/>
          <w:bCs/>
          <w:sz w:val="28"/>
          <w:szCs w:val="28"/>
        </w:rPr>
        <w:t>Department of Information Science and Engineering</w:t>
      </w:r>
    </w:p>
    <w:p w14:paraId="741EEE25" w14:textId="439F8714" w:rsidR="000A7428" w:rsidRPr="00912F88" w:rsidRDefault="00CB78DC" w:rsidP="00912F88">
      <w:pPr>
        <w:pStyle w:val="HTMLPreformatted"/>
        <w:spacing w:line="360" w:lineRule="auto"/>
        <w:ind w:left="144"/>
        <w:jc w:val="center"/>
        <w:rPr>
          <w:rFonts w:ascii="Times New Roman" w:hAnsi="Times New Roman"/>
          <w:b/>
          <w:bCs/>
          <w:sz w:val="28"/>
          <w:szCs w:val="28"/>
        </w:rPr>
      </w:pPr>
      <w:r>
        <w:rPr>
          <w:sz w:val="28"/>
          <w:szCs w:val="28"/>
          <w:u w:val="single"/>
        </w:rPr>
        <w:t>2026- 2027</w:t>
      </w:r>
    </w:p>
    <w:p w14:paraId="4388FF73" w14:textId="5A0DE826" w:rsidR="00CF1D71" w:rsidRPr="00912F88" w:rsidRDefault="000A7428" w:rsidP="00912F88">
      <w:pPr>
        <w:spacing w:line="360" w:lineRule="auto"/>
        <w:jc w:val="center"/>
        <w:rPr>
          <w:b/>
          <w:sz w:val="28"/>
          <w:szCs w:val="28"/>
        </w:rPr>
      </w:pPr>
      <w:r>
        <w:rPr>
          <w:b/>
          <w:sz w:val="28"/>
          <w:szCs w:val="28"/>
        </w:rPr>
        <w:t>Innovative Project Lab</w:t>
      </w:r>
    </w:p>
    <w:p w14:paraId="79BCBB89" w14:textId="77777777" w:rsidR="00CF1D71" w:rsidRDefault="000A7428" w:rsidP="00912F88">
      <w:pPr>
        <w:spacing w:before="60" w:after="60" w:line="360" w:lineRule="auto"/>
        <w:jc w:val="center"/>
        <w:rPr>
          <w:b/>
          <w:bCs/>
        </w:rPr>
      </w:pPr>
      <w:r>
        <w:rPr>
          <w:b/>
          <w:bCs/>
        </w:rPr>
        <w:t>SYNOPSIS ON</w:t>
      </w:r>
    </w:p>
    <w:p w14:paraId="1F52A34A" w14:textId="2E470A5B" w:rsidR="007020CC" w:rsidRDefault="007020CC" w:rsidP="00B63AE1">
      <w:pPr>
        <w:spacing w:line="360" w:lineRule="auto"/>
        <w:jc w:val="center"/>
      </w:pPr>
      <w:r>
        <w:rPr>
          <w:b/>
          <w:bCs/>
          <w:color w:val="000000"/>
          <w:sz w:val="28"/>
        </w:rPr>
        <w:t>“Sewer</w:t>
      </w:r>
      <w:r w:rsidR="00B63AE1">
        <w:rPr>
          <w:b/>
          <w:bCs/>
          <w:color w:val="000000"/>
          <w:sz w:val="28"/>
        </w:rPr>
        <w:t xml:space="preserve"> </w:t>
      </w:r>
      <w:r>
        <w:rPr>
          <w:b/>
          <w:bCs/>
          <w:color w:val="000000"/>
          <w:sz w:val="28"/>
        </w:rPr>
        <w:t xml:space="preserve">Guard: Intelligent Confined-Space Entry, Worker </w:t>
      </w:r>
      <w:r w:rsidR="00B63AE1">
        <w:rPr>
          <w:b/>
          <w:bCs/>
          <w:color w:val="000000"/>
          <w:sz w:val="28"/>
        </w:rPr>
        <w:t xml:space="preserve">                                            </w:t>
      </w:r>
      <w:r>
        <w:rPr>
          <w:b/>
          <w:bCs/>
          <w:color w:val="000000"/>
          <w:sz w:val="28"/>
        </w:rPr>
        <w:t>Monitoring, and Non-Entry Rescue System”</w:t>
      </w:r>
    </w:p>
    <w:p w14:paraId="6B01B313" w14:textId="77777777" w:rsidR="00912F88" w:rsidRPr="00912F88" w:rsidRDefault="00912F88" w:rsidP="00912F88">
      <w:pPr>
        <w:spacing w:line="360" w:lineRule="auto"/>
      </w:pPr>
    </w:p>
    <w:p w14:paraId="39F55E77" w14:textId="3CCCAE42" w:rsidR="00CF1D71" w:rsidRDefault="000A7428" w:rsidP="00912F88">
      <w:pPr>
        <w:spacing w:before="60" w:after="60" w:line="360" w:lineRule="auto"/>
      </w:pPr>
      <w:r>
        <w:rPr>
          <w:b/>
          <w:bCs/>
        </w:rPr>
        <w:t>NAME OF THE STUDENTS:</w:t>
      </w:r>
      <w:r>
        <w:t xml:space="preserve"> </w:t>
      </w:r>
      <w:r>
        <w:rPr>
          <w:color w:val="000000"/>
        </w:rPr>
        <w:t>Kriti P Desai, Tanmayi K T, Tejas Gowda M</w:t>
      </w:r>
    </w:p>
    <w:p w14:paraId="1535D2F9" w14:textId="39D4ED93" w:rsidR="00CF1D71" w:rsidRDefault="000A7428" w:rsidP="00912F88">
      <w:pPr>
        <w:spacing w:before="60" w:after="60" w:line="360" w:lineRule="auto"/>
      </w:pPr>
      <w:r>
        <w:rPr>
          <w:b/>
          <w:bCs/>
        </w:rPr>
        <w:t>USN OF THE STUDENTS:</w:t>
      </w:r>
      <w:r>
        <w:t xml:space="preserve"> </w:t>
      </w:r>
      <w:r>
        <w:rPr>
          <w:color w:val="000000"/>
        </w:rPr>
        <w:t>1BG25IS029, 1BG25IS058, 1BG25IS059</w:t>
      </w:r>
    </w:p>
    <w:p w14:paraId="682DAF46" w14:textId="2037D57A" w:rsidR="000D755C" w:rsidRDefault="000A7428" w:rsidP="00912F88">
      <w:pPr>
        <w:spacing w:before="60" w:after="60" w:line="360" w:lineRule="auto"/>
        <w:rPr>
          <w:color w:val="000000"/>
        </w:rPr>
      </w:pPr>
      <w:r>
        <w:rPr>
          <w:b/>
          <w:bCs/>
        </w:rPr>
        <w:t xml:space="preserve">NAME OF THE GUIDE: </w:t>
      </w:r>
      <w:r>
        <w:rPr>
          <w:color w:val="000000"/>
        </w:rPr>
        <w:t>Ms. Suraksha</w:t>
      </w:r>
    </w:p>
    <w:p w14:paraId="302806CF" w14:textId="77777777" w:rsidR="00912F88" w:rsidRPr="007020CC" w:rsidRDefault="00912F88" w:rsidP="00912F88">
      <w:pPr>
        <w:spacing w:before="60" w:after="60" w:line="360" w:lineRule="auto"/>
      </w:pPr>
    </w:p>
    <w:p w14:paraId="51B60295" w14:textId="77777777" w:rsidR="007020CC" w:rsidRDefault="007020CC" w:rsidP="00912F88">
      <w:pPr>
        <w:spacing w:before="240" w:after="120" w:line="360" w:lineRule="auto"/>
        <w:jc w:val="both"/>
      </w:pPr>
      <w:r>
        <w:rPr>
          <w:b/>
          <w:bCs/>
          <w:sz w:val="28"/>
          <w:szCs w:val="28"/>
        </w:rPr>
        <w:t>Problem Statement</w:t>
      </w:r>
    </w:p>
    <w:p w14:paraId="4E8DDEAD" w14:textId="77777777" w:rsidR="007020CC" w:rsidRDefault="007020CC" w:rsidP="00912F88">
      <w:pPr>
        <w:spacing w:before="80" w:after="80" w:line="360" w:lineRule="auto"/>
        <w:ind w:left="360"/>
        <w:jc w:val="both"/>
      </w:pPr>
      <w:r>
        <w:t>Sewer and manhole workers operate in confined spaces where conditions can become dangerous without warning. Workers may be exposed to toxic gases such as H₂S and CO, combustible gases such as methane, and low oxygen levels. Sudden water-level increases can cause flooding, trapping, or injury. A worker may fall, become unconscious, remain immobile, experience a medical emergency, or stay inside for too long without the supervisor immediately knowing.</w:t>
      </w:r>
    </w:p>
    <w:p w14:paraId="33A476CE" w14:textId="77777777" w:rsidR="007020CC" w:rsidRDefault="007020CC" w:rsidP="00912F88">
      <w:pPr>
        <w:spacing w:before="80" w:after="80" w:line="360" w:lineRule="auto"/>
        <w:ind w:left="360"/>
        <w:jc w:val="both"/>
      </w:pPr>
      <w:r>
        <w:t>Conventional low-cost gas detection systems mainly detect hazardous gases and provide an alarm. They generally do not provide a complete system for safe entry, continuous worker monitoring, automatic response, rescue support, and safety records.</w:t>
      </w:r>
    </w:p>
    <w:p w14:paraId="14A6244E" w14:textId="38D11D83" w:rsidR="00912F88" w:rsidRPr="00B63AE1" w:rsidRDefault="007020CC" w:rsidP="00B63AE1">
      <w:pPr>
        <w:spacing w:before="80" w:after="80" w:line="360" w:lineRule="auto"/>
        <w:ind w:left="360"/>
        <w:jc w:val="both"/>
      </w:pPr>
      <w:r>
        <w:t xml:space="preserve">Therefore, there is a need for an integrated and fail-safe system that can check safety before entry, continuously monitor the worker and environment after entry, detect changing hazards, prevent unsafe entry, automatically respond to emergencies, and support safe worker retrieval without unnecessary secondary entry. SewerGuard: Intelligent Confined-Space Entry, Worker Monitoring, and Non-Entry Rescue System is an ESP32-based safety system designed to provide continuous protection for sewer and manhole workers. Before entry, the worker’s </w:t>
      </w:r>
      <w:r>
        <w:lastRenderedPageBreak/>
        <w:t>identity is verified and the system checks gas levels, oxygen condition, water level, water-rise rate, sensor status, and communication status. Entry is approved only when the required safety conditions are satisfied. After entry, the system continuously monitors the worker and the environment using dynamic risk assessment (SAFE / CAUTION / DANGER / EMERGENCY), detects rapid changes in gas or water level, monitors worker time inside, detects possible falls or immobility via IMU, and supports pre-connected rescue harness for non-entry retrieval. The system follows a fail-safe principle (Unknown ≠ Safe) and provides a web dashboard for live monitoring, alerts, and hazard history. The prototype uses safe simulated or surrogate hazard conditions and is intended as an educational safety and decision-support prototype, not certified industrial safety equipment. Core concept: DETECT → DECIDE → PREVENT → RESPOND → ALERT → RETRIEVE → RECORD.</w:t>
      </w:r>
    </w:p>
    <w:p w14:paraId="749DAA4C" w14:textId="70EB79A2" w:rsidR="007020CC" w:rsidRDefault="007020CC" w:rsidP="00912F88">
      <w:pPr>
        <w:spacing w:before="280" w:after="120" w:line="360" w:lineRule="auto"/>
        <w:jc w:val="both"/>
      </w:pPr>
      <w:r>
        <w:rPr>
          <w:b/>
          <w:bCs/>
          <w:sz w:val="28"/>
          <w:szCs w:val="28"/>
        </w:rPr>
        <w:t>Objectives and Scope of the Project</w:t>
      </w:r>
    </w:p>
    <w:p w14:paraId="5F9B2669" w14:textId="77777777" w:rsidR="007020CC" w:rsidRDefault="007020CC" w:rsidP="00912F88">
      <w:pPr>
        <w:spacing w:before="80" w:after="40" w:line="360" w:lineRule="auto"/>
        <w:jc w:val="both"/>
      </w:pPr>
      <w:r>
        <w:rPr>
          <w:b/>
          <w:bCs/>
        </w:rPr>
        <w:t>Objectives:</w:t>
      </w:r>
    </w:p>
    <w:p w14:paraId="5E1D6D46" w14:textId="77777777" w:rsidR="007020CC" w:rsidRDefault="007020CC" w:rsidP="00912F88">
      <w:pPr>
        <w:spacing w:before="20" w:after="20" w:line="360" w:lineRule="auto"/>
        <w:ind w:left="503"/>
        <w:jc w:val="both"/>
      </w:pPr>
      <w:r>
        <w:rPr>
          <w:color w:val="000000"/>
        </w:rPr>
        <w:t>•  Design and implement SewerGuard: Intelligent Confined-Space Entry, Worker Monitoring, and Non-Entry Rescue System using ESP32 with sensors for methane, carbon monoxide, hydrogen sulfide, oxygen (if available) and water level.</w:t>
      </w:r>
    </w:p>
    <w:p w14:paraId="29F5FC2F" w14:textId="77777777" w:rsidR="007020CC" w:rsidRDefault="007020CC" w:rsidP="00912F88">
      <w:pPr>
        <w:spacing w:before="20" w:after="20" w:line="360" w:lineRule="auto"/>
        <w:ind w:left="503"/>
        <w:jc w:val="both"/>
      </w:pPr>
      <w:r>
        <w:t>•  Continuously classify the environment into SAFE (green), CAUTION (yellow) or DANGER (red).</w:t>
      </w:r>
    </w:p>
    <w:p w14:paraId="5CD8642D" w14:textId="77777777" w:rsidR="007020CC" w:rsidRDefault="007020CC" w:rsidP="00912F88">
      <w:pPr>
        <w:spacing w:before="20" w:after="20" w:line="360" w:lineRule="auto"/>
        <w:ind w:left="503"/>
        <w:jc w:val="both"/>
      </w:pPr>
      <w:r>
        <w:t>•  Implement a Smart Entry Permit: worker scans/enters Worker ID; system checks environment and grants ENTRY APPROVED or ENTRY DENIED.</w:t>
      </w:r>
    </w:p>
    <w:p w14:paraId="7487E8AA" w14:textId="77777777" w:rsidR="007020CC" w:rsidRDefault="007020CC" w:rsidP="00912F88">
      <w:pPr>
        <w:spacing w:before="20" w:after="20" w:line="360" w:lineRule="auto"/>
        <w:ind w:left="503"/>
        <w:jc w:val="both"/>
      </w:pPr>
      <w:r>
        <w:t>•  Automatically activate safety actions (buzzer, red LED, blower/ventilation, surface alarm) and notify the supervisor when dangerous conditions occur while a worker is inside.</w:t>
      </w:r>
    </w:p>
    <w:p w14:paraId="1CF5A531" w14:textId="77777777" w:rsidR="007020CC" w:rsidRDefault="007020CC" w:rsidP="00912F88">
      <w:pPr>
        <w:spacing w:before="20" w:after="20" w:line="360" w:lineRule="auto"/>
        <w:ind w:left="503"/>
        <w:jc w:val="both"/>
      </w:pPr>
      <w:r>
        <w:t>•  Activate surface “DO NOT ENTER” warning to protect potential rescuers when the atmosphere is unsafe.</w:t>
      </w:r>
    </w:p>
    <w:p w14:paraId="16CEFDC7" w14:textId="77777777" w:rsidR="007020CC" w:rsidRDefault="007020CC" w:rsidP="00912F88">
      <w:pPr>
        <w:spacing w:before="20" w:after="20" w:line="360" w:lineRule="auto"/>
        <w:ind w:left="503"/>
        <w:jc w:val="both"/>
      </w:pPr>
      <w:r>
        <w:t>•  Provide a worker entry timer and a simple web dashboard showing live gas readings, water level, SAFE/CAUTION/DANGER status, Worker ID, entry time, alerts and previous hazard events.</w:t>
      </w:r>
    </w:p>
    <w:p w14:paraId="1DEA7EE1" w14:textId="77777777" w:rsidR="007020CC" w:rsidRDefault="007020CC" w:rsidP="00912F88">
      <w:pPr>
        <w:spacing w:before="120" w:after="80" w:line="360" w:lineRule="auto"/>
        <w:ind w:left="360"/>
        <w:jc w:val="both"/>
      </w:pPr>
      <w:r w:rsidRPr="00B63AE1">
        <w:rPr>
          <w:b/>
          <w:bCs/>
          <w:sz w:val="28"/>
          <w:szCs w:val="28"/>
        </w:rPr>
        <w:t>Scope</w:t>
      </w:r>
      <w:r>
        <w:t>: The prototype uses safe simulated/surrogate sensor triggers and is presented as a safety-workflow demonstrator, not a certified industrial gas detector. Future enhancements may include industrial-grade sensors, worker location tracking, automatic rain/flood integration, and AI-based risk prediction after collecting real-world data.</w:t>
      </w:r>
    </w:p>
    <w:p w14:paraId="4E984068" w14:textId="77777777" w:rsidR="00B63AE1" w:rsidRDefault="00B63AE1" w:rsidP="00912F88">
      <w:pPr>
        <w:spacing w:before="280" w:after="120" w:line="360" w:lineRule="auto"/>
        <w:jc w:val="both"/>
        <w:rPr>
          <w:b/>
          <w:bCs/>
          <w:sz w:val="28"/>
          <w:szCs w:val="28"/>
        </w:rPr>
      </w:pPr>
    </w:p>
    <w:p w14:paraId="4812516F" w14:textId="7E9C55E5" w:rsidR="007020CC" w:rsidRDefault="007020CC" w:rsidP="00912F88">
      <w:pPr>
        <w:spacing w:before="280" w:after="120" w:line="360" w:lineRule="auto"/>
        <w:jc w:val="both"/>
      </w:pPr>
      <w:r>
        <w:rPr>
          <w:b/>
          <w:bCs/>
          <w:sz w:val="28"/>
          <w:szCs w:val="28"/>
        </w:rPr>
        <w:lastRenderedPageBreak/>
        <w:t>References</w:t>
      </w:r>
    </w:p>
    <w:p w14:paraId="01CAE50C" w14:textId="77777777" w:rsidR="007020CC" w:rsidRDefault="007020CC" w:rsidP="00912F88">
      <w:pPr>
        <w:spacing w:before="80" w:after="40" w:line="360" w:lineRule="auto"/>
        <w:ind w:left="360"/>
        <w:jc w:val="both"/>
      </w:pPr>
      <w:r>
        <w:t>[1] SAFE-FLOW: An IoT-based toxic gas detection and ventilation system for drainage and well cleaning using ESP32, MQ-4/MQ-7/MQ-136 sensors and Blynk platform (IEEE).</w:t>
      </w:r>
    </w:p>
    <w:p w14:paraId="5FC1A90A" w14:textId="77777777" w:rsidR="007020CC" w:rsidRDefault="007020CC" w:rsidP="00912F88">
      <w:pPr>
        <w:spacing w:before="40" w:after="40" w:line="360" w:lineRule="auto"/>
        <w:ind w:left="360"/>
        <w:jc w:val="both"/>
      </w:pPr>
      <w:r>
        <w:t>[2] IoT-based manhole detection and monitoring system employing ESP32–Arduino Nano master–slave architecture with gas, water-level and tilt sensors (IJRASET).</w:t>
      </w:r>
    </w:p>
    <w:p w14:paraId="237EE0DE" w14:textId="77777777" w:rsidR="007020CC" w:rsidRDefault="007020CC" w:rsidP="00912F88">
      <w:pPr>
        <w:spacing w:before="40" w:after="40" w:line="360" w:lineRule="auto"/>
        <w:ind w:left="360"/>
        <w:jc w:val="both"/>
      </w:pPr>
      <w:r>
        <w:t>[3] IoT-based wearable sensor system for real-time gas and health monitoring of sewage workers using ESP32 and LoRa (IEEE).</w:t>
      </w:r>
    </w:p>
    <w:p w14:paraId="7C89CF35" w14:textId="146267E3" w:rsidR="00BB2A37" w:rsidRPr="00912F88" w:rsidRDefault="007020CC" w:rsidP="00912F88">
      <w:pPr>
        <w:spacing w:before="40" w:after="40" w:line="360" w:lineRule="auto"/>
        <w:ind w:left="360"/>
        <w:jc w:val="both"/>
      </w:pPr>
      <w:r>
        <w:t>[4] IoT-Based Smart Sewer Hazard Detection System using ESP-8266, MQ-135/MQ-4 sensors and SOS alerts for worker safety.</w:t>
      </w:r>
      <w:r>
        <w:rPr>
          <w:b/>
          <w:bCs/>
          <w:color w:val="000000"/>
        </w:rPr>
        <w:t xml:space="preserve">                                                                                            </w:t>
      </w:r>
    </w:p>
    <w:p w14:paraId="443ADA76" w14:textId="77777777" w:rsidR="00912F88" w:rsidRDefault="00912F88" w:rsidP="0011011A">
      <w:pPr>
        <w:spacing w:line="360" w:lineRule="auto"/>
        <w:jc w:val="both"/>
        <w:rPr>
          <w:b/>
          <w:bCs/>
          <w:color w:val="000000"/>
        </w:rPr>
      </w:pPr>
    </w:p>
    <w:p w14:paraId="3D91A5AF" w14:textId="77777777" w:rsidR="0011011A" w:rsidRDefault="0011011A" w:rsidP="0011011A">
      <w:pPr>
        <w:spacing w:line="360" w:lineRule="auto"/>
        <w:jc w:val="both"/>
        <w:rPr>
          <w:b/>
          <w:bCs/>
          <w:color w:val="000000"/>
        </w:rPr>
      </w:pPr>
    </w:p>
    <w:p w14:paraId="3FAAD867" w14:textId="77777777" w:rsidR="0011011A" w:rsidRDefault="0011011A" w:rsidP="0011011A">
      <w:pPr>
        <w:spacing w:line="360" w:lineRule="auto"/>
        <w:jc w:val="both"/>
        <w:rPr>
          <w:b/>
          <w:bCs/>
          <w:color w:val="000000"/>
        </w:rPr>
      </w:pPr>
    </w:p>
    <w:p w14:paraId="5E754577" w14:textId="5281D1D8" w:rsidR="007020CC" w:rsidRDefault="007020CC" w:rsidP="00912F88">
      <w:pPr>
        <w:spacing w:line="360" w:lineRule="auto"/>
        <w:ind w:left="5760"/>
        <w:jc w:val="both"/>
        <w:rPr>
          <w:b/>
          <w:bCs/>
          <w:color w:val="000000"/>
        </w:rPr>
      </w:pPr>
      <w:r>
        <w:rPr>
          <w:b/>
          <w:bCs/>
          <w:color w:val="000000"/>
        </w:rPr>
        <w:t xml:space="preserve"> Signature of the Guide with Date</w:t>
      </w:r>
    </w:p>
    <w:sectPr w:rsidR="007020CC">
      <w:pgSz w:w="11909" w:h="16834" w:code="9"/>
      <w:pgMar w:top="864" w:right="1152" w:bottom="108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FA9798" w14:textId="77777777" w:rsidR="007E29FC" w:rsidRDefault="007E29FC" w:rsidP="00912F88">
      <w:r>
        <w:separator/>
      </w:r>
    </w:p>
  </w:endnote>
  <w:endnote w:type="continuationSeparator" w:id="0">
    <w:p w14:paraId="3D56064E" w14:textId="77777777" w:rsidR="007E29FC" w:rsidRDefault="007E29FC" w:rsidP="00912F8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D25E8" w14:textId="77777777" w:rsidR="007E29FC" w:rsidRDefault="007E29FC" w:rsidP="00912F88">
      <w:r>
        <w:separator/>
      </w:r>
    </w:p>
  </w:footnote>
  <w:footnote w:type="continuationSeparator" w:id="0">
    <w:p w14:paraId="44371BC4" w14:textId="77777777" w:rsidR="007E29FC" w:rsidRDefault="007E29FC" w:rsidP="00912F8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B468A4"/>
    <w:multiLevelType w:val="hybridMultilevel"/>
    <w:tmpl w:val="E822E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0865814"/>
    <w:multiLevelType w:val="hybridMultilevel"/>
    <w:tmpl w:val="E822E22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06038106">
    <w:abstractNumId w:val="1"/>
  </w:num>
  <w:num w:numId="2" w16cid:durableId="20877220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D71"/>
    <w:rsid w:val="000A7428"/>
    <w:rsid w:val="000D755C"/>
    <w:rsid w:val="0011011A"/>
    <w:rsid w:val="003D53A4"/>
    <w:rsid w:val="004F746E"/>
    <w:rsid w:val="00625E3B"/>
    <w:rsid w:val="006C782B"/>
    <w:rsid w:val="007020CC"/>
    <w:rsid w:val="00763E9E"/>
    <w:rsid w:val="007E29FC"/>
    <w:rsid w:val="00872D24"/>
    <w:rsid w:val="00912F88"/>
    <w:rsid w:val="00AB364A"/>
    <w:rsid w:val="00B63AE1"/>
    <w:rsid w:val="00BB2A37"/>
    <w:rsid w:val="00CA4882"/>
    <w:rsid w:val="00CB78DC"/>
    <w:rsid w:val="00CF1D71"/>
    <w:rsid w:val="00DC0127"/>
    <w:rsid w:val="00DC3911"/>
    <w:rsid w:val="00F44966"/>
  </w:rsids>
  <m:mathPr>
    <m:mathFont m:val="Cambria Math"/>
    <m:brkBin m:val="before"/>
    <m:brkBinSub m:val="--"/>
    <m:smallFrac/>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1471D27"/>
  <w15:docId w15:val="{771CC575-78B1-412C-96AF-C432C12486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Calibri" w:hAnsi="Times New Roman" w:cs="Times New Roman"/>
        <w:sz w:val="24"/>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imes New Roman"/>
      <w:szCs w:val="24"/>
    </w:rPr>
  </w:style>
  <w:style w:type="paragraph" w:styleId="Heading1">
    <w:name w:val="heading 1"/>
    <w:basedOn w:val="Normal"/>
    <w:next w:val="Normal"/>
    <w:link w:val="Heading1Char"/>
    <w:qFormat/>
    <w:pPr>
      <w:keepNext/>
      <w:spacing w:before="240" w:after="60"/>
      <w:outlineLvl w:val="0"/>
    </w:pPr>
    <w:rPr>
      <w:rFonts w:ascii="Arial" w:hAnsi="Arial" w:cs="Arial"/>
      <w:b/>
      <w:bCs/>
      <w:kern w:val="32"/>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pPr>
      <w:tabs>
        <w:tab w:val="center" w:pos="4680"/>
        <w:tab w:val="right" w:pos="9360"/>
      </w:tabs>
    </w:pPr>
    <w:rPr>
      <w:rFonts w:eastAsia="Calibri"/>
      <w:szCs w:val="22"/>
    </w:rPr>
  </w:style>
  <w:style w:type="character" w:customStyle="1" w:styleId="HeaderChar">
    <w:name w:val="Header Char"/>
    <w:basedOn w:val="DefaultParagraphFont"/>
    <w:link w:val="Header"/>
    <w:uiPriority w:val="99"/>
  </w:style>
  <w:style w:type="paragraph" w:styleId="Footer">
    <w:name w:val="footer"/>
    <w:basedOn w:val="Normal"/>
    <w:link w:val="FooterChar"/>
    <w:uiPriority w:val="99"/>
    <w:pPr>
      <w:tabs>
        <w:tab w:val="center" w:pos="4680"/>
        <w:tab w:val="right" w:pos="9360"/>
      </w:tabs>
    </w:pPr>
    <w:rPr>
      <w:rFonts w:eastAsia="Calibri"/>
      <w:szCs w:val="22"/>
    </w:rPr>
  </w:style>
  <w:style w:type="character" w:customStyle="1" w:styleId="FooterChar">
    <w:name w:val="Footer Char"/>
    <w:basedOn w:val="DefaultParagraphFont"/>
    <w:link w:val="Footer"/>
    <w:uiPriority w:val="99"/>
  </w:style>
  <w:style w:type="character" w:customStyle="1" w:styleId="Heading1Char">
    <w:name w:val="Heading 1 Char"/>
    <w:basedOn w:val="DefaultParagraphFont"/>
    <w:link w:val="Heading1"/>
    <w:rPr>
      <w:rFonts w:ascii="Arial" w:eastAsia="Times New Roman" w:hAnsi="Arial" w:cs="Arial"/>
      <w:b/>
      <w:bCs/>
      <w:kern w:val="32"/>
      <w:sz w:val="32"/>
      <w:szCs w:val="32"/>
    </w:rPr>
  </w:style>
  <w:style w:type="paragraph" w:styleId="HTMLPreformatted">
    <w:name w:val="HTML Preformatted"/>
    <w:basedOn w:val="Normal"/>
    <w:link w:val="HTMLPreformattedChar"/>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Courier New" w:hAnsi="Courier New"/>
      <w:sz w:val="20"/>
      <w:szCs w:val="20"/>
    </w:rPr>
  </w:style>
  <w:style w:type="character" w:customStyle="1" w:styleId="HTMLPreformattedChar">
    <w:name w:val="HTML Preformatted Char"/>
    <w:basedOn w:val="DefaultParagraphFont"/>
    <w:link w:val="HTMLPreformatted"/>
    <w:rPr>
      <w:rFonts w:ascii="Courier New" w:eastAsia="Courier New" w:hAnsi="Courier New"/>
      <w:sz w:val="20"/>
      <w:szCs w:val="20"/>
    </w:rPr>
  </w:style>
  <w:style w:type="character" w:styleId="Hyperlink">
    <w:name w:val="Hyperlink"/>
    <w:uiPriority w:val="99"/>
    <w:rPr>
      <w:color w:val="0000FF"/>
      <w:u w:val="single"/>
    </w:rPr>
  </w:style>
  <w:style w:type="paragraph" w:styleId="NoSpacing">
    <w:name w:val="No Spacing"/>
    <w:uiPriority w:val="1"/>
    <w:qFormat/>
    <w:rPr>
      <w:rFonts w:ascii="Calibri" w:hAnsi="Calibri"/>
      <w:sz w:val="22"/>
    </w:rPr>
  </w:style>
  <w:style w:type="paragraph" w:styleId="BalloonText">
    <w:name w:val="Balloon Text"/>
    <w:basedOn w:val="Normal"/>
    <w:link w:val="BalloonTextChar"/>
    <w:uiPriority w:val="99"/>
    <w:rPr>
      <w:rFonts w:ascii="Tahoma" w:hAnsi="Tahoma" w:cs="Tahoma"/>
      <w:sz w:val="16"/>
      <w:szCs w:val="16"/>
    </w:rPr>
  </w:style>
  <w:style w:type="character" w:customStyle="1" w:styleId="BalloonTextChar">
    <w:name w:val="Balloon Text Char"/>
    <w:basedOn w:val="DefaultParagraphFont"/>
    <w:link w:val="BalloonText"/>
    <w:uiPriority w:val="99"/>
    <w:rPr>
      <w:rFonts w:ascii="Tahoma" w:eastAsia="Times New Roman" w:hAnsi="Tahoma" w:cs="Tahoma"/>
      <w:sz w:val="16"/>
      <w:szCs w:val="16"/>
    </w:rPr>
  </w:style>
  <w:style w:type="table" w:styleId="TableGrid">
    <w:name w:val="Table Grid"/>
    <w:basedOn w:val="TableNormal"/>
    <w:uiPriority w:val="39"/>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ListParagraph">
    <w:name w:val="List Paragraph"/>
    <w:basedOn w:val="Normal"/>
    <w:uiPriority w:val="34"/>
    <w:qFormat/>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703</Words>
  <Characters>4011</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Manjunath G Subbakrishna</dc:creator>
  <cp:lastModifiedBy>tanmayikt tanmayikt</cp:lastModifiedBy>
  <cp:revision>2</cp:revision>
  <cp:lastPrinted>2021-10-05T09:44:00Z</cp:lastPrinted>
  <dcterms:created xsi:type="dcterms:W3CDTF">2026-10-08T05:03:00Z</dcterms:created>
  <dcterms:modified xsi:type="dcterms:W3CDTF">2026-10-08T05:03:00Z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0689a6bcd4ce4c89a970e94462f772b1</vt:lpwstr>
  </property>
  <property fmtid="{D5CDD505-2E9C-101B-9397-08002B2CF9AE}" pid="3" name="GrammarlyDocumentId">
    <vt:lpwstr>09b84980-74d9-4cda-8e32-fb45f1e1c0f2</vt:lpwstr>
  </property>
</Properties>
</file>