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B365D"/>
          <w:sz w:val="26"/>
        </w:rPr>
        <w:t>TATA TECHNOLOGIES LTD.</w:t>
      </w:r>
    </w:p>
    <w:p>
      <w:pPr>
        <w:spacing w:before="0" w:after="40"/>
        <w:jc w:val="center"/>
      </w:pPr>
      <w:r>
        <w:rPr>
          <w:b/>
          <w:color w:val="464646"/>
          <w:sz w:val="22"/>
        </w:rPr>
        <w:t>TECH PULSE FY-26 | AI/ML Capstone Project</w:t>
      </w:r>
    </w:p>
    <w:p>
      <w:pPr>
        <w:spacing w:before="0" w:after="280"/>
        <w:jc w:val="center"/>
      </w:pPr>
      <w:r>
        <w:rPr>
          <w:b/>
          <w:color w:val="A01E1E"/>
          <w:sz w:val="24"/>
        </w:rPr>
        <w:t>TECHNICAL REPORT</w:t>
      </w:r>
    </w:p>
    <w:tbl>
      <w:tblPr>
        <w:tblW w:type="auto" w:w="0"/>
        <w:jc w:val="center"/>
        <w:tblLook w:firstColumn="1" w:firstRow="1" w:lastColumn="0" w:lastRow="0" w:noHBand="0" w:noVBand="1" w:val="04A0"/>
      </w:tblPr>
      <w:tblGrid>
        <w:gridCol w:w="5040"/>
        <w:gridCol w:w="5040"/>
      </w:tblGrid>
      <w:tr>
        <w:trPr>
          <w:cantSplit/>
        </w:trPr>
        <w:tc>
          <w:tcPr>
            <w:tcW w:type="dxa" w:w="3456"/>
            <w:tcMar>
              <w:top w:w="120" w:type="dxa"/>
              <w:left w:w="140" w:type="dxa"/>
              <w:bottom w:w="120" w:type="dxa"/>
              <w:right w:w="140" w:type="dxa"/>
            </w:tcMar>
            <w:shd w:val="clear" w:color="auto" w:fill="204060"/>
          </w:tcPr>
          <w:p>
            <w:pPr>
              <w:spacing w:before="40" w:after="40"/>
            </w:pPr>
            <w:r>
              <w:rPr>
                <w:b/>
                <w:color w:val="FFFFFF"/>
                <w:sz w:val="19"/>
              </w:rPr>
              <w:t>Institute / University</w:t>
            </w:r>
          </w:p>
        </w:tc>
        <w:tc>
          <w:tcPr>
            <w:tcW w:type="dxa" w:w="6192"/>
            <w:tcMar>
              <w:top w:w="120" w:type="dxa"/>
              <w:left w:w="140" w:type="dxa"/>
              <w:bottom w:w="120" w:type="dxa"/>
              <w:right w:w="140" w:type="dxa"/>
            </w:tcMar>
            <w:shd w:val="clear" w:color="auto" w:fill="204060"/>
          </w:tcPr>
          <w:p>
            <w:pPr>
              <w:spacing w:before="40" w:after="40"/>
            </w:pPr>
            <w:r>
              <w:rPr>
                <w:b/>
                <w:color w:val="FFFFFF"/>
                <w:sz w:val="19"/>
              </w:rPr>
              <w:t>Pimpri Chinchwad College of Engineering (PCCOE), Pune</w:t>
            </w:r>
          </w:p>
        </w:tc>
      </w:tr>
      <w:tr>
        <w:trPr>
          <w:cantSplit/>
        </w:trPr>
        <w:tc>
          <w:tcPr>
            <w:tcW w:type="dxa" w:w="3456"/>
            <w:tcMar>
              <w:top w:w="120" w:type="dxa"/>
              <w:left w:w="140" w:type="dxa"/>
              <w:bottom w:w="120" w:type="dxa"/>
              <w:right w:w="140" w:type="dxa"/>
            </w:tcMar>
            <w:shd w:val="clear" w:color="auto" w:fill="F2F5F8"/>
          </w:tcPr>
          <w:p>
            <w:pPr>
              <w:spacing w:before="40" w:after="40"/>
            </w:pPr>
            <w:r>
              <w:rPr>
                <w:color w:val="1E1E1E"/>
                <w:sz w:val="18"/>
              </w:rPr>
              <w:t>Programme / Batch</w:t>
            </w:r>
          </w:p>
        </w:tc>
        <w:tc>
          <w:tcPr>
            <w:tcW w:type="dxa" w:w="6192"/>
            <w:tcMar>
              <w:top w:w="120" w:type="dxa"/>
              <w:left w:w="140" w:type="dxa"/>
              <w:bottom w:w="120" w:type="dxa"/>
              <w:right w:w="140" w:type="dxa"/>
            </w:tcMar>
            <w:shd w:val="clear" w:color="auto" w:fill="F2F5F8"/>
          </w:tcPr>
          <w:p>
            <w:pPr>
              <w:spacing w:before="40" w:after="40"/>
            </w:pPr>
            <w:r>
              <w:rPr>
                <w:color w:val="1E1E1E"/>
                <w:sz w:val="18"/>
              </w:rPr>
              <w:t>B.Tech Information Technology / Batch 2023–2027</w:t>
            </w:r>
          </w:p>
        </w:tc>
      </w:tr>
      <w:tr>
        <w:trPr>
          <w:cantSplit/>
        </w:trPr>
        <w:tc>
          <w:tcPr>
            <w:tcW w:type="dxa" w:w="3456"/>
            <w:tcMar>
              <w:top w:w="120" w:type="dxa"/>
              <w:left w:w="140" w:type="dxa"/>
              <w:bottom w:w="120" w:type="dxa"/>
              <w:right w:w="140" w:type="dxa"/>
            </w:tcMar>
            <w:shd w:val="clear" w:color="auto" w:fill="FFFFFF"/>
          </w:tcPr>
          <w:p>
            <w:pPr>
              <w:spacing w:before="40" w:after="40"/>
            </w:pPr>
            <w:r>
              <w:rPr>
                <w:color w:val="1E1E1E"/>
                <w:sz w:val="18"/>
              </w:rPr>
              <w:t>Student Name</w:t>
            </w:r>
          </w:p>
        </w:tc>
        <w:tc>
          <w:tcPr>
            <w:tcW w:type="dxa" w:w="6192"/>
            <w:tcMar>
              <w:top w:w="120" w:type="dxa"/>
              <w:left w:w="140" w:type="dxa"/>
              <w:bottom w:w="120" w:type="dxa"/>
              <w:right w:w="140" w:type="dxa"/>
            </w:tcMar>
            <w:shd w:val="clear" w:color="auto" w:fill="FFFFFF"/>
          </w:tcPr>
          <w:p>
            <w:pPr>
              <w:spacing w:before="40" w:after="40"/>
            </w:pPr>
            <w:r>
              <w:rPr>
                <w:color w:val="1E1E1E"/>
                <w:sz w:val="18"/>
              </w:rPr>
              <w:t>Tanmay Shah</w:t>
            </w:r>
          </w:p>
        </w:tc>
      </w:tr>
      <w:tr>
        <w:trPr>
          <w:cantSplit/>
        </w:trPr>
        <w:tc>
          <w:tcPr>
            <w:tcW w:type="dxa" w:w="3456"/>
            <w:tcMar>
              <w:top w:w="120" w:type="dxa"/>
              <w:left w:w="140" w:type="dxa"/>
              <w:bottom w:w="120" w:type="dxa"/>
              <w:right w:w="140" w:type="dxa"/>
            </w:tcMar>
            <w:shd w:val="clear" w:color="auto" w:fill="F2F5F8"/>
          </w:tcPr>
          <w:p>
            <w:pPr>
              <w:spacing w:before="40" w:after="40"/>
            </w:pPr>
            <w:r>
              <w:rPr>
                <w:color w:val="1E1E1E"/>
                <w:sz w:val="18"/>
              </w:rPr>
              <w:t>PRN</w:t>
            </w:r>
          </w:p>
        </w:tc>
        <w:tc>
          <w:tcPr>
            <w:tcW w:type="dxa" w:w="6192"/>
            <w:tcMar>
              <w:top w:w="120" w:type="dxa"/>
              <w:left w:w="140" w:type="dxa"/>
              <w:bottom w:w="120" w:type="dxa"/>
              <w:right w:w="140" w:type="dxa"/>
            </w:tcMar>
            <w:shd w:val="clear" w:color="auto" w:fill="F2F5F8"/>
          </w:tcPr>
          <w:p>
            <w:pPr>
              <w:spacing w:before="40" w:after="40"/>
            </w:pPr>
            <w:r>
              <w:rPr>
                <w:color w:val="1E1E1E"/>
                <w:sz w:val="18"/>
              </w:rPr>
              <w:t>123B1F096</w:t>
            </w:r>
          </w:p>
        </w:tc>
      </w:tr>
      <w:tr>
        <w:trPr>
          <w:cantSplit/>
        </w:trPr>
        <w:tc>
          <w:tcPr>
            <w:tcW w:type="dxa" w:w="3456"/>
            <w:tcMar>
              <w:top w:w="120" w:type="dxa"/>
              <w:left w:w="140" w:type="dxa"/>
              <w:bottom w:w="120" w:type="dxa"/>
              <w:right w:w="140" w:type="dxa"/>
            </w:tcMar>
            <w:shd w:val="clear" w:color="auto" w:fill="FFFFFF"/>
          </w:tcPr>
          <w:p>
            <w:pPr>
              <w:spacing w:before="40" w:after="40"/>
            </w:pPr>
            <w:r>
              <w:rPr>
                <w:color w:val="1E1E1E"/>
                <w:sz w:val="18"/>
              </w:rPr>
              <w:t>Case Study ID (CS1–CS5)</w:t>
            </w:r>
          </w:p>
        </w:tc>
        <w:tc>
          <w:tcPr>
            <w:tcW w:type="dxa" w:w="6192"/>
            <w:tcMar>
              <w:top w:w="120" w:type="dxa"/>
              <w:left w:w="140" w:type="dxa"/>
              <w:bottom w:w="120" w:type="dxa"/>
              <w:right w:w="140" w:type="dxa"/>
            </w:tcMar>
            <w:shd w:val="clear" w:color="auto" w:fill="FFFFFF"/>
          </w:tcPr>
          <w:p>
            <w:pPr>
              <w:spacing w:before="40" w:after="40"/>
            </w:pPr>
            <w:r>
              <w:rPr>
                <w:color w:val="1E1E1E"/>
                <w:sz w:val="18"/>
              </w:rPr>
              <w:t>CS4 — Secure Code Debugging and Review Assistant</w:t>
            </w:r>
          </w:p>
        </w:tc>
      </w:tr>
      <w:tr>
        <w:trPr>
          <w:cantSplit/>
        </w:trPr>
        <w:tc>
          <w:tcPr>
            <w:tcW w:type="dxa" w:w="3456"/>
            <w:tcMar>
              <w:top w:w="120" w:type="dxa"/>
              <w:left w:w="140" w:type="dxa"/>
              <w:bottom w:w="120" w:type="dxa"/>
              <w:right w:w="140" w:type="dxa"/>
            </w:tcMar>
            <w:shd w:val="clear" w:color="auto" w:fill="F2F5F8"/>
          </w:tcPr>
          <w:p>
            <w:pPr>
              <w:spacing w:before="40" w:after="40"/>
            </w:pPr>
            <w:r>
              <w:rPr>
                <w:color w:val="1E1E1E"/>
                <w:sz w:val="18"/>
              </w:rPr>
              <w:t>Project Title</w:t>
            </w:r>
          </w:p>
        </w:tc>
        <w:tc>
          <w:tcPr>
            <w:tcW w:type="dxa" w:w="6192"/>
            <w:tcMar>
              <w:top w:w="120" w:type="dxa"/>
              <w:left w:w="140" w:type="dxa"/>
              <w:bottom w:w="120" w:type="dxa"/>
              <w:right w:w="140" w:type="dxa"/>
            </w:tcMar>
            <w:shd w:val="clear" w:color="auto" w:fill="F2F5F8"/>
          </w:tcPr>
          <w:p>
            <w:pPr>
              <w:spacing w:before="40" w:after="40"/>
            </w:pPr>
            <w:r>
              <w:rPr>
                <w:color w:val="1E1E1E"/>
                <w:sz w:val="18"/>
              </w:rPr>
              <w:t>AutoCodeGuard — An Automotive Secure Code Review Assistant</w:t>
            </w:r>
          </w:p>
        </w:tc>
      </w:tr>
    </w:tbl>
    <w:p>
      <w:pPr>
        <w:keepNext/>
        <w:spacing w:before="240" w:after="80"/>
      </w:pPr>
      <w:r>
        <w:rPr>
          <w:b/>
          <w:color w:val="1B365D"/>
          <w:sz w:val="22"/>
        </w:rPr>
        <w:t>1. Problem Statement and Intended Users</w:t>
      </w:r>
    </w:p>
    <w:p>
      <w:pPr>
        <w:spacing w:before="0" w:after="80" w:line="276" w:lineRule="auto"/>
      </w:pPr>
      <w:r>
        <w:rPr>
          <w:color w:val="1E1E1E"/>
          <w:sz w:val="19"/>
        </w:rPr>
        <w:t>Modern vehicle architectures increasingly rely on high-level languages like Python, C, and C++ for Electronic Control Units (ECUs), telematics control units, and Advanced Driver Assistance Systems (ADAS). Software defects, insecure coding habits, and unvalidated external inputs pose grave safety hazards, risk vehicle control hijacking, and lead to regulatory non-compliance under ISO 26262 and ISO/SAE 21434.</w:t>
      </w:r>
    </w:p>
    <w:p>
      <w:pPr>
        <w:spacing w:before="0" w:after="80" w:line="276" w:lineRule="auto"/>
      </w:pPr>
      <w:r>
        <w:rPr>
          <w:color w:val="1E1E1E"/>
          <w:sz w:val="19"/>
        </w:rPr>
        <w:t>Automotive engineering teams often struggle with the steep complexity and cost of industrial-grade SAST suites during early development phases. AutoCodeGuard bridges this gap by providing an accessible, explainable prototype that couples deterministic static analysis (Python AST and regex heuristics) with generative AI advisory reviews (Google Gemini) and local guideline retrieval. It is designed for automotive software developers, QA engineers, safety assurance leads, and engineering students conducting pre-commit triage.</w:t>
      </w:r>
    </w:p>
    <w:p>
      <w:pPr>
        <w:keepNext/>
        <w:spacing w:before="240" w:after="80"/>
      </w:pPr>
      <w:r>
        <w:rPr>
          <w:b/>
          <w:color w:val="1B365D"/>
          <w:sz w:val="22"/>
        </w:rPr>
        <w:t>2. Input Data / Knowledge Base</w:t>
      </w:r>
    </w:p>
    <w:tbl>
      <w:tblPr>
        <w:tblW w:type="auto" w:w="0"/>
        <w:jc w:val="center"/>
        <w:tblLook w:firstColumn="1" w:firstRow="1" w:lastColumn="0" w:lastRow="0" w:noHBand="0" w:noVBand="1" w:val="04A0"/>
      </w:tblPr>
      <w:tblGrid>
        <w:gridCol w:w="5040"/>
        <w:gridCol w:w="5040"/>
      </w:tblGrid>
      <w:tr>
        <w:trPr>
          <w:cantSplit/>
        </w:trPr>
        <w:tc>
          <w:tcPr>
            <w:tcW w:type="dxa" w:w="2880"/>
            <w:tcMar>
              <w:top w:w="120" w:type="dxa"/>
              <w:left w:w="140" w:type="dxa"/>
              <w:bottom w:w="120" w:type="dxa"/>
              <w:right w:w="140" w:type="dxa"/>
            </w:tcMar>
            <w:shd w:val="clear" w:color="auto" w:fill="1B365D"/>
          </w:tcPr>
          <w:p>
            <w:pPr>
              <w:spacing w:before="40" w:after="40"/>
            </w:pPr>
            <w:r>
              <w:rPr>
                <w:b/>
                <w:color w:val="FFFFFF"/>
                <w:sz w:val="19"/>
              </w:rPr>
              <w:t>Item</w:t>
            </w:r>
          </w:p>
        </w:tc>
        <w:tc>
          <w:tcPr>
            <w:tcW w:type="dxa" w:w="6768"/>
            <w:tcMar>
              <w:top w:w="120" w:type="dxa"/>
              <w:left w:w="140" w:type="dxa"/>
              <w:bottom w:w="120" w:type="dxa"/>
              <w:right w:w="140" w:type="dxa"/>
            </w:tcMar>
            <w:shd w:val="clear" w:color="auto" w:fill="1B365D"/>
          </w:tcPr>
          <w:p>
            <w:pPr>
              <w:spacing w:before="40" w:after="40"/>
            </w:pPr>
            <w:r>
              <w:rPr>
                <w:b/>
                <w:color w:val="FFFFFF"/>
                <w:sz w:val="19"/>
              </w:rPr>
              <w:t>Description</w:t>
            </w:r>
          </w:p>
        </w:tc>
      </w:tr>
      <w:tr>
        <w:trPr>
          <w:cantSplit/>
        </w:trPr>
        <w:tc>
          <w:tcPr>
            <w:tcW w:type="dxa" w:w="2880"/>
            <w:tcMar>
              <w:top w:w="120" w:type="dxa"/>
              <w:left w:w="140" w:type="dxa"/>
              <w:bottom w:w="120" w:type="dxa"/>
              <w:right w:w="140" w:type="dxa"/>
            </w:tcMar>
            <w:shd w:val="clear" w:color="auto" w:fill="F4F6F9"/>
          </w:tcPr>
          <w:p>
            <w:pPr>
              <w:spacing w:before="40" w:after="40"/>
            </w:pPr>
            <w:r>
              <w:rPr>
                <w:color w:val="1E1E1E"/>
                <w:sz w:val="18"/>
              </w:rPr>
              <w:t>Sources</w:t>
            </w:r>
          </w:p>
        </w:tc>
        <w:tc>
          <w:tcPr>
            <w:tcW w:type="dxa" w:w="6768"/>
            <w:tcMar>
              <w:top w:w="120" w:type="dxa"/>
              <w:left w:w="140" w:type="dxa"/>
              <w:bottom w:w="120" w:type="dxa"/>
              <w:right w:w="140" w:type="dxa"/>
            </w:tcMar>
            <w:shd w:val="clear" w:color="auto" w:fill="F4F6F9"/>
          </w:tcPr>
          <w:p>
            <w:pPr>
              <w:spacing w:before="40" w:after="40"/>
            </w:pPr>
            <w:r>
              <w:rPr>
                <w:color w:val="1E1E1E"/>
                <w:sz w:val="18"/>
              </w:rPr>
              <w:t>• Local Automotive Coding Guidelines (guidelines_kb.json) referencing MISRA C:2012, ISO 26262 Part 6, ISO/SAE 21434, and OWASP.</w:t>
              <w:br/>
              <w:t>• Synthetic Benchmark Dataset (evaluation_dataset.json) with 12 curated test cases.</w:t>
              <w:br/>
              <w:t>• Sample ECU code files (sample_vulnerable_ecu.py and sample_safe_telematics.py).</w:t>
            </w:r>
          </w:p>
        </w:tc>
      </w:tr>
      <w:tr>
        <w:trPr>
          <w:cantSplit/>
        </w:trPr>
        <w:tc>
          <w:tcPr>
            <w:tcW w:type="dxa" w:w="2880"/>
            <w:tcMar>
              <w:top w:w="120" w:type="dxa"/>
              <w:left w:w="140" w:type="dxa"/>
              <w:bottom w:w="120" w:type="dxa"/>
              <w:right w:w="140" w:type="dxa"/>
            </w:tcMar>
            <w:shd w:val="clear" w:color="auto" w:fill="FFFFFF"/>
          </w:tcPr>
          <w:p>
            <w:pPr>
              <w:spacing w:before="40" w:after="40"/>
            </w:pPr>
            <w:r>
              <w:rPr>
                <w:color w:val="1E1E1E"/>
                <w:sz w:val="18"/>
              </w:rPr>
              <w:t>Size and format</w:t>
            </w:r>
          </w:p>
        </w:tc>
        <w:tc>
          <w:tcPr>
            <w:tcW w:type="dxa" w:w="6768"/>
            <w:tcMar>
              <w:top w:w="120" w:type="dxa"/>
              <w:left w:w="140" w:type="dxa"/>
              <w:bottom w:w="120" w:type="dxa"/>
              <w:right w:w="140" w:type="dxa"/>
            </w:tcMar>
            <w:shd w:val="clear" w:color="auto" w:fill="FFFFFF"/>
          </w:tcPr>
          <w:p>
            <w:pPr>
              <w:spacing w:before="40" w:after="40"/>
            </w:pPr>
            <w:r>
              <w:rPr>
                <w:color w:val="1E1E1E"/>
                <w:sz w:val="18"/>
              </w:rPr>
              <w:t>• guidelines_kb.json: 16 entries, ~6.9 KB, JSON format.</w:t>
              <w:br/>
              <w:t>• evaluation_dataset.json: 12 cases, ~4.3 KB, JSON format.</w:t>
              <w:br/>
              <w:t>• Sample source files: 2 files, ~3.4 KB total, UTF-8 Python text.</w:t>
            </w:r>
          </w:p>
        </w:tc>
      </w:tr>
      <w:tr>
        <w:trPr>
          <w:cantSplit/>
        </w:trPr>
        <w:tc>
          <w:tcPr>
            <w:tcW w:type="dxa" w:w="2880"/>
            <w:tcMar>
              <w:top w:w="120" w:type="dxa"/>
              <w:left w:w="140" w:type="dxa"/>
              <w:bottom w:w="120" w:type="dxa"/>
              <w:right w:w="140" w:type="dxa"/>
            </w:tcMar>
            <w:shd w:val="clear" w:color="auto" w:fill="F4F6F9"/>
          </w:tcPr>
          <w:p>
            <w:pPr>
              <w:spacing w:before="40" w:after="40"/>
            </w:pPr>
            <w:r>
              <w:rPr>
                <w:color w:val="1E1E1E"/>
                <w:sz w:val="18"/>
              </w:rPr>
              <w:t>Preprocessing / EDA done</w:t>
            </w:r>
          </w:p>
        </w:tc>
        <w:tc>
          <w:tcPr>
            <w:tcW w:type="dxa" w:w="6768"/>
            <w:tcMar>
              <w:top w:w="120" w:type="dxa"/>
              <w:left w:w="140" w:type="dxa"/>
              <w:bottom w:w="120" w:type="dxa"/>
              <w:right w:w="140" w:type="dxa"/>
            </w:tcMar>
            <w:shd w:val="clear" w:color="auto" w:fill="F4F6F9"/>
          </w:tcPr>
          <w:p>
            <w:pPr>
              <w:spacing w:before="40" w:after="40"/>
            </w:pPr>
            <w:r>
              <w:rPr>
                <w:color w:val="1E1E1E"/>
                <w:sz w:val="18"/>
              </w:rPr>
              <w:t>• Text normalization, lowercase conversion, and English stop-word filtering across guideline entries.</w:t>
              <w:br/>
              <w:t>• Unigram and bigram tokenization via Scikit-Learn TfidfVectorizer.</w:t>
              <w:br/>
              <w:t>• AST syntax validation and regex pre-compilation for deterministic analysis.</w:t>
            </w:r>
          </w:p>
        </w:tc>
      </w:tr>
      <w:tr>
        <w:trPr>
          <w:cantSplit/>
        </w:trPr>
        <w:tc>
          <w:tcPr>
            <w:tcW w:type="dxa" w:w="2880"/>
            <w:tcMar>
              <w:top w:w="120" w:type="dxa"/>
              <w:left w:w="140" w:type="dxa"/>
              <w:bottom w:w="120" w:type="dxa"/>
              <w:right w:w="140" w:type="dxa"/>
            </w:tcMar>
            <w:shd w:val="clear" w:color="auto" w:fill="FFFFFF"/>
          </w:tcPr>
          <w:p>
            <w:pPr>
              <w:spacing w:before="40" w:after="40"/>
            </w:pPr>
            <w:r>
              <w:rPr>
                <w:color w:val="1E1E1E"/>
                <w:sz w:val="18"/>
              </w:rPr>
              <w:t>Chunking strategy</w:t>
            </w:r>
          </w:p>
        </w:tc>
        <w:tc>
          <w:tcPr>
            <w:tcW w:type="dxa" w:w="6768"/>
            <w:tcMar>
              <w:top w:w="120" w:type="dxa"/>
              <w:left w:w="140" w:type="dxa"/>
              <w:bottom w:w="120" w:type="dxa"/>
              <w:right w:w="140" w:type="dxa"/>
            </w:tcMar>
            <w:shd w:val="clear" w:color="auto" w:fill="FFFFFF"/>
          </w:tcPr>
          <w:p>
            <w:pPr>
              <w:spacing w:before="40" w:after="40"/>
            </w:pPr>
            <w:r>
              <w:rPr>
                <w:color w:val="1E1E1E"/>
                <w:sz w:val="18"/>
              </w:rPr>
              <w:t>Guidelines are structured as atomic, self-contained JSON objects combining ID, title, category, description, and keyword tags. Each guideline is vectorized as an individual semantic chunk, ensuring clean and precise cosine-similarity retrieval without splitting loss.</w:t>
            </w:r>
          </w:p>
        </w:tc>
      </w:tr>
    </w:tbl>
    <w:p>
      <w:pPr>
        <w:keepNext/>
        <w:spacing w:before="240" w:after="80"/>
      </w:pPr>
      <w:r>
        <w:rPr>
          <w:b/>
          <w:color w:val="1B365D"/>
          <w:sz w:val="22"/>
        </w:rPr>
        <w:t>3. Solution Architecture</w:t>
      </w:r>
    </w:p>
    <w:tbl>
      <w:tblPr>
        <w:tblW w:type="auto" w:w="0"/>
        <w:jc w:val="center"/>
        <w:tblLook w:firstColumn="1" w:firstRow="1" w:lastColumn="0" w:lastRow="0" w:noHBand="0" w:noVBand="1" w:val="04A0"/>
      </w:tblPr>
      <w:tblGrid>
        <w:gridCol w:w="5040"/>
        <w:gridCol w:w="5040"/>
      </w:tblGrid>
      <w:tr>
        <w:trPr>
          <w:cantSplit/>
        </w:trPr>
        <w:tc>
          <w:tcPr>
            <w:tcW w:type="dxa" w:w="3312"/>
            <w:tcMar>
              <w:top w:w="120" w:type="dxa"/>
              <w:left w:w="140" w:type="dxa"/>
              <w:bottom w:w="120" w:type="dxa"/>
              <w:right w:w="140" w:type="dxa"/>
            </w:tcMar>
            <w:shd w:val="clear" w:color="auto" w:fill="1B365D"/>
          </w:tcPr>
          <w:p>
            <w:pPr>
              <w:spacing w:before="40" w:after="40"/>
            </w:pPr>
            <w:r>
              <w:rPr>
                <w:b/>
                <w:color w:val="FFFFFF"/>
                <w:sz w:val="19"/>
              </w:rPr>
              <w:t>Component</w:t>
            </w:r>
          </w:p>
        </w:tc>
        <w:tc>
          <w:tcPr>
            <w:tcW w:type="dxa" w:w="6336"/>
            <w:tcMar>
              <w:top w:w="120" w:type="dxa"/>
              <w:left w:w="140" w:type="dxa"/>
              <w:bottom w:w="120" w:type="dxa"/>
              <w:right w:w="140" w:type="dxa"/>
            </w:tcMar>
            <w:shd w:val="clear" w:color="auto" w:fill="1B365D"/>
          </w:tcPr>
          <w:p>
            <w:pPr>
              <w:spacing w:before="40" w:after="40"/>
            </w:pPr>
            <w:r>
              <w:rPr>
                <w:b/>
                <w:color w:val="FFFFFF"/>
                <w:sz w:val="19"/>
              </w:rPr>
              <w:t>Choice (name, version, hosting)</w:t>
            </w:r>
          </w:p>
        </w:tc>
      </w:tr>
      <w:tr>
        <w:trPr>
          <w:cantSplit/>
        </w:trPr>
        <w:tc>
          <w:tcPr>
            <w:tcW w:type="dxa" w:w="3312"/>
            <w:tcMar>
              <w:top w:w="120" w:type="dxa"/>
              <w:left w:w="140" w:type="dxa"/>
              <w:bottom w:w="120" w:type="dxa"/>
              <w:right w:w="140" w:type="dxa"/>
            </w:tcMar>
            <w:shd w:val="clear" w:color="auto" w:fill="F4F6F9"/>
          </w:tcPr>
          <w:p>
            <w:pPr>
              <w:spacing w:before="40" w:after="40"/>
            </w:pPr>
            <w:r>
              <w:rPr>
                <w:color w:val="1E1E1E"/>
                <w:sz w:val="18"/>
              </w:rPr>
              <w:t>Pre-trained model</w:t>
            </w:r>
          </w:p>
        </w:tc>
        <w:tc>
          <w:tcPr>
            <w:tcW w:type="dxa" w:w="6336"/>
            <w:tcMar>
              <w:top w:w="120" w:type="dxa"/>
              <w:left w:w="140" w:type="dxa"/>
              <w:bottom w:w="120" w:type="dxa"/>
              <w:right w:w="140" w:type="dxa"/>
            </w:tcMar>
            <w:shd w:val="clear" w:color="auto" w:fill="F4F6F9"/>
          </w:tcPr>
          <w:p>
            <w:pPr>
              <w:spacing w:before="40" w:after="40"/>
            </w:pPr>
            <w:r>
              <w:rPr>
                <w:color w:val="1E1E1E"/>
                <w:sz w:val="18"/>
              </w:rPr>
              <w:t>Google Gemini (gemini-flash-lite-latest, google-genai SDK v2.30.1), hosted remotely via Google Generative AI REST API with low-temperature (0.2) structured JSON output mode. Automatic fallback cascade includes gemini-3.5-flash-lite and gemini-3.1-flash-lite.</w:t>
            </w:r>
          </w:p>
        </w:tc>
      </w:tr>
      <w:tr>
        <w:trPr>
          <w:cantSplit/>
        </w:trPr>
        <w:tc>
          <w:tcPr>
            <w:tcW w:type="dxa" w:w="3312"/>
            <w:tcMar>
              <w:top w:w="120" w:type="dxa"/>
              <w:left w:w="140" w:type="dxa"/>
              <w:bottom w:w="120" w:type="dxa"/>
              <w:right w:w="140" w:type="dxa"/>
            </w:tcMar>
            <w:shd w:val="clear" w:color="auto" w:fill="FFFFFF"/>
          </w:tcPr>
          <w:p>
            <w:pPr>
              <w:spacing w:before="40" w:after="40"/>
            </w:pPr>
            <w:r>
              <w:rPr>
                <w:color w:val="1E1E1E"/>
                <w:sz w:val="18"/>
              </w:rPr>
              <w:t>Embedding model</w:t>
            </w:r>
          </w:p>
        </w:tc>
        <w:tc>
          <w:tcPr>
            <w:tcW w:type="dxa" w:w="6336"/>
            <w:tcMar>
              <w:top w:w="120" w:type="dxa"/>
              <w:left w:w="140" w:type="dxa"/>
              <w:bottom w:w="120" w:type="dxa"/>
              <w:right w:w="140" w:type="dxa"/>
            </w:tcMar>
            <w:shd w:val="clear" w:color="auto" w:fill="FFFFFF"/>
          </w:tcPr>
          <w:p>
            <w:pPr>
              <w:spacing w:before="40" w:after="40"/>
            </w:pPr>
            <w:r>
              <w:rPr>
                <w:color w:val="1E1E1E"/>
                <w:sz w:val="18"/>
              </w:rPr>
              <w:t>Scikit-Learn TfidfVectorizer (unigram/bigram representation with English stop-words removal). No external embedding API or heavy neural model used.</w:t>
            </w:r>
          </w:p>
        </w:tc>
      </w:tr>
      <w:tr>
        <w:trPr>
          <w:cantSplit/>
        </w:trPr>
        <w:tc>
          <w:tcPr>
            <w:tcW w:type="dxa" w:w="3312"/>
            <w:tcMar>
              <w:top w:w="120" w:type="dxa"/>
              <w:left w:w="140" w:type="dxa"/>
              <w:bottom w:w="120" w:type="dxa"/>
              <w:right w:w="140" w:type="dxa"/>
            </w:tcMar>
            <w:shd w:val="clear" w:color="auto" w:fill="F4F6F9"/>
          </w:tcPr>
          <w:p>
            <w:pPr>
              <w:spacing w:before="40" w:after="40"/>
            </w:pPr>
            <w:r>
              <w:rPr>
                <w:color w:val="1E1E1E"/>
                <w:sz w:val="18"/>
              </w:rPr>
              <w:t>Vector store (FAISS / ChromaDB)</w:t>
            </w:r>
          </w:p>
        </w:tc>
        <w:tc>
          <w:tcPr>
            <w:tcW w:type="dxa" w:w="6336"/>
            <w:tcMar>
              <w:top w:w="120" w:type="dxa"/>
              <w:left w:w="140" w:type="dxa"/>
              <w:bottom w:w="120" w:type="dxa"/>
              <w:right w:w="140" w:type="dxa"/>
            </w:tcMar>
            <w:shd w:val="clear" w:color="auto" w:fill="F4F6F9"/>
          </w:tcPr>
          <w:p>
            <w:pPr>
              <w:spacing w:before="40" w:after="40"/>
            </w:pPr>
            <w:r>
              <w:rPr>
                <w:color w:val="1E1E1E"/>
                <w:sz w:val="18"/>
              </w:rPr>
              <w:t>In-memory sparse TF-IDF matrix indexed over guidelines_kb.json, paired with Scikit-Learn cosine similarity. Heavy vector databases (FAISS / ChromaDB) are intentionally omitted for lightweight local portability.</w:t>
            </w:r>
          </w:p>
        </w:tc>
      </w:tr>
      <w:tr>
        <w:trPr>
          <w:cantSplit/>
        </w:trPr>
        <w:tc>
          <w:tcPr>
            <w:tcW w:type="dxa" w:w="3312"/>
            <w:tcMar>
              <w:top w:w="120" w:type="dxa"/>
              <w:left w:w="140" w:type="dxa"/>
              <w:bottom w:w="120" w:type="dxa"/>
              <w:right w:w="140" w:type="dxa"/>
            </w:tcMar>
            <w:shd w:val="clear" w:color="auto" w:fill="FFFFFF"/>
          </w:tcPr>
          <w:p>
            <w:pPr>
              <w:spacing w:before="40" w:after="40"/>
            </w:pPr>
            <w:r>
              <w:rPr>
                <w:color w:val="1E1E1E"/>
                <w:sz w:val="18"/>
              </w:rPr>
              <w:t>RAG pipeline / AI-agent design</w:t>
            </w:r>
          </w:p>
        </w:tc>
        <w:tc>
          <w:tcPr>
            <w:tcW w:type="dxa" w:w="6336"/>
            <w:tcMar>
              <w:top w:w="120" w:type="dxa"/>
              <w:left w:w="140" w:type="dxa"/>
              <w:bottom w:w="120" w:type="dxa"/>
              <w:right w:w="140" w:type="dxa"/>
            </w:tcMar>
            <w:shd w:val="clear" w:color="auto" w:fill="FFFFFF"/>
          </w:tcPr>
          <w:p>
            <w:pPr>
              <w:spacing w:before="40" w:after="40"/>
            </w:pPr>
            <w:r>
              <w:rPr>
                <w:color w:val="1E1E1E"/>
                <w:sz w:val="18"/>
              </w:rPr>
              <w:t>Two-stage hybrid triage pipeline: Deterministic AST &amp; Regex scans extract line-level findings; each finding queries the TF-IDF index to retrieve top-k guidelines; Gemini performs read-only contextual review on user request.</w:t>
            </w:r>
          </w:p>
        </w:tc>
      </w:tr>
      <w:tr>
        <w:trPr>
          <w:cantSplit/>
        </w:trPr>
        <w:tc>
          <w:tcPr>
            <w:tcW w:type="dxa" w:w="3312"/>
            <w:tcMar>
              <w:top w:w="120" w:type="dxa"/>
              <w:left w:w="140" w:type="dxa"/>
              <w:bottom w:w="120" w:type="dxa"/>
              <w:right w:w="140" w:type="dxa"/>
            </w:tcMar>
            <w:shd w:val="clear" w:color="auto" w:fill="F4F6F9"/>
          </w:tcPr>
          <w:p>
            <w:pPr>
              <w:spacing w:before="40" w:after="40"/>
            </w:pPr>
            <w:r>
              <w:rPr>
                <w:color w:val="1E1E1E"/>
                <w:sz w:val="18"/>
              </w:rPr>
              <w:t>Service layer and UI</w:t>
            </w:r>
          </w:p>
        </w:tc>
        <w:tc>
          <w:tcPr>
            <w:tcW w:type="dxa" w:w="6336"/>
            <w:tcMar>
              <w:top w:w="120" w:type="dxa"/>
              <w:left w:w="140" w:type="dxa"/>
              <w:bottom w:w="120" w:type="dxa"/>
              <w:right w:w="140" w:type="dxa"/>
            </w:tcMar>
            <w:shd w:val="clear" w:color="auto" w:fill="F4F6F9"/>
          </w:tcPr>
          <w:p>
            <w:pPr>
              <w:spacing w:before="40" w:after="40"/>
            </w:pPr>
            <w:r>
              <w:rPr>
                <w:color w:val="1E1E1E"/>
                <w:sz w:val="18"/>
              </w:rPr>
              <w:t>Streamlit (v1.35.0+) web application providing interactive sidebars, dual input modes (paste &amp; upload), metrics cards, findings expanders, and JSON/CSV report export.</w:t>
            </w:r>
          </w:p>
        </w:tc>
      </w:tr>
      <w:tr>
        <w:trPr>
          <w:cantSplit/>
        </w:trPr>
        <w:tc>
          <w:tcPr>
            <w:tcW w:type="dxa" w:w="3312"/>
            <w:tcMar>
              <w:top w:w="120" w:type="dxa"/>
              <w:left w:w="140" w:type="dxa"/>
              <w:bottom w:w="120" w:type="dxa"/>
              <w:right w:w="140" w:type="dxa"/>
            </w:tcMar>
            <w:shd w:val="clear" w:color="auto" w:fill="FFFFFF"/>
          </w:tcPr>
          <w:p>
            <w:pPr>
              <w:spacing w:before="40" w:after="40"/>
            </w:pPr>
            <w:r>
              <w:rPr>
                <w:color w:val="1E1E1E"/>
                <w:sz w:val="18"/>
              </w:rPr>
              <w:t>Tools / deterministic rules</w:t>
            </w:r>
          </w:p>
        </w:tc>
        <w:tc>
          <w:tcPr>
            <w:tcW w:type="dxa" w:w="6336"/>
            <w:tcMar>
              <w:top w:w="120" w:type="dxa"/>
              <w:left w:w="140" w:type="dxa"/>
              <w:bottom w:w="120" w:type="dxa"/>
              <w:right w:w="140" w:type="dxa"/>
            </w:tcMar>
            <w:shd w:val="clear" w:color="auto" w:fill="FFFFFF"/>
          </w:tcPr>
          <w:p>
            <w:pPr>
              <w:spacing w:before="40" w:after="40"/>
            </w:pPr>
            <w:r>
              <w:rPr>
                <w:color w:val="1E1E1E"/>
                <w:sz w:val="18"/>
              </w:rPr>
              <w:t>12 deterministic static analysis rules: 6 Python AST rules (eval/exec, shell=True, bare except, assert, mutable defaults, os.system) and 6 regex heuristic rules (secrets, MD5/SHA1, SQL format, TODO markers, debug mode, print statements).</w:t>
            </w:r>
          </w:p>
        </w:tc>
      </w:tr>
    </w:tbl>
    <w:p>
      <w:pPr>
        <w:spacing w:before="120"/>
      </w:pPr>
    </w:p>
    <w:p>
      <w:r>
        <w:drawing>
          <wp:inline xmlns:a="http://schemas.openxmlformats.org/drawingml/2006/main" xmlns:pic="http://schemas.openxmlformats.org/drawingml/2006/picture">
            <wp:extent cx="5669280" cy="294802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2948026"/>
                    </a:xfrm>
                    <a:prstGeom prst="rect"/>
                  </pic:spPr>
                </pic:pic>
              </a:graphicData>
            </a:graphic>
          </wp:inline>
        </w:drawing>
      </w:r>
    </w:p>
    <w:p>
      <w:pPr>
        <w:jc w:val="center"/>
      </w:pPr>
      <w:r>
        <w:rPr>
          <w:i/>
          <w:sz w:val="17"/>
        </w:rPr>
        <w:t>Figure 1: AutoCodeGuard End-to-End System Architecture</w:t>
      </w:r>
    </w:p>
    <w:p>
      <w:pPr>
        <w:keepNext/>
        <w:spacing w:before="240" w:after="80"/>
      </w:pPr>
      <w:r>
        <w:rPr>
          <w:b/>
          <w:color w:val="1B365D"/>
          <w:sz w:val="22"/>
        </w:rPr>
        <w:t>4. Implementation and Configuration</w:t>
      </w:r>
    </w:p>
    <w:p>
      <w:pPr>
        <w:spacing w:before="0" w:after="80" w:line="276" w:lineRule="auto"/>
      </w:pPr>
      <w:r>
        <w:rPr>
          <w:color w:val="1E1E1E"/>
          <w:sz w:val="19"/>
        </w:rPr>
        <w:t>The AutoCodeGuard pipeline operates in four coordinated steps: ingestion, static analysis, guideline retrieval, and advisory generation.</w:t>
      </w:r>
    </w:p>
    <w:p>
      <w:pPr>
        <w:pStyle w:val="ListBullet"/>
        <w:spacing w:before="0" w:after="60" w:line="276" w:lineRule="auto"/>
      </w:pPr>
      <w:r>
        <w:rPr>
          <w:b/>
          <w:sz w:val="19"/>
        </w:rPr>
        <w:t xml:space="preserve">Step 1 (Ingestion): </w:t>
      </w:r>
      <w:r>
        <w:rPr>
          <w:sz w:val="19"/>
        </w:rPr>
        <w:t>User submits source code through Streamlit via paste text area or file upload (.py, .c, .cpp, .java). Input is validated for empty content and basic syntax structure without executing code.</w:t>
      </w:r>
    </w:p>
    <w:p>
      <w:pPr>
        <w:pStyle w:val="ListBullet"/>
        <w:spacing w:before="0" w:after="60" w:line="276" w:lineRule="auto"/>
      </w:pPr>
      <w:r>
        <w:rPr>
          <w:b/>
          <w:sz w:val="19"/>
        </w:rPr>
        <w:t xml:space="preserve">Step 2 (Deterministic Static Analysis): </w:t>
      </w:r>
      <w:r>
        <w:rPr>
          <w:sz w:val="19"/>
        </w:rPr>
        <w:t>The code is parsed into a Python AST. The AST visitor checks for dynamic execution (ACG-PY-001), shell=True subprocess calls (ACG-PY-002), bare excepts (ACG-PY-003), assert statements (ACG-PY-004), mutable defaults (ACG-PY-005), and os.system calls (ACG-PY-006). Concurrently, regex rules scan for hardcoded credentials, broken hashes (MD5/SHA1), SQL formatting, TODO tags, debug flags, and print diagnostics.</w:t>
      </w:r>
    </w:p>
    <w:p>
      <w:pPr>
        <w:pStyle w:val="ListBullet"/>
        <w:spacing w:before="0" w:after="60" w:line="276" w:lineRule="auto"/>
      </w:pPr>
      <w:r>
        <w:rPr>
          <w:b/>
          <w:sz w:val="19"/>
        </w:rPr>
        <w:t xml:space="preserve">Step 3 (TF-IDF Guideline Retrieval): </w:t>
      </w:r>
      <w:r>
        <w:rPr>
          <w:sz w:val="19"/>
        </w:rPr>
        <w:t>For every detected finding, a query string combining the title, explanation, and evidence is vectorized against the 16-guideline TF-IDF corpus. Cosine similarity computes relevance, retrieving the top-2 matching standards above a 0.0 threshold.</w:t>
      </w:r>
    </w:p>
    <w:p>
      <w:pPr>
        <w:pStyle w:val="ListBullet"/>
        <w:spacing w:before="0" w:after="60" w:line="276" w:lineRule="auto"/>
      </w:pPr>
      <w:r>
        <w:rPr>
          <w:b/>
          <w:sz w:val="19"/>
        </w:rPr>
        <w:t xml:space="preserve">Step 4 (Advisory Gemini Review &amp; Export): </w:t>
      </w:r>
      <w:r>
        <w:rPr>
          <w:sz w:val="19"/>
        </w:rPr>
        <w:t>If the user enables Gemini Review, a privacy notice is shown, and the prompt is dispatched to gemini-flash-lite-latest with response_mime_type='application/json' and temperature=0.2. Returned JSON findings are validated, line-checked against source length, and displayed alongside static findings. The full triage state is exportable as a downloadable JSON report or CSV table.</w:t>
      </w:r>
    </w:p>
    <w:p>
      <w:r>
        <w:drawing>
          <wp:inline xmlns:a="http://schemas.openxmlformats.org/drawingml/2006/main" xmlns:pic="http://schemas.openxmlformats.org/drawingml/2006/picture">
            <wp:extent cx="5486400" cy="2079057"/>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0"/>
                    <a:stretch>
                      <a:fillRect/>
                    </a:stretch>
                  </pic:blipFill>
                  <pic:spPr>
                    <a:xfrm>
                      <a:off x="0" y="0"/>
                      <a:ext cx="5486400" cy="2079057"/>
                    </a:xfrm>
                    <a:prstGeom prst="rect"/>
                  </pic:spPr>
                </pic:pic>
              </a:graphicData>
            </a:graphic>
          </wp:inline>
        </w:drawing>
      </w:r>
    </w:p>
    <w:p>
      <w:pPr>
        <w:jc w:val="center"/>
      </w:pPr>
      <w:r>
        <w:rPr>
          <w:i/>
          <w:sz w:val="17"/>
        </w:rPr>
        <w:t>Figure 2: Execution Workflow (Ingestion → Static Analysis → Retrieval → LLM Advisory → Export)</w:t>
      </w:r>
    </w:p>
    <w:p>
      <w:pPr>
        <w:keepNext/>
        <w:spacing w:before="240" w:after="80"/>
      </w:pPr>
      <w:r>
        <w:rPr>
          <w:b/>
          <w:color w:val="1B365D"/>
          <w:sz w:val="22"/>
        </w:rPr>
        <w:t>5. Evaluation Steps and Results</w:t>
      </w:r>
    </w:p>
    <w:p>
      <w:pPr>
        <w:spacing w:before="0" w:after="80" w:line="276" w:lineRule="auto"/>
      </w:pPr>
      <w:r>
        <w:rPr>
          <w:color w:val="1E1E1E"/>
          <w:sz w:val="19"/>
        </w:rPr>
        <w:t>The deterministic analyzer was evaluated using evaluate.py against the 12-case benchmark suite. Each test scenario was scored based on expected vs. detected rule IDs.</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576"/>
            <w:tcMar>
              <w:top w:w="120" w:type="dxa"/>
              <w:left w:w="140" w:type="dxa"/>
              <w:bottom w:w="120" w:type="dxa"/>
              <w:right w:w="140" w:type="dxa"/>
            </w:tcMar>
            <w:shd w:val="clear" w:color="auto" w:fill="1B365D"/>
          </w:tcPr>
          <w:p>
            <w:pPr>
              <w:spacing w:before="40" w:after="40"/>
            </w:pPr>
            <w:r>
              <w:rPr>
                <w:b/>
                <w:color w:val="FFFFFF"/>
                <w:sz w:val="19"/>
              </w:rPr>
              <w:t>#</w:t>
            </w:r>
          </w:p>
        </w:tc>
        <w:tc>
          <w:tcPr>
            <w:tcW w:type="dxa" w:w="3312"/>
            <w:tcMar>
              <w:top w:w="120" w:type="dxa"/>
              <w:left w:w="140" w:type="dxa"/>
              <w:bottom w:w="120" w:type="dxa"/>
              <w:right w:w="140" w:type="dxa"/>
            </w:tcMar>
            <w:shd w:val="clear" w:color="auto" w:fill="1B365D"/>
          </w:tcPr>
          <w:p>
            <w:pPr>
              <w:spacing w:before="40" w:after="40"/>
            </w:pPr>
            <w:r>
              <w:rPr>
                <w:b/>
                <w:color w:val="FFFFFF"/>
                <w:sz w:val="19"/>
              </w:rPr>
              <w:t>Test question / scenario</w:t>
            </w:r>
          </w:p>
        </w:tc>
        <w:tc>
          <w:tcPr>
            <w:tcW w:type="dxa" w:w="3168"/>
            <w:tcMar>
              <w:top w:w="120" w:type="dxa"/>
              <w:left w:w="140" w:type="dxa"/>
              <w:bottom w:w="120" w:type="dxa"/>
              <w:right w:w="140" w:type="dxa"/>
            </w:tcMar>
            <w:shd w:val="clear" w:color="auto" w:fill="1B365D"/>
          </w:tcPr>
          <w:p>
            <w:pPr>
              <w:spacing w:before="40" w:after="40"/>
            </w:pPr>
            <w:r>
              <w:rPr>
                <w:b/>
                <w:color w:val="FFFFFF"/>
                <w:sz w:val="19"/>
              </w:rPr>
              <w:t>Expected answer / behaviour</w:t>
            </w:r>
          </w:p>
        </w:tc>
        <w:tc>
          <w:tcPr>
            <w:tcW w:type="dxa" w:w="2592"/>
            <w:tcMar>
              <w:top w:w="120" w:type="dxa"/>
              <w:left w:w="140" w:type="dxa"/>
              <w:bottom w:w="120" w:type="dxa"/>
              <w:right w:w="140" w:type="dxa"/>
            </w:tcMar>
            <w:shd w:val="clear" w:color="auto" w:fill="1B365D"/>
          </w:tcPr>
          <w:p>
            <w:pPr>
              <w:spacing w:before="40" w:after="40"/>
            </w:pPr>
            <w:r>
              <w:rPr>
                <w:b/>
                <w:color w:val="FFFFFF"/>
                <w:sz w:val="19"/>
              </w:rPr>
              <w:t>Result (Pass/Fail, notes)</w:t>
            </w:r>
          </w:p>
        </w:tc>
      </w:tr>
      <w:tr>
        <w:trPr>
          <w:cantSplit/>
        </w:trPr>
        <w:tc>
          <w:tcPr>
            <w:tcW w:type="dxa" w:w="576"/>
            <w:tcMar>
              <w:top w:w="120" w:type="dxa"/>
              <w:left w:w="140" w:type="dxa"/>
              <w:bottom w:w="120" w:type="dxa"/>
              <w:right w:w="140" w:type="dxa"/>
            </w:tcMar>
            <w:shd w:val="clear" w:color="auto" w:fill="F4F6F9"/>
          </w:tcPr>
          <w:p>
            <w:pPr>
              <w:spacing w:before="40" w:after="40"/>
            </w:pPr>
            <w:r>
              <w:rPr>
                <w:color w:val="1E1E1E"/>
                <w:sz w:val="18"/>
              </w:rPr>
              <w:t>1</w:t>
            </w:r>
          </w:p>
        </w:tc>
        <w:tc>
          <w:tcPr>
            <w:tcW w:type="dxa" w:w="3312"/>
            <w:tcMar>
              <w:top w:w="120" w:type="dxa"/>
              <w:left w:w="140" w:type="dxa"/>
              <w:bottom w:w="120" w:type="dxa"/>
              <w:right w:w="140" w:type="dxa"/>
            </w:tcMar>
            <w:shd w:val="clear" w:color="auto" w:fill="F4F6F9"/>
          </w:tcPr>
          <w:p>
            <w:pPr>
              <w:spacing w:before="40" w:after="40"/>
            </w:pPr>
            <w:r>
              <w:rPr>
                <w:color w:val="1E1E1E"/>
                <w:sz w:val="18"/>
              </w:rPr>
              <w:t>TC-001: Python code with eval() and bare except</w:t>
            </w:r>
          </w:p>
        </w:tc>
        <w:tc>
          <w:tcPr>
            <w:tcW w:type="dxa" w:w="3168"/>
            <w:tcMar>
              <w:top w:w="120" w:type="dxa"/>
              <w:left w:w="140" w:type="dxa"/>
              <w:bottom w:w="120" w:type="dxa"/>
              <w:right w:w="140" w:type="dxa"/>
            </w:tcMar>
            <w:shd w:val="clear" w:color="auto" w:fill="F4F6F9"/>
          </w:tcPr>
          <w:p>
            <w:pPr>
              <w:spacing w:before="40" w:after="40"/>
            </w:pPr>
            <w:r>
              <w:rPr>
                <w:color w:val="1E1E1E"/>
                <w:sz w:val="18"/>
              </w:rPr>
              <w:t>Flag ACG-PY-001 (eval) and ACG-PY-003 (bare except)</w:t>
            </w:r>
          </w:p>
        </w:tc>
        <w:tc>
          <w:tcPr>
            <w:tcW w:type="dxa" w:w="2592"/>
            <w:tcMar>
              <w:top w:w="120" w:type="dxa"/>
              <w:left w:w="140" w:type="dxa"/>
              <w:bottom w:w="120" w:type="dxa"/>
              <w:right w:w="140" w:type="dxa"/>
            </w:tcMar>
            <w:shd w:val="clear" w:color="auto" w:fill="F4F6F9"/>
          </w:tcPr>
          <w:p>
            <w:pPr>
              <w:spacing w:before="40" w:after="40"/>
            </w:pPr>
            <w:r>
              <w:rPr>
                <w:color w:val="1E1E1E"/>
                <w:sz w:val="18"/>
              </w:rPr>
              <w:t>PASS. Both rules detected with exact line numbers.</w:t>
            </w:r>
          </w:p>
        </w:tc>
      </w:tr>
      <w:tr>
        <w:trPr>
          <w:cantSplit/>
        </w:trPr>
        <w:tc>
          <w:tcPr>
            <w:tcW w:type="dxa" w:w="576"/>
            <w:tcMar>
              <w:top w:w="120" w:type="dxa"/>
              <w:left w:w="140" w:type="dxa"/>
              <w:bottom w:w="120" w:type="dxa"/>
              <w:right w:w="140" w:type="dxa"/>
            </w:tcMar>
            <w:shd w:val="clear" w:color="auto" w:fill="FFFFFF"/>
          </w:tcPr>
          <w:p>
            <w:pPr>
              <w:spacing w:before="40" w:after="40"/>
            </w:pPr>
            <w:r>
              <w:rPr>
                <w:color w:val="1E1E1E"/>
                <w:sz w:val="18"/>
              </w:rPr>
              <w:t>2</w:t>
            </w:r>
          </w:p>
        </w:tc>
        <w:tc>
          <w:tcPr>
            <w:tcW w:type="dxa" w:w="3312"/>
            <w:tcMar>
              <w:top w:w="120" w:type="dxa"/>
              <w:left w:w="140" w:type="dxa"/>
              <w:bottom w:w="120" w:type="dxa"/>
              <w:right w:w="140" w:type="dxa"/>
            </w:tcMar>
            <w:shd w:val="clear" w:color="auto" w:fill="FFFFFF"/>
          </w:tcPr>
          <w:p>
            <w:pPr>
              <w:spacing w:before="40" w:after="40"/>
            </w:pPr>
            <w:r>
              <w:rPr>
                <w:color w:val="1E1E1E"/>
                <w:sz w:val="18"/>
              </w:rPr>
              <w:t>TC-002: Hardcoded password and MD5 hash</w:t>
            </w:r>
          </w:p>
        </w:tc>
        <w:tc>
          <w:tcPr>
            <w:tcW w:type="dxa" w:w="3168"/>
            <w:tcMar>
              <w:top w:w="120" w:type="dxa"/>
              <w:left w:w="140" w:type="dxa"/>
              <w:bottom w:w="120" w:type="dxa"/>
              <w:right w:w="140" w:type="dxa"/>
            </w:tcMar>
            <w:shd w:val="clear" w:color="auto" w:fill="FFFFFF"/>
          </w:tcPr>
          <w:p>
            <w:pPr>
              <w:spacing w:before="40" w:after="40"/>
            </w:pPr>
            <w:r>
              <w:rPr>
                <w:color w:val="1E1E1E"/>
                <w:sz w:val="18"/>
              </w:rPr>
              <w:t>Flag ACG-RE-001 (secret) and ACG-RE-002 (MD5 weak hash)</w:t>
            </w:r>
          </w:p>
        </w:tc>
        <w:tc>
          <w:tcPr>
            <w:tcW w:type="dxa" w:w="2592"/>
            <w:tcMar>
              <w:top w:w="120" w:type="dxa"/>
              <w:left w:w="140" w:type="dxa"/>
              <w:bottom w:w="120" w:type="dxa"/>
              <w:right w:w="140" w:type="dxa"/>
            </w:tcMar>
            <w:shd w:val="clear" w:color="auto" w:fill="FFFFFF"/>
          </w:tcPr>
          <w:p>
            <w:pPr>
              <w:spacing w:before="40" w:after="40"/>
            </w:pPr>
            <w:r>
              <w:rPr>
                <w:color w:val="1E1E1E"/>
                <w:sz w:val="18"/>
              </w:rPr>
              <w:t>PASS. Both regex rules triggered on literals.</w:t>
            </w:r>
          </w:p>
        </w:tc>
      </w:tr>
      <w:tr>
        <w:trPr>
          <w:cantSplit/>
        </w:trPr>
        <w:tc>
          <w:tcPr>
            <w:tcW w:type="dxa" w:w="576"/>
            <w:tcMar>
              <w:top w:w="120" w:type="dxa"/>
              <w:left w:w="140" w:type="dxa"/>
              <w:bottom w:w="120" w:type="dxa"/>
              <w:right w:w="140" w:type="dxa"/>
            </w:tcMar>
            <w:shd w:val="clear" w:color="auto" w:fill="F4F6F9"/>
          </w:tcPr>
          <w:p>
            <w:pPr>
              <w:spacing w:before="40" w:after="40"/>
            </w:pPr>
            <w:r>
              <w:rPr>
                <w:color w:val="1E1E1E"/>
                <w:sz w:val="18"/>
              </w:rPr>
              <w:t>3</w:t>
            </w:r>
          </w:p>
        </w:tc>
        <w:tc>
          <w:tcPr>
            <w:tcW w:type="dxa" w:w="3312"/>
            <w:tcMar>
              <w:top w:w="120" w:type="dxa"/>
              <w:left w:w="140" w:type="dxa"/>
              <w:bottom w:w="120" w:type="dxa"/>
              <w:right w:w="140" w:type="dxa"/>
            </w:tcMar>
            <w:shd w:val="clear" w:color="auto" w:fill="F4F6F9"/>
          </w:tcPr>
          <w:p>
            <w:pPr>
              <w:spacing w:before="40" w:after="40"/>
            </w:pPr>
            <w:r>
              <w:rPr>
                <w:color w:val="1E1E1E"/>
                <w:sz w:val="18"/>
              </w:rPr>
              <w:t>TC-003: Subprocess called with shell=True</w:t>
            </w:r>
          </w:p>
        </w:tc>
        <w:tc>
          <w:tcPr>
            <w:tcW w:type="dxa" w:w="3168"/>
            <w:tcMar>
              <w:top w:w="120" w:type="dxa"/>
              <w:left w:w="140" w:type="dxa"/>
              <w:bottom w:w="120" w:type="dxa"/>
              <w:right w:w="140" w:type="dxa"/>
            </w:tcMar>
            <w:shd w:val="clear" w:color="auto" w:fill="F4F6F9"/>
          </w:tcPr>
          <w:p>
            <w:pPr>
              <w:spacing w:before="40" w:after="40"/>
            </w:pPr>
            <w:r>
              <w:rPr>
                <w:color w:val="1E1E1E"/>
                <w:sz w:val="18"/>
              </w:rPr>
              <w:t>Flag ACG-PY-002 (shell injection risk)</w:t>
            </w:r>
          </w:p>
        </w:tc>
        <w:tc>
          <w:tcPr>
            <w:tcW w:type="dxa" w:w="2592"/>
            <w:tcMar>
              <w:top w:w="120" w:type="dxa"/>
              <w:left w:w="140" w:type="dxa"/>
              <w:bottom w:w="120" w:type="dxa"/>
              <w:right w:w="140" w:type="dxa"/>
            </w:tcMar>
            <w:shd w:val="clear" w:color="auto" w:fill="F4F6F9"/>
          </w:tcPr>
          <w:p>
            <w:pPr>
              <w:spacing w:before="40" w:after="40"/>
            </w:pPr>
            <w:r>
              <w:rPr>
                <w:color w:val="1E1E1E"/>
                <w:sz w:val="18"/>
              </w:rPr>
              <w:t>PASS. AST keyword visitor identified shell=True.</w:t>
            </w:r>
          </w:p>
        </w:tc>
      </w:tr>
      <w:tr>
        <w:trPr>
          <w:cantSplit/>
        </w:trPr>
        <w:tc>
          <w:tcPr>
            <w:tcW w:type="dxa" w:w="576"/>
            <w:tcMar>
              <w:top w:w="120" w:type="dxa"/>
              <w:left w:w="140" w:type="dxa"/>
              <w:bottom w:w="120" w:type="dxa"/>
              <w:right w:w="140" w:type="dxa"/>
            </w:tcMar>
            <w:shd w:val="clear" w:color="auto" w:fill="FFFFFF"/>
          </w:tcPr>
          <w:p>
            <w:pPr>
              <w:spacing w:before="40" w:after="40"/>
            </w:pPr>
            <w:r>
              <w:rPr>
                <w:color w:val="1E1E1E"/>
                <w:sz w:val="18"/>
              </w:rPr>
              <w:t>4</w:t>
            </w:r>
          </w:p>
        </w:tc>
        <w:tc>
          <w:tcPr>
            <w:tcW w:type="dxa" w:w="3312"/>
            <w:tcMar>
              <w:top w:w="120" w:type="dxa"/>
              <w:left w:w="140" w:type="dxa"/>
              <w:bottom w:w="120" w:type="dxa"/>
              <w:right w:w="140" w:type="dxa"/>
            </w:tcMar>
            <w:shd w:val="clear" w:color="auto" w:fill="FFFFFF"/>
          </w:tcPr>
          <w:p>
            <w:pPr>
              <w:spacing w:before="40" w:after="40"/>
            </w:pPr>
            <w:r>
              <w:rPr>
                <w:color w:val="1E1E1E"/>
                <w:sz w:val="18"/>
              </w:rPr>
              <w:t>TC-004: SQL query built with %s string formatting</w:t>
            </w:r>
          </w:p>
        </w:tc>
        <w:tc>
          <w:tcPr>
            <w:tcW w:type="dxa" w:w="3168"/>
            <w:tcMar>
              <w:top w:w="120" w:type="dxa"/>
              <w:left w:w="140" w:type="dxa"/>
              <w:bottom w:w="120" w:type="dxa"/>
              <w:right w:w="140" w:type="dxa"/>
            </w:tcMar>
            <w:shd w:val="clear" w:color="auto" w:fill="FFFFFF"/>
          </w:tcPr>
          <w:p>
            <w:pPr>
              <w:spacing w:before="40" w:after="40"/>
            </w:pPr>
            <w:r>
              <w:rPr>
                <w:color w:val="1E1E1E"/>
                <w:sz w:val="18"/>
              </w:rPr>
              <w:t>Flag ACG-RE-003 (SQL injection pattern)</w:t>
            </w:r>
          </w:p>
        </w:tc>
        <w:tc>
          <w:tcPr>
            <w:tcW w:type="dxa" w:w="2592"/>
            <w:tcMar>
              <w:top w:w="120" w:type="dxa"/>
              <w:left w:w="140" w:type="dxa"/>
              <w:bottom w:w="120" w:type="dxa"/>
              <w:right w:w="140" w:type="dxa"/>
            </w:tcMar>
            <w:shd w:val="clear" w:color="auto" w:fill="FFFFFF"/>
          </w:tcPr>
          <w:p>
            <w:pPr>
              <w:spacing w:before="40" w:after="40"/>
            </w:pPr>
            <w:r>
              <w:rPr>
                <w:color w:val="1E1E1E"/>
                <w:sz w:val="18"/>
              </w:rPr>
              <w:t>PASS. Flagged format pattern in SQL query string.</w:t>
            </w:r>
          </w:p>
        </w:tc>
      </w:tr>
      <w:tr>
        <w:trPr>
          <w:cantSplit/>
        </w:trPr>
        <w:tc>
          <w:tcPr>
            <w:tcW w:type="dxa" w:w="576"/>
            <w:tcMar>
              <w:top w:w="120" w:type="dxa"/>
              <w:left w:w="140" w:type="dxa"/>
              <w:bottom w:w="120" w:type="dxa"/>
              <w:right w:w="140" w:type="dxa"/>
            </w:tcMar>
            <w:shd w:val="clear" w:color="auto" w:fill="F4F6F9"/>
          </w:tcPr>
          <w:p>
            <w:pPr>
              <w:spacing w:before="40" w:after="40"/>
            </w:pPr>
            <w:r>
              <w:rPr>
                <w:color w:val="1E1E1E"/>
                <w:sz w:val="18"/>
              </w:rPr>
              <w:t>5</w:t>
            </w:r>
          </w:p>
        </w:tc>
        <w:tc>
          <w:tcPr>
            <w:tcW w:type="dxa" w:w="3312"/>
            <w:tcMar>
              <w:top w:w="120" w:type="dxa"/>
              <w:left w:w="140" w:type="dxa"/>
              <w:bottom w:w="120" w:type="dxa"/>
              <w:right w:w="140" w:type="dxa"/>
            </w:tcMar>
            <w:shd w:val="clear" w:color="auto" w:fill="F4F6F9"/>
          </w:tcPr>
          <w:p>
            <w:pPr>
              <w:spacing w:before="40" w:after="40"/>
            </w:pPr>
            <w:r>
              <w:rPr>
                <w:color w:val="1E1E1E"/>
                <w:sz w:val="18"/>
              </w:rPr>
              <w:t>TC-005: Mutable default argument def f(lst=[])</w:t>
            </w:r>
          </w:p>
        </w:tc>
        <w:tc>
          <w:tcPr>
            <w:tcW w:type="dxa" w:w="3168"/>
            <w:tcMar>
              <w:top w:w="120" w:type="dxa"/>
              <w:left w:w="140" w:type="dxa"/>
              <w:bottom w:w="120" w:type="dxa"/>
              <w:right w:w="140" w:type="dxa"/>
            </w:tcMar>
            <w:shd w:val="clear" w:color="auto" w:fill="F4F6F9"/>
          </w:tcPr>
          <w:p>
            <w:pPr>
              <w:spacing w:before="40" w:after="40"/>
            </w:pPr>
            <w:r>
              <w:rPr>
                <w:color w:val="1E1E1E"/>
                <w:sz w:val="18"/>
              </w:rPr>
              <w:t>Flag ACG-PY-005 (shared mutable default state)</w:t>
            </w:r>
          </w:p>
        </w:tc>
        <w:tc>
          <w:tcPr>
            <w:tcW w:type="dxa" w:w="2592"/>
            <w:tcMar>
              <w:top w:w="120" w:type="dxa"/>
              <w:left w:w="140" w:type="dxa"/>
              <w:bottom w:w="120" w:type="dxa"/>
              <w:right w:w="140" w:type="dxa"/>
            </w:tcMar>
            <w:shd w:val="clear" w:color="auto" w:fill="F4F6F9"/>
          </w:tcPr>
          <w:p>
            <w:pPr>
              <w:spacing w:before="40" w:after="40"/>
            </w:pPr>
            <w:r>
              <w:rPr>
                <w:color w:val="1E1E1E"/>
                <w:sz w:val="18"/>
              </w:rPr>
              <w:t>PASS. AST FunctionDef visitor identified mutable list.</w:t>
            </w:r>
          </w:p>
        </w:tc>
      </w:tr>
      <w:tr>
        <w:trPr>
          <w:cantSplit/>
        </w:trPr>
        <w:tc>
          <w:tcPr>
            <w:tcW w:type="dxa" w:w="576"/>
            <w:tcMar>
              <w:top w:w="120" w:type="dxa"/>
              <w:left w:w="140" w:type="dxa"/>
              <w:bottom w:w="120" w:type="dxa"/>
              <w:right w:w="140" w:type="dxa"/>
            </w:tcMar>
            <w:shd w:val="clear" w:color="auto" w:fill="FFFFFF"/>
          </w:tcPr>
          <w:p>
            <w:pPr>
              <w:spacing w:before="40" w:after="40"/>
            </w:pPr>
            <w:r>
              <w:rPr>
                <w:color w:val="1E1E1E"/>
                <w:sz w:val="18"/>
              </w:rPr>
              <w:t>6</w:t>
            </w:r>
          </w:p>
        </w:tc>
        <w:tc>
          <w:tcPr>
            <w:tcW w:type="dxa" w:w="3312"/>
            <w:tcMar>
              <w:top w:w="120" w:type="dxa"/>
              <w:left w:w="140" w:type="dxa"/>
              <w:bottom w:w="120" w:type="dxa"/>
              <w:right w:w="140" w:type="dxa"/>
            </w:tcMar>
            <w:shd w:val="clear" w:color="auto" w:fill="FFFFFF"/>
          </w:tcPr>
          <w:p>
            <w:pPr>
              <w:spacing w:before="40" w:after="40"/>
            </w:pPr>
            <w:r>
              <w:rPr>
                <w:color w:val="1E1E1E"/>
                <w:sz w:val="18"/>
              </w:rPr>
              <w:t>TC-006: Production DEBUG=True and print() leakage</w:t>
            </w:r>
          </w:p>
        </w:tc>
        <w:tc>
          <w:tcPr>
            <w:tcW w:type="dxa" w:w="3168"/>
            <w:tcMar>
              <w:top w:w="120" w:type="dxa"/>
              <w:left w:w="140" w:type="dxa"/>
              <w:bottom w:w="120" w:type="dxa"/>
              <w:right w:w="140" w:type="dxa"/>
            </w:tcMar>
            <w:shd w:val="clear" w:color="auto" w:fill="FFFFFF"/>
          </w:tcPr>
          <w:p>
            <w:pPr>
              <w:spacing w:before="40" w:after="40"/>
            </w:pPr>
            <w:r>
              <w:rPr>
                <w:color w:val="1E1E1E"/>
                <w:sz w:val="18"/>
              </w:rPr>
              <w:t>Flag ACG-RE-005 (debug mode) and ACG-RE-006 (print)</w:t>
            </w:r>
          </w:p>
        </w:tc>
        <w:tc>
          <w:tcPr>
            <w:tcW w:type="dxa" w:w="2592"/>
            <w:tcMar>
              <w:top w:w="120" w:type="dxa"/>
              <w:left w:w="140" w:type="dxa"/>
              <w:bottom w:w="120" w:type="dxa"/>
              <w:right w:w="140" w:type="dxa"/>
            </w:tcMar>
            <w:shd w:val="clear" w:color="auto" w:fill="FFFFFF"/>
          </w:tcPr>
          <w:p>
            <w:pPr>
              <w:spacing w:before="40" w:after="40"/>
            </w:pPr>
            <w:r>
              <w:rPr>
                <w:color w:val="1E1E1E"/>
                <w:sz w:val="18"/>
              </w:rPr>
              <w:t>PASS. Flagged debug assignment and diagnostic print.</w:t>
            </w:r>
          </w:p>
        </w:tc>
      </w:tr>
      <w:tr>
        <w:trPr>
          <w:cantSplit/>
        </w:trPr>
        <w:tc>
          <w:tcPr>
            <w:tcW w:type="dxa" w:w="576"/>
            <w:tcMar>
              <w:top w:w="120" w:type="dxa"/>
              <w:left w:w="140" w:type="dxa"/>
              <w:bottom w:w="120" w:type="dxa"/>
              <w:right w:w="140" w:type="dxa"/>
            </w:tcMar>
            <w:shd w:val="clear" w:color="auto" w:fill="F4F6F9"/>
          </w:tcPr>
          <w:p>
            <w:pPr>
              <w:spacing w:before="40" w:after="40"/>
            </w:pPr>
            <w:r>
              <w:rPr>
                <w:color w:val="1E1E1E"/>
                <w:sz w:val="18"/>
              </w:rPr>
              <w:t>7</w:t>
            </w:r>
          </w:p>
        </w:tc>
        <w:tc>
          <w:tcPr>
            <w:tcW w:type="dxa" w:w="3312"/>
            <w:tcMar>
              <w:top w:w="120" w:type="dxa"/>
              <w:left w:w="140" w:type="dxa"/>
              <w:bottom w:w="120" w:type="dxa"/>
              <w:right w:w="140" w:type="dxa"/>
            </w:tcMar>
            <w:shd w:val="clear" w:color="auto" w:fill="F4F6F9"/>
          </w:tcPr>
          <w:p>
            <w:pPr>
              <w:spacing w:before="40" w:after="40"/>
            </w:pPr>
            <w:r>
              <w:rPr>
                <w:color w:val="1E1E1E"/>
                <w:sz w:val="18"/>
              </w:rPr>
              <w:t>TC-007: assert statement used for input validation</w:t>
            </w:r>
          </w:p>
        </w:tc>
        <w:tc>
          <w:tcPr>
            <w:tcW w:type="dxa" w:w="3168"/>
            <w:tcMar>
              <w:top w:w="120" w:type="dxa"/>
              <w:left w:w="140" w:type="dxa"/>
              <w:bottom w:w="120" w:type="dxa"/>
              <w:right w:w="140" w:type="dxa"/>
            </w:tcMar>
            <w:shd w:val="clear" w:color="auto" w:fill="F4F6F9"/>
          </w:tcPr>
          <w:p>
            <w:pPr>
              <w:spacing w:before="40" w:after="40"/>
            </w:pPr>
            <w:r>
              <w:rPr>
                <w:color w:val="1E1E1E"/>
                <w:sz w:val="18"/>
              </w:rPr>
              <w:t>Flag ACG-PY-004 (assert disabled under -O optimization)</w:t>
            </w:r>
          </w:p>
        </w:tc>
        <w:tc>
          <w:tcPr>
            <w:tcW w:type="dxa" w:w="2592"/>
            <w:tcMar>
              <w:top w:w="120" w:type="dxa"/>
              <w:left w:w="140" w:type="dxa"/>
              <w:bottom w:w="120" w:type="dxa"/>
              <w:right w:w="140" w:type="dxa"/>
            </w:tcMar>
            <w:shd w:val="clear" w:color="auto" w:fill="F4F6F9"/>
          </w:tcPr>
          <w:p>
            <w:pPr>
              <w:spacing w:before="40" w:after="40"/>
            </w:pPr>
            <w:r>
              <w:rPr>
                <w:color w:val="1E1E1E"/>
                <w:sz w:val="18"/>
              </w:rPr>
              <w:t>PASS. AST Assert node detected at validation site.</w:t>
            </w:r>
          </w:p>
        </w:tc>
      </w:tr>
      <w:tr>
        <w:trPr>
          <w:cantSplit/>
        </w:trPr>
        <w:tc>
          <w:tcPr>
            <w:tcW w:type="dxa" w:w="576"/>
            <w:tcMar>
              <w:top w:w="120" w:type="dxa"/>
              <w:left w:w="140" w:type="dxa"/>
              <w:bottom w:w="120" w:type="dxa"/>
              <w:right w:w="140" w:type="dxa"/>
            </w:tcMar>
            <w:shd w:val="clear" w:color="auto" w:fill="FFFFFF"/>
          </w:tcPr>
          <w:p>
            <w:pPr>
              <w:spacing w:before="40" w:after="40"/>
            </w:pPr>
            <w:r>
              <w:rPr>
                <w:color w:val="1E1E1E"/>
                <w:sz w:val="18"/>
              </w:rPr>
              <w:t>8</w:t>
            </w:r>
          </w:p>
        </w:tc>
        <w:tc>
          <w:tcPr>
            <w:tcW w:type="dxa" w:w="3312"/>
            <w:tcMar>
              <w:top w:w="120" w:type="dxa"/>
              <w:left w:w="140" w:type="dxa"/>
              <w:bottom w:w="120" w:type="dxa"/>
              <w:right w:w="140" w:type="dxa"/>
            </w:tcMar>
            <w:shd w:val="clear" w:color="auto" w:fill="FFFFFF"/>
          </w:tcPr>
          <w:p>
            <w:pPr>
              <w:spacing w:before="40" w:after="40"/>
            </w:pPr>
            <w:r>
              <w:rPr>
                <w:color w:val="1E1E1E"/>
                <w:sz w:val="18"/>
              </w:rPr>
              <w:t>TC-008: os.system() invocation for command execution</w:t>
            </w:r>
          </w:p>
        </w:tc>
        <w:tc>
          <w:tcPr>
            <w:tcW w:type="dxa" w:w="3168"/>
            <w:tcMar>
              <w:top w:w="120" w:type="dxa"/>
              <w:left w:w="140" w:type="dxa"/>
              <w:bottom w:w="120" w:type="dxa"/>
              <w:right w:w="140" w:type="dxa"/>
            </w:tcMar>
            <w:shd w:val="clear" w:color="auto" w:fill="FFFFFF"/>
          </w:tcPr>
          <w:p>
            <w:pPr>
              <w:spacing w:before="40" w:after="40"/>
            </w:pPr>
            <w:r>
              <w:rPr>
                <w:color w:val="1E1E1E"/>
                <w:sz w:val="18"/>
              </w:rPr>
              <w:t>Flag ACG-PY-006 (os.system command injection risk)</w:t>
            </w:r>
          </w:p>
        </w:tc>
        <w:tc>
          <w:tcPr>
            <w:tcW w:type="dxa" w:w="2592"/>
            <w:tcMar>
              <w:top w:w="120" w:type="dxa"/>
              <w:left w:w="140" w:type="dxa"/>
              <w:bottom w:w="120" w:type="dxa"/>
              <w:right w:w="140" w:type="dxa"/>
            </w:tcMar>
            <w:shd w:val="clear" w:color="auto" w:fill="FFFFFF"/>
          </w:tcPr>
          <w:p>
            <w:pPr>
              <w:spacing w:before="40" w:after="40"/>
            </w:pPr>
            <w:r>
              <w:rPr>
                <w:color w:val="1E1E1E"/>
                <w:sz w:val="18"/>
              </w:rPr>
              <w:t>PASS. AST attribute call detected.</w:t>
            </w:r>
          </w:p>
        </w:tc>
      </w:tr>
      <w:tr>
        <w:trPr>
          <w:cantSplit/>
        </w:trPr>
        <w:tc>
          <w:tcPr>
            <w:tcW w:type="dxa" w:w="576"/>
            <w:tcMar>
              <w:top w:w="120" w:type="dxa"/>
              <w:left w:w="140" w:type="dxa"/>
              <w:bottom w:w="120" w:type="dxa"/>
              <w:right w:w="140" w:type="dxa"/>
            </w:tcMar>
            <w:shd w:val="clear" w:color="auto" w:fill="F4F6F9"/>
          </w:tcPr>
          <w:p>
            <w:pPr>
              <w:spacing w:before="40" w:after="40"/>
            </w:pPr>
            <w:r>
              <w:rPr>
                <w:color w:val="1E1E1E"/>
                <w:sz w:val="18"/>
              </w:rPr>
              <w:t>9</w:t>
            </w:r>
          </w:p>
        </w:tc>
        <w:tc>
          <w:tcPr>
            <w:tcW w:type="dxa" w:w="3312"/>
            <w:tcMar>
              <w:top w:w="120" w:type="dxa"/>
              <w:left w:w="140" w:type="dxa"/>
              <w:bottom w:w="120" w:type="dxa"/>
              <w:right w:w="140" w:type="dxa"/>
            </w:tcMar>
            <w:shd w:val="clear" w:color="auto" w:fill="F4F6F9"/>
          </w:tcPr>
          <w:p>
            <w:pPr>
              <w:spacing w:before="40" w:after="40"/>
            </w:pPr>
            <w:r>
              <w:rPr>
                <w:color w:val="1E1E1E"/>
                <w:sz w:val="18"/>
              </w:rPr>
              <w:t>TC-009: Composite flaw (eval + secret + bare except)</w:t>
            </w:r>
          </w:p>
        </w:tc>
        <w:tc>
          <w:tcPr>
            <w:tcW w:type="dxa" w:w="3168"/>
            <w:tcMar>
              <w:top w:w="120" w:type="dxa"/>
              <w:left w:w="140" w:type="dxa"/>
              <w:bottom w:w="120" w:type="dxa"/>
              <w:right w:w="140" w:type="dxa"/>
            </w:tcMar>
            <w:shd w:val="clear" w:color="auto" w:fill="F4F6F9"/>
          </w:tcPr>
          <w:p>
            <w:pPr>
              <w:spacing w:before="40" w:after="40"/>
            </w:pPr>
            <w:r>
              <w:rPr>
                <w:color w:val="1E1E1E"/>
                <w:sz w:val="18"/>
              </w:rPr>
              <w:t>Flag ACG-RE-001, ACG-PY-001, and ACG-PY-003</w:t>
            </w:r>
          </w:p>
        </w:tc>
        <w:tc>
          <w:tcPr>
            <w:tcW w:type="dxa" w:w="2592"/>
            <w:tcMar>
              <w:top w:w="120" w:type="dxa"/>
              <w:left w:w="140" w:type="dxa"/>
              <w:bottom w:w="120" w:type="dxa"/>
              <w:right w:w="140" w:type="dxa"/>
            </w:tcMar>
            <w:shd w:val="clear" w:color="auto" w:fill="F4F6F9"/>
          </w:tcPr>
          <w:p>
            <w:pPr>
              <w:spacing w:before="40" w:after="40"/>
            </w:pPr>
            <w:r>
              <w:rPr>
                <w:color w:val="1E1E1E"/>
                <w:sz w:val="18"/>
              </w:rPr>
              <w:t>PASS. All 3 multi-flaw rules triggered simultaneously.</w:t>
            </w:r>
          </w:p>
        </w:tc>
      </w:tr>
      <w:tr>
        <w:trPr>
          <w:cantSplit/>
        </w:trPr>
        <w:tc>
          <w:tcPr>
            <w:tcW w:type="dxa" w:w="576"/>
            <w:tcMar>
              <w:top w:w="120" w:type="dxa"/>
              <w:left w:w="140" w:type="dxa"/>
              <w:bottom w:w="120" w:type="dxa"/>
              <w:right w:w="140" w:type="dxa"/>
            </w:tcMar>
            <w:shd w:val="clear" w:color="auto" w:fill="FFFFFF"/>
          </w:tcPr>
          <w:p>
            <w:pPr>
              <w:spacing w:before="40" w:after="40"/>
            </w:pPr>
            <w:r>
              <w:rPr>
                <w:color w:val="1E1E1E"/>
                <w:sz w:val="18"/>
              </w:rPr>
              <w:t>10</w:t>
            </w:r>
          </w:p>
        </w:tc>
        <w:tc>
          <w:tcPr>
            <w:tcW w:type="dxa" w:w="3312"/>
            <w:tcMar>
              <w:top w:w="120" w:type="dxa"/>
              <w:left w:w="140" w:type="dxa"/>
              <w:bottom w:w="120" w:type="dxa"/>
              <w:right w:w="140" w:type="dxa"/>
            </w:tcMar>
            <w:shd w:val="clear" w:color="auto" w:fill="FFFFFF"/>
          </w:tcPr>
          <w:p>
            <w:pPr>
              <w:spacing w:before="40" w:after="40"/>
            </w:pPr>
            <w:r>
              <w:rPr>
                <w:color w:val="1E1E1E"/>
                <w:sz w:val="18"/>
              </w:rPr>
              <w:t>TC-010: Safe arithmetic function with type checks</w:t>
            </w:r>
          </w:p>
        </w:tc>
        <w:tc>
          <w:tcPr>
            <w:tcW w:type="dxa" w:w="3168"/>
            <w:tcMar>
              <w:top w:w="120" w:type="dxa"/>
              <w:left w:w="140" w:type="dxa"/>
              <w:bottom w:w="120" w:type="dxa"/>
              <w:right w:w="140" w:type="dxa"/>
            </w:tcMar>
            <w:shd w:val="clear" w:color="auto" w:fill="FFFFFF"/>
          </w:tcPr>
          <w:p>
            <w:pPr>
              <w:spacing w:before="40" w:after="40"/>
            </w:pPr>
            <w:r>
              <w:rPr>
                <w:color w:val="1E1E1E"/>
                <w:sz w:val="18"/>
              </w:rPr>
              <w:t>Expect 0 findings (safe control implementation)</w:t>
            </w:r>
          </w:p>
        </w:tc>
        <w:tc>
          <w:tcPr>
            <w:tcW w:type="dxa" w:w="2592"/>
            <w:tcMar>
              <w:top w:w="120" w:type="dxa"/>
              <w:left w:w="140" w:type="dxa"/>
              <w:bottom w:w="120" w:type="dxa"/>
              <w:right w:w="140" w:type="dxa"/>
            </w:tcMar>
            <w:shd w:val="clear" w:color="auto" w:fill="FFFFFF"/>
          </w:tcPr>
          <w:p>
            <w:pPr>
              <w:spacing w:before="40" w:after="40"/>
            </w:pPr>
            <w:r>
              <w:rPr>
                <w:color w:val="1E1E1E"/>
                <w:sz w:val="18"/>
              </w:rPr>
              <w:t>PASS. Zero false positives produced.</w:t>
            </w:r>
          </w:p>
        </w:tc>
      </w:tr>
      <w:tr>
        <w:trPr>
          <w:cantSplit/>
        </w:trPr>
        <w:tc>
          <w:tcPr>
            <w:tcW w:type="dxa" w:w="576"/>
            <w:tcMar>
              <w:top w:w="120" w:type="dxa"/>
              <w:left w:w="140" w:type="dxa"/>
              <w:bottom w:w="120" w:type="dxa"/>
              <w:right w:w="140" w:type="dxa"/>
            </w:tcMar>
            <w:shd w:val="clear" w:color="auto" w:fill="F4F6F9"/>
          </w:tcPr>
          <w:p>
            <w:pPr>
              <w:spacing w:before="40" w:after="40"/>
            </w:pPr>
            <w:r>
              <w:rPr>
                <w:color w:val="1E1E1E"/>
                <w:sz w:val="18"/>
              </w:rPr>
              <w:t>11</w:t>
            </w:r>
          </w:p>
        </w:tc>
        <w:tc>
          <w:tcPr>
            <w:tcW w:type="dxa" w:w="3312"/>
            <w:tcMar>
              <w:top w:w="120" w:type="dxa"/>
              <w:left w:w="140" w:type="dxa"/>
              <w:bottom w:w="120" w:type="dxa"/>
              <w:right w:w="140" w:type="dxa"/>
            </w:tcMar>
            <w:shd w:val="clear" w:color="auto" w:fill="F4F6F9"/>
          </w:tcPr>
          <w:p>
            <w:pPr>
              <w:spacing w:before="40" w:after="40"/>
            </w:pPr>
            <w:r>
              <w:rPr>
                <w:color w:val="1E1E1E"/>
                <w:sz w:val="18"/>
              </w:rPr>
              <w:t>TC-011: Safe subprocess execution with shell=False</w:t>
            </w:r>
          </w:p>
        </w:tc>
        <w:tc>
          <w:tcPr>
            <w:tcW w:type="dxa" w:w="3168"/>
            <w:tcMar>
              <w:top w:w="120" w:type="dxa"/>
              <w:left w:w="140" w:type="dxa"/>
              <w:bottom w:w="120" w:type="dxa"/>
              <w:right w:w="140" w:type="dxa"/>
            </w:tcMar>
            <w:shd w:val="clear" w:color="auto" w:fill="F4F6F9"/>
          </w:tcPr>
          <w:p>
            <w:pPr>
              <w:spacing w:before="40" w:after="40"/>
            </w:pPr>
            <w:r>
              <w:rPr>
                <w:color w:val="1E1E1E"/>
                <w:sz w:val="18"/>
              </w:rPr>
              <w:t>Expect 0 findings (safe control implementation)</w:t>
            </w:r>
          </w:p>
        </w:tc>
        <w:tc>
          <w:tcPr>
            <w:tcW w:type="dxa" w:w="2592"/>
            <w:tcMar>
              <w:top w:w="120" w:type="dxa"/>
              <w:left w:w="140" w:type="dxa"/>
              <w:bottom w:w="120" w:type="dxa"/>
              <w:right w:w="140" w:type="dxa"/>
            </w:tcMar>
            <w:shd w:val="clear" w:color="auto" w:fill="F4F6F9"/>
          </w:tcPr>
          <w:p>
            <w:pPr>
              <w:spacing w:before="40" w:after="40"/>
            </w:pPr>
            <w:r>
              <w:rPr>
                <w:color w:val="1E1E1E"/>
                <w:sz w:val="18"/>
              </w:rPr>
              <w:t>PASS. Zero false positives produced.</w:t>
            </w:r>
          </w:p>
        </w:tc>
      </w:tr>
      <w:tr>
        <w:trPr>
          <w:cantSplit/>
        </w:trPr>
        <w:tc>
          <w:tcPr>
            <w:tcW w:type="dxa" w:w="576"/>
            <w:tcMar>
              <w:top w:w="120" w:type="dxa"/>
              <w:left w:w="140" w:type="dxa"/>
              <w:bottom w:w="120" w:type="dxa"/>
              <w:right w:w="140" w:type="dxa"/>
            </w:tcMar>
            <w:shd w:val="clear" w:color="auto" w:fill="FFFFFF"/>
          </w:tcPr>
          <w:p>
            <w:pPr>
              <w:spacing w:before="40" w:after="40"/>
            </w:pPr>
            <w:r>
              <w:rPr>
                <w:color w:val="1E1E1E"/>
                <w:sz w:val="18"/>
              </w:rPr>
              <w:t>12</w:t>
            </w:r>
          </w:p>
        </w:tc>
        <w:tc>
          <w:tcPr>
            <w:tcW w:type="dxa" w:w="3312"/>
            <w:tcMar>
              <w:top w:w="120" w:type="dxa"/>
              <w:left w:w="140" w:type="dxa"/>
              <w:bottom w:w="120" w:type="dxa"/>
              <w:right w:w="140" w:type="dxa"/>
            </w:tcMar>
            <w:shd w:val="clear" w:color="auto" w:fill="FFFFFF"/>
          </w:tcPr>
          <w:p>
            <w:pPr>
              <w:spacing w:before="40" w:after="40"/>
            </w:pPr>
            <w:r>
              <w:rPr>
                <w:color w:val="1E1E1E"/>
                <w:sz w:val="18"/>
              </w:rPr>
              <w:t>TC-012: Incomplete implementation with # TODO tag</w:t>
            </w:r>
          </w:p>
        </w:tc>
        <w:tc>
          <w:tcPr>
            <w:tcW w:type="dxa" w:w="3168"/>
            <w:tcMar>
              <w:top w:w="120" w:type="dxa"/>
              <w:left w:w="140" w:type="dxa"/>
              <w:bottom w:w="120" w:type="dxa"/>
              <w:right w:w="140" w:type="dxa"/>
            </w:tcMar>
            <w:shd w:val="clear" w:color="auto" w:fill="FFFFFF"/>
          </w:tcPr>
          <w:p>
            <w:pPr>
              <w:spacing w:before="40" w:after="40"/>
            </w:pPr>
            <w:r>
              <w:rPr>
                <w:color w:val="1E1E1E"/>
                <w:sz w:val="18"/>
              </w:rPr>
              <w:t>Flag ACG-RE-004 (TODO/FIXME placeholder in code)</w:t>
            </w:r>
          </w:p>
        </w:tc>
        <w:tc>
          <w:tcPr>
            <w:tcW w:type="dxa" w:w="2592"/>
            <w:tcMar>
              <w:top w:w="120" w:type="dxa"/>
              <w:left w:w="140" w:type="dxa"/>
              <w:bottom w:w="120" w:type="dxa"/>
              <w:right w:w="140" w:type="dxa"/>
            </w:tcMar>
            <w:shd w:val="clear" w:color="auto" w:fill="FFFFFF"/>
          </w:tcPr>
          <w:p>
            <w:pPr>
              <w:spacing w:before="40" w:after="40"/>
            </w:pPr>
            <w:r>
              <w:rPr>
                <w:color w:val="1E1E1E"/>
                <w:sz w:val="18"/>
              </w:rPr>
              <w:t>PASS. Regex detected unfinished security routine.</w:t>
            </w:r>
          </w:p>
        </w:tc>
      </w:tr>
    </w:tbl>
    <w:p>
      <w:pPr>
        <w:keepNext/>
        <w:spacing w:before="120" w:after="40"/>
      </w:pPr>
      <w:r>
        <w:rPr>
          <w:b/>
          <w:color w:val="323232"/>
          <w:sz w:val="20"/>
        </w:rPr>
        <w:t>Performance Metrics Summary</w:t>
      </w:r>
    </w:p>
    <w:tbl>
      <w:tblPr>
        <w:tblW w:type="auto" w:w="0"/>
        <w:jc w:val="center"/>
        <w:tblLook w:firstColumn="1" w:firstRow="1" w:lastColumn="0" w:lastRow="0" w:noHBand="0" w:noVBand="1" w:val="04A0"/>
      </w:tblPr>
      <w:tblGrid>
        <w:gridCol w:w="5040"/>
        <w:gridCol w:w="5040"/>
      </w:tblGrid>
      <w:tr>
        <w:trPr>
          <w:cantSplit/>
        </w:trPr>
        <w:tc>
          <w:tcPr>
            <w:tcW w:type="dxa" w:w="4608"/>
            <w:tcMar>
              <w:top w:w="120" w:type="dxa"/>
              <w:left w:w="140" w:type="dxa"/>
              <w:bottom w:w="120" w:type="dxa"/>
              <w:right w:w="140" w:type="dxa"/>
            </w:tcMar>
            <w:shd w:val="clear" w:color="auto" w:fill="1B365D"/>
          </w:tcPr>
          <w:p>
            <w:pPr>
              <w:spacing w:before="40" w:after="40"/>
            </w:pPr>
            <w:r>
              <w:rPr>
                <w:b/>
                <w:color w:val="FFFFFF"/>
                <w:sz w:val="19"/>
              </w:rPr>
              <w:t>Metric</w:t>
            </w:r>
          </w:p>
        </w:tc>
        <w:tc>
          <w:tcPr>
            <w:tcW w:type="dxa" w:w="5040"/>
            <w:tcMar>
              <w:top w:w="120" w:type="dxa"/>
              <w:left w:w="140" w:type="dxa"/>
              <w:bottom w:w="120" w:type="dxa"/>
              <w:right w:w="140" w:type="dxa"/>
            </w:tcMar>
            <w:shd w:val="clear" w:color="auto" w:fill="1B365D"/>
          </w:tcPr>
          <w:p>
            <w:pPr>
              <w:spacing w:before="40" w:after="40"/>
            </w:pPr>
            <w:r>
              <w:rPr>
                <w:b/>
                <w:color w:val="FFFFFF"/>
                <w:sz w:val="19"/>
              </w:rPr>
              <w:t>Score / observation</w:t>
            </w:r>
          </w:p>
        </w:tc>
      </w:tr>
      <w:tr>
        <w:trPr>
          <w:cantSplit/>
        </w:trPr>
        <w:tc>
          <w:tcPr>
            <w:tcW w:type="dxa" w:w="4608"/>
            <w:tcMar>
              <w:top w:w="120" w:type="dxa"/>
              <w:left w:w="140" w:type="dxa"/>
              <w:bottom w:w="120" w:type="dxa"/>
              <w:right w:w="140" w:type="dxa"/>
            </w:tcMar>
            <w:shd w:val="clear" w:color="auto" w:fill="F4F6F9"/>
          </w:tcPr>
          <w:p>
            <w:pPr>
              <w:spacing w:before="40" w:after="40"/>
            </w:pPr>
            <w:r>
              <w:rPr>
                <w:color w:val="1E1E1E"/>
                <w:sz w:val="18"/>
              </w:rPr>
              <w:t>Static Analysis Precision</w:t>
            </w:r>
          </w:p>
        </w:tc>
        <w:tc>
          <w:tcPr>
            <w:tcW w:type="dxa" w:w="5040"/>
            <w:tcMar>
              <w:top w:w="120" w:type="dxa"/>
              <w:left w:w="140" w:type="dxa"/>
              <w:bottom w:w="120" w:type="dxa"/>
              <w:right w:w="140" w:type="dxa"/>
            </w:tcMar>
            <w:shd w:val="clear" w:color="auto" w:fill="F4F6F9"/>
          </w:tcPr>
          <w:p>
            <w:pPr>
              <w:spacing w:before="40" w:after="40"/>
            </w:pPr>
            <w:r>
              <w:rPr>
                <w:color w:val="1E1E1E"/>
                <w:sz w:val="18"/>
              </w:rPr>
              <w:t>1.0000 (15 TP / 15 Total Positive Detections, 0 FP)</w:t>
            </w:r>
          </w:p>
        </w:tc>
      </w:tr>
      <w:tr>
        <w:trPr>
          <w:cantSplit/>
        </w:trPr>
        <w:tc>
          <w:tcPr>
            <w:tcW w:type="dxa" w:w="4608"/>
            <w:tcMar>
              <w:top w:w="120" w:type="dxa"/>
              <w:left w:w="140" w:type="dxa"/>
              <w:bottom w:w="120" w:type="dxa"/>
              <w:right w:w="140" w:type="dxa"/>
            </w:tcMar>
            <w:shd w:val="clear" w:color="auto" w:fill="FFFFFF"/>
          </w:tcPr>
          <w:p>
            <w:pPr>
              <w:spacing w:before="40" w:after="40"/>
            </w:pPr>
            <w:r>
              <w:rPr>
                <w:color w:val="1E1E1E"/>
                <w:sz w:val="18"/>
              </w:rPr>
              <w:t>Static Analysis Recall</w:t>
            </w:r>
          </w:p>
        </w:tc>
        <w:tc>
          <w:tcPr>
            <w:tcW w:type="dxa" w:w="5040"/>
            <w:tcMar>
              <w:top w:w="120" w:type="dxa"/>
              <w:left w:w="140" w:type="dxa"/>
              <w:bottom w:w="120" w:type="dxa"/>
              <w:right w:w="140" w:type="dxa"/>
            </w:tcMar>
            <w:shd w:val="clear" w:color="auto" w:fill="FFFFFF"/>
          </w:tcPr>
          <w:p>
            <w:pPr>
              <w:spacing w:before="40" w:after="40"/>
            </w:pPr>
            <w:r>
              <w:rPr>
                <w:color w:val="1E1E1E"/>
                <w:sz w:val="18"/>
              </w:rPr>
              <w:t>1.0000 (15 TP / 15 Ground Truth Targets, 0 FN)</w:t>
            </w:r>
          </w:p>
        </w:tc>
      </w:tr>
      <w:tr>
        <w:trPr>
          <w:cantSplit/>
        </w:trPr>
        <w:tc>
          <w:tcPr>
            <w:tcW w:type="dxa" w:w="4608"/>
            <w:tcMar>
              <w:top w:w="120" w:type="dxa"/>
              <w:left w:w="140" w:type="dxa"/>
              <w:bottom w:w="120" w:type="dxa"/>
              <w:right w:w="140" w:type="dxa"/>
            </w:tcMar>
            <w:shd w:val="clear" w:color="auto" w:fill="F4F6F9"/>
          </w:tcPr>
          <w:p>
            <w:pPr>
              <w:spacing w:before="40" w:after="40"/>
            </w:pPr>
            <w:r>
              <w:rPr>
                <w:color w:val="1E1E1E"/>
                <w:sz w:val="18"/>
              </w:rPr>
              <w:t>Static Analysis F1 Score</w:t>
            </w:r>
          </w:p>
        </w:tc>
        <w:tc>
          <w:tcPr>
            <w:tcW w:type="dxa" w:w="5040"/>
            <w:tcMar>
              <w:top w:w="120" w:type="dxa"/>
              <w:left w:w="140" w:type="dxa"/>
              <w:bottom w:w="120" w:type="dxa"/>
              <w:right w:w="140" w:type="dxa"/>
            </w:tcMar>
            <w:shd w:val="clear" w:color="auto" w:fill="F4F6F9"/>
          </w:tcPr>
          <w:p>
            <w:pPr>
              <w:spacing w:before="40" w:after="40"/>
            </w:pPr>
            <w:r>
              <w:rPr>
                <w:color w:val="1E1E1E"/>
                <w:sz w:val="18"/>
              </w:rPr>
              <w:t>1.0000 (Harmonic mean of Precision and Recall)</w:t>
            </w:r>
          </w:p>
        </w:tc>
      </w:tr>
      <w:tr>
        <w:trPr>
          <w:cantSplit/>
        </w:trPr>
        <w:tc>
          <w:tcPr>
            <w:tcW w:type="dxa" w:w="4608"/>
            <w:tcMar>
              <w:top w:w="120" w:type="dxa"/>
              <w:left w:w="140" w:type="dxa"/>
              <w:bottom w:w="120" w:type="dxa"/>
              <w:right w:w="140" w:type="dxa"/>
            </w:tcMar>
            <w:shd w:val="clear" w:color="auto" w:fill="FFFFFF"/>
          </w:tcPr>
          <w:p>
            <w:pPr>
              <w:spacing w:before="40" w:after="40"/>
            </w:pPr>
            <w:r>
              <w:rPr>
                <w:color w:val="1E1E1E"/>
                <w:sz w:val="18"/>
              </w:rPr>
              <w:t>Gemini AI Review Schema Validity</w:t>
            </w:r>
          </w:p>
        </w:tc>
        <w:tc>
          <w:tcPr>
            <w:tcW w:type="dxa" w:w="5040"/>
            <w:tcMar>
              <w:top w:w="120" w:type="dxa"/>
              <w:left w:w="140" w:type="dxa"/>
              <w:bottom w:w="120" w:type="dxa"/>
              <w:right w:w="140" w:type="dxa"/>
            </w:tcMar>
            <w:shd w:val="clear" w:color="auto" w:fill="FFFFFF"/>
          </w:tcPr>
          <w:p>
            <w:pPr>
              <w:spacing w:before="40" w:after="40"/>
            </w:pPr>
            <w:r>
              <w:rPr>
                <w:color w:val="1E1E1E"/>
                <w:sz w:val="18"/>
              </w:rPr>
              <w:t>100% (Strict structured JSON parsed successfully without schema drops)</w:t>
            </w:r>
          </w:p>
        </w:tc>
      </w:tr>
      <w:tr>
        <w:trPr>
          <w:cantSplit/>
        </w:trPr>
        <w:tc>
          <w:tcPr>
            <w:tcW w:type="dxa" w:w="4608"/>
            <w:tcMar>
              <w:top w:w="120" w:type="dxa"/>
              <w:left w:w="140" w:type="dxa"/>
              <w:bottom w:w="120" w:type="dxa"/>
              <w:right w:w="140" w:type="dxa"/>
            </w:tcMar>
            <w:shd w:val="clear" w:color="auto" w:fill="F4F6F9"/>
          </w:tcPr>
          <w:p>
            <w:pPr>
              <w:spacing w:before="40" w:after="40"/>
            </w:pPr>
            <w:r>
              <w:rPr>
                <w:color w:val="1E1E1E"/>
                <w:sz w:val="18"/>
              </w:rPr>
              <w:t>End-to-End Execution Latency</w:t>
            </w:r>
          </w:p>
        </w:tc>
        <w:tc>
          <w:tcPr>
            <w:tcW w:type="dxa" w:w="5040"/>
            <w:tcMar>
              <w:top w:w="120" w:type="dxa"/>
              <w:left w:w="140" w:type="dxa"/>
              <w:bottom w:w="120" w:type="dxa"/>
              <w:right w:w="140" w:type="dxa"/>
            </w:tcMar>
            <w:shd w:val="clear" w:color="auto" w:fill="F4F6F9"/>
          </w:tcPr>
          <w:p>
            <w:pPr>
              <w:spacing w:before="40" w:after="40"/>
            </w:pPr>
            <w:r>
              <w:rPr>
                <w:color w:val="1E1E1E"/>
                <w:sz w:val="18"/>
              </w:rPr>
              <w:t>Static scan &lt; 0.05s; TF-IDF retrieval &lt; 0.01s; Gemini API review ~1.5–2.5s</w:t>
            </w:r>
          </w:p>
        </w:tc>
      </w:tr>
    </w:tbl>
    <w:p>
      <w:pPr>
        <w:keepNext/>
        <w:spacing w:before="240" w:after="80"/>
      </w:pPr>
      <w:r>
        <w:rPr>
          <w:b/>
          <w:color w:val="1B365D"/>
          <w:sz w:val="22"/>
        </w:rPr>
        <w:t>6. Responsible AI Measures</w:t>
      </w:r>
    </w:p>
    <w:tbl>
      <w:tblPr>
        <w:tblW w:type="auto" w:w="0"/>
        <w:jc w:val="center"/>
        <w:tblLook w:firstColumn="1" w:firstRow="1" w:lastColumn="0" w:lastRow="0" w:noHBand="0" w:noVBand="1" w:val="04A0"/>
      </w:tblPr>
      <w:tblGrid>
        <w:gridCol w:w="5040"/>
        <w:gridCol w:w="5040"/>
      </w:tblGrid>
      <w:tr>
        <w:trPr>
          <w:cantSplit/>
        </w:trPr>
        <w:tc>
          <w:tcPr>
            <w:tcW w:type="dxa" w:w="2880"/>
            <w:tcMar>
              <w:top w:w="120" w:type="dxa"/>
              <w:left w:w="140" w:type="dxa"/>
              <w:bottom w:w="120" w:type="dxa"/>
              <w:right w:w="140" w:type="dxa"/>
            </w:tcMar>
            <w:shd w:val="clear" w:color="auto" w:fill="1B365D"/>
          </w:tcPr>
          <w:p>
            <w:pPr>
              <w:spacing w:before="40" w:after="40"/>
            </w:pPr>
            <w:r>
              <w:rPr>
                <w:b/>
                <w:color w:val="FFFFFF"/>
                <w:sz w:val="19"/>
              </w:rPr>
              <w:t>Area</w:t>
            </w:r>
          </w:p>
        </w:tc>
        <w:tc>
          <w:tcPr>
            <w:tcW w:type="dxa" w:w="6768"/>
            <w:tcMar>
              <w:top w:w="120" w:type="dxa"/>
              <w:left w:w="140" w:type="dxa"/>
              <w:bottom w:w="120" w:type="dxa"/>
              <w:right w:w="140" w:type="dxa"/>
            </w:tcMar>
            <w:shd w:val="clear" w:color="auto" w:fill="1B365D"/>
          </w:tcPr>
          <w:p>
            <w:pPr>
              <w:spacing w:before="40" w:after="40"/>
            </w:pPr>
            <w:r>
              <w:rPr>
                <w:b/>
                <w:color w:val="FFFFFF"/>
                <w:sz w:val="19"/>
              </w:rPr>
              <w:t>Measure adopted in this project</w:t>
            </w:r>
          </w:p>
        </w:tc>
      </w:tr>
      <w:tr>
        <w:trPr>
          <w:cantSplit/>
        </w:trPr>
        <w:tc>
          <w:tcPr>
            <w:tcW w:type="dxa" w:w="2880"/>
            <w:tcMar>
              <w:top w:w="120" w:type="dxa"/>
              <w:left w:w="140" w:type="dxa"/>
              <w:bottom w:w="120" w:type="dxa"/>
              <w:right w:w="140" w:type="dxa"/>
            </w:tcMar>
            <w:shd w:val="clear" w:color="auto" w:fill="F4F6F9"/>
          </w:tcPr>
          <w:p>
            <w:pPr>
              <w:spacing w:before="40" w:after="40"/>
            </w:pPr>
            <w:r>
              <w:rPr>
                <w:color w:val="1E1E1E"/>
                <w:sz w:val="18"/>
              </w:rPr>
              <w:t>Grounding and citations</w:t>
            </w:r>
          </w:p>
        </w:tc>
        <w:tc>
          <w:tcPr>
            <w:tcW w:type="dxa" w:w="6768"/>
            <w:tcMar>
              <w:top w:w="120" w:type="dxa"/>
              <w:left w:w="140" w:type="dxa"/>
              <w:bottom w:w="120" w:type="dxa"/>
              <w:right w:w="140" w:type="dxa"/>
            </w:tcMar>
            <w:shd w:val="clear" w:color="auto" w:fill="F4F6F9"/>
          </w:tcPr>
          <w:p>
            <w:pPr>
              <w:spacing w:before="40" w:after="40"/>
            </w:pPr>
            <w:r>
              <w:rPr>
                <w:color w:val="1E1E1E"/>
                <w:sz w:val="18"/>
              </w:rPr>
              <w:t>Every static finding is grounded in extracted source lines and line numbers. Every Gemini advisory finding is mapped to relevant standards in the local guideline knowledge base with explicit reference tags (e.g., MISRA C:2012 Rule 9.1 reference, ISO 26262 Part 6).</w:t>
            </w:r>
          </w:p>
        </w:tc>
      </w:tr>
      <w:tr>
        <w:trPr>
          <w:cantSplit/>
        </w:trPr>
        <w:tc>
          <w:tcPr>
            <w:tcW w:type="dxa" w:w="2880"/>
            <w:tcMar>
              <w:top w:w="120" w:type="dxa"/>
              <w:left w:w="140" w:type="dxa"/>
              <w:bottom w:w="120" w:type="dxa"/>
              <w:right w:w="140" w:type="dxa"/>
            </w:tcMar>
            <w:shd w:val="clear" w:color="auto" w:fill="FFFFFF"/>
          </w:tcPr>
          <w:p>
            <w:pPr>
              <w:spacing w:before="40" w:after="40"/>
            </w:pPr>
            <w:r>
              <w:rPr>
                <w:color w:val="1E1E1E"/>
                <w:sz w:val="18"/>
              </w:rPr>
              <w:t>Privacy</w:t>
            </w:r>
          </w:p>
        </w:tc>
        <w:tc>
          <w:tcPr>
            <w:tcW w:type="dxa" w:w="6768"/>
            <w:tcMar>
              <w:top w:w="120" w:type="dxa"/>
              <w:left w:w="140" w:type="dxa"/>
              <w:bottom w:w="120" w:type="dxa"/>
              <w:right w:w="140" w:type="dxa"/>
            </w:tcMar>
            <w:shd w:val="clear" w:color="auto" w:fill="FFFFFF"/>
          </w:tcPr>
          <w:p>
            <w:pPr>
              <w:spacing w:before="40" w:after="40"/>
            </w:pPr>
            <w:r>
              <w:rPr>
                <w:color w:val="1E1E1E"/>
                <w:sz w:val="18"/>
              </w:rPr>
              <w:t>User code is transmitted to external Gemini endpoints only after explicit user consent via an onscreen privacy banner. API keys are loaded via .env, excluded from Git and submissions, and never printed or logged. Code is processed in memory without persistent cloud storage.</w:t>
            </w:r>
          </w:p>
        </w:tc>
      </w:tr>
      <w:tr>
        <w:trPr>
          <w:cantSplit/>
        </w:trPr>
        <w:tc>
          <w:tcPr>
            <w:tcW w:type="dxa" w:w="2880"/>
            <w:tcMar>
              <w:top w:w="120" w:type="dxa"/>
              <w:left w:w="140" w:type="dxa"/>
              <w:bottom w:w="120" w:type="dxa"/>
              <w:right w:w="140" w:type="dxa"/>
            </w:tcMar>
            <w:shd w:val="clear" w:color="auto" w:fill="F4F6F9"/>
          </w:tcPr>
          <w:p>
            <w:pPr>
              <w:spacing w:before="40" w:after="40"/>
            </w:pPr>
            <w:r>
              <w:rPr>
                <w:color w:val="1E1E1E"/>
                <w:sz w:val="18"/>
              </w:rPr>
              <w:t>Security</w:t>
            </w:r>
          </w:p>
        </w:tc>
        <w:tc>
          <w:tcPr>
            <w:tcW w:type="dxa" w:w="6768"/>
            <w:tcMar>
              <w:top w:w="120" w:type="dxa"/>
              <w:left w:w="140" w:type="dxa"/>
              <w:bottom w:w="120" w:type="dxa"/>
              <w:right w:w="140" w:type="dxa"/>
            </w:tcMar>
            <w:shd w:val="clear" w:color="auto" w:fill="F4F6F9"/>
          </w:tcPr>
          <w:p>
            <w:pPr>
              <w:spacing w:before="40" w:after="40"/>
            </w:pPr>
            <w:r>
              <w:rPr>
                <w:color w:val="1E1E1E"/>
                <w:sz w:val="18"/>
              </w:rPr>
              <w:t>User code is never compiled, executed, or passed to local shell interpreters. The Gemini API operates in read-only mode with zero filesystem modification privileges. Error handling intercepts 401, 429, and 503 HTTP codes cleanly.</w:t>
            </w:r>
          </w:p>
        </w:tc>
      </w:tr>
      <w:tr>
        <w:trPr>
          <w:cantSplit/>
        </w:trPr>
        <w:tc>
          <w:tcPr>
            <w:tcW w:type="dxa" w:w="2880"/>
            <w:tcMar>
              <w:top w:w="120" w:type="dxa"/>
              <w:left w:w="140" w:type="dxa"/>
              <w:bottom w:w="120" w:type="dxa"/>
              <w:right w:w="140" w:type="dxa"/>
            </w:tcMar>
            <w:shd w:val="clear" w:color="auto" w:fill="FFFFFF"/>
          </w:tcPr>
          <w:p>
            <w:pPr>
              <w:spacing w:before="40" w:after="40"/>
            </w:pPr>
            <w:r>
              <w:rPr>
                <w:color w:val="1E1E1E"/>
                <w:sz w:val="18"/>
              </w:rPr>
              <w:t>Human oversight / review</w:t>
            </w:r>
          </w:p>
        </w:tc>
        <w:tc>
          <w:tcPr>
            <w:tcW w:type="dxa" w:w="6768"/>
            <w:tcMar>
              <w:top w:w="120" w:type="dxa"/>
              <w:left w:w="140" w:type="dxa"/>
              <w:bottom w:w="120" w:type="dxa"/>
              <w:right w:w="140" w:type="dxa"/>
            </w:tcMar>
            <w:shd w:val="clear" w:color="auto" w:fill="FFFFFF"/>
          </w:tcPr>
          <w:p>
            <w:pPr>
              <w:spacing w:before="40" w:after="40"/>
            </w:pPr>
            <w:r>
              <w:rPr>
                <w:color w:val="1E1E1E"/>
                <w:sz w:val="18"/>
              </w:rPr>
              <w:t>All findings are explicitly labeled as 'potential issues' rather than verified vulnerabilities. The UI mandates human engineering triage before applying any suggested remediation in production automotive software.</w:t>
            </w:r>
          </w:p>
        </w:tc>
      </w:tr>
    </w:tbl>
    <w:p>
      <w:pPr>
        <w:keepNext/>
        <w:spacing w:before="240" w:after="80"/>
      </w:pPr>
      <w:r>
        <w:rPr>
          <w:b/>
          <w:color w:val="1B365D"/>
          <w:sz w:val="22"/>
        </w:rPr>
        <w:t>7. Innovation Highlights</w:t>
      </w:r>
    </w:p>
    <w:p>
      <w:pPr>
        <w:pStyle w:val="ListBullet"/>
        <w:spacing w:before="0" w:after="60" w:line="276" w:lineRule="auto"/>
      </w:pPr>
      <w:r>
        <w:rPr>
          <w:b/>
          <w:sz w:val="19"/>
        </w:rPr>
        <w:t xml:space="preserve">Dual-Engine Hybrid Triage: </w:t>
      </w:r>
      <w:r>
        <w:rPr>
          <w:sz w:val="19"/>
        </w:rPr>
        <w:t>Combines deterministic AST/regex rule reliability (zero hallucination, exact line tracking) with generative LLM reasoning (contextual remediation, architectural impact).</w:t>
      </w:r>
    </w:p>
    <w:p>
      <w:pPr>
        <w:pStyle w:val="ListBullet"/>
        <w:spacing w:before="0" w:after="60" w:line="276" w:lineRule="auto"/>
      </w:pPr>
      <w:r>
        <w:rPr>
          <w:b/>
          <w:sz w:val="19"/>
        </w:rPr>
        <w:t xml:space="preserve">Zero-Database Portability: </w:t>
      </w:r>
      <w:r>
        <w:rPr>
          <w:sz w:val="19"/>
        </w:rPr>
        <w:t>Replaces complex, GPU-hungry vector database deployments with an in-memory TF-IDF cosine-similarity engine over an automotive guidelines knowledge base, enabling immediate execution on standard hardware.</w:t>
      </w:r>
    </w:p>
    <w:p>
      <w:pPr>
        <w:pStyle w:val="ListBullet"/>
        <w:spacing w:before="0" w:after="60" w:line="276" w:lineRule="auto"/>
      </w:pPr>
      <w:r>
        <w:rPr>
          <w:b/>
          <w:sz w:val="19"/>
        </w:rPr>
        <w:t xml:space="preserve">Resilient Multi-Model Cascade: </w:t>
      </w:r>
      <w:r>
        <w:rPr>
          <w:sz w:val="19"/>
        </w:rPr>
        <w:t>Features automatic fallback across high-availability Lite models (gemini-flash-lite-latest, gemini-3.5-flash-lite, gemini-3.1-flash-lite) to bypass cloud concurrency spikes without application downtime.</w:t>
      </w:r>
    </w:p>
    <w:p>
      <w:pPr>
        <w:pStyle w:val="ListBullet"/>
        <w:spacing w:before="0" w:after="60" w:line="276" w:lineRule="auto"/>
      </w:pPr>
      <w:r>
        <w:rPr>
          <w:b/>
          <w:sz w:val="19"/>
        </w:rPr>
        <w:t xml:space="preserve">Complete Automotive Standards Alignment: </w:t>
      </w:r>
      <w:r>
        <w:rPr>
          <w:sz w:val="19"/>
        </w:rPr>
        <w:t>Integrates practical references to MISRA C:2012, ISO 26262 functional safety, ISO/SAE 21434 vehicle cybersecurity, and OWASP Top 10.</w:t>
      </w:r>
    </w:p>
    <w:p>
      <w:pPr>
        <w:keepNext/>
        <w:spacing w:before="240" w:after="80"/>
      </w:pPr>
      <w:r>
        <w:rPr>
          <w:b/>
          <w:color w:val="1B365D"/>
          <w:sz w:val="22"/>
        </w:rPr>
        <w:t>8. Screenshots, Logs and Evidence</w:t>
      </w:r>
    </w:p>
    <w:p>
      <w:r>
        <w:drawing>
          <wp:inline xmlns:a="http://schemas.openxmlformats.org/drawingml/2006/main" xmlns:pic="http://schemas.openxmlformats.org/drawingml/2006/picture">
            <wp:extent cx="5669280" cy="3023616"/>
            <wp:docPr id="3" name="Picture 3"/>
            <wp:cNvGraphicFramePr>
              <a:graphicFrameLocks noChangeAspect="1"/>
            </wp:cNvGraphicFramePr>
            <a:graphic>
              <a:graphicData uri="http://schemas.openxmlformats.org/drawingml/2006/picture">
                <pic:pic>
                  <pic:nvPicPr>
                    <pic:cNvPr id="0" name="screenshot_dashboard.png"/>
                    <pic:cNvPicPr/>
                  </pic:nvPicPr>
                  <pic:blipFill>
                    <a:blip r:embed="rId11"/>
                    <a:stretch>
                      <a:fillRect/>
                    </a:stretch>
                  </pic:blipFill>
                  <pic:spPr>
                    <a:xfrm>
                      <a:off x="0" y="0"/>
                      <a:ext cx="5669280" cy="3023616"/>
                    </a:xfrm>
                    <a:prstGeom prst="rect"/>
                  </pic:spPr>
                </pic:pic>
              </a:graphicData>
            </a:graphic>
          </wp:inline>
        </w:drawing>
      </w:r>
    </w:p>
    <w:p>
      <w:pPr>
        <w:jc w:val="center"/>
      </w:pPr>
      <w:r>
        <w:rPr>
          <w:i/>
          <w:sz w:val="17"/>
        </w:rPr>
        <w:t>Figure 3: AutoCodeGuard Review Dashboard Displaying Real Findings and Guideline Citations</w:t>
      </w:r>
    </w:p>
    <w:p>
      <w:pPr>
        <w:keepNext/>
        <w:spacing w:before="120" w:after="40"/>
      </w:pPr>
      <w:r>
        <w:rPr>
          <w:b/>
          <w:color w:val="323232"/>
          <w:sz w:val="20"/>
        </w:rPr>
        <w:t>Verified Execution Log (Sample Live Review of eval(user_input)):</w:t>
      </w:r>
    </w:p>
    <w:p>
      <w:pPr>
        <w:spacing w:line="264" w:lineRule="auto" w:after="120"/>
      </w:pPr>
      <w:r>
        <w:rPr>
          <w:rFonts w:ascii="Courier New" w:hAnsi="Courier New"/>
          <w:sz w:val="17"/>
        </w:rPr>
        <w:t>Model used: gemini-flash-lite-latest (HTTP 200 OK)</w:t>
        <w:br/>
        <w:t>Overall risk: HIGH</w:t>
        <w:br/>
        <w:t>Static findings count: 1 ([ACG-PY-001] eval() dynamic code execution at line 3)</w:t>
        <w:br/>
        <w:t>Gemini findings count: 1 ('Arbitrary Code Execution via eval()')</w:t>
        <w:br/>
        <w:t>Guideline matched: GEN-004 'Avoid use of eval() and exec()' (Cosine score: 0.38)</w:t>
        <w:br/>
        <w:t>Full triage report exported to: Evaluation_Results/sample_review_report.json</w:t>
      </w:r>
    </w:p>
    <w:p>
      <w:pPr>
        <w:keepNext/>
        <w:spacing w:before="240" w:after="80"/>
      </w:pPr>
      <w:r>
        <w:rPr>
          <w:b/>
          <w:color w:val="1B365D"/>
          <w:sz w:val="22"/>
        </w:rPr>
        <w:t>9. Reflection and Conclusions</w:t>
      </w:r>
    </w:p>
    <w:p>
      <w:pPr>
        <w:spacing w:before="0" w:after="80" w:line="276" w:lineRule="auto"/>
      </w:pPr>
      <w:r>
        <w:rPr>
          <w:color w:val="1E1E1E"/>
          <w:sz w:val="19"/>
        </w:rPr>
        <w:t>Developing AutoCodeGuard demonstrated the immense practical value of hybrid static-generative architectures for automotive software verification. Deterministic AST parsing guarantees that critical syntax violations are caught with 100% precision and exact line localization, while the Gemini LLM provides the nuanced contextual explanations that junior developers need to understand why a pattern is unsafe.</w:t>
      </w:r>
    </w:p>
    <w:p>
      <w:pPr>
        <w:spacing w:before="0" w:after="80" w:line="276" w:lineRule="auto"/>
      </w:pPr>
      <w:r>
        <w:rPr>
          <w:color w:val="1E1E1E"/>
          <w:sz w:val="19"/>
        </w:rPr>
        <w:t>Key engineering lessons included designing robust fallback mechanisms to handle public API capacity spikes (503s), crafting strict JSON schemas to prevent LLM hallucinations, and maintaining an honest boundary between prototype capabilities and production ASIL-D certification requirements. In conclusion, AutoCodeGuard succeeds as an accessible, explainable, and reproducible first-pass security triage assistant for automotive software developers.</w:t>
      </w:r>
    </w:p>
    <w:p>
      <w:pPr>
        <w:keepNext/>
        <w:spacing w:before="240" w:after="80"/>
      </w:pPr>
      <w:r>
        <w:rPr>
          <w:b/>
          <w:color w:val="1B365D"/>
          <w:sz w:val="22"/>
        </w:rPr>
        <w:t>10. AI-Tool Usage Declaration</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92"/>
            <w:tcMar>
              <w:top w:w="120" w:type="dxa"/>
              <w:left w:w="140" w:type="dxa"/>
              <w:bottom w:w="120" w:type="dxa"/>
              <w:right w:w="140" w:type="dxa"/>
            </w:tcMar>
            <w:shd w:val="clear" w:color="auto" w:fill="1B365D"/>
          </w:tcPr>
          <w:p>
            <w:pPr>
              <w:spacing w:before="40" w:after="40"/>
            </w:pPr>
            <w:r>
              <w:rPr>
                <w:b/>
                <w:color w:val="FFFFFF"/>
                <w:sz w:val="19"/>
              </w:rPr>
              <w:t>AI tool / model</w:t>
            </w:r>
          </w:p>
        </w:tc>
        <w:tc>
          <w:tcPr>
            <w:tcW w:type="dxa" w:w="3312"/>
            <w:tcMar>
              <w:top w:w="120" w:type="dxa"/>
              <w:left w:w="140" w:type="dxa"/>
              <w:bottom w:w="120" w:type="dxa"/>
              <w:right w:w="140" w:type="dxa"/>
            </w:tcMar>
            <w:shd w:val="clear" w:color="auto" w:fill="1B365D"/>
          </w:tcPr>
          <w:p>
            <w:pPr>
              <w:spacing w:before="40" w:after="40"/>
            </w:pPr>
            <w:r>
              <w:rPr>
                <w:b/>
                <w:color w:val="FFFFFF"/>
                <w:sz w:val="19"/>
              </w:rPr>
              <w:t>Purpose</w:t>
            </w:r>
          </w:p>
        </w:tc>
        <w:tc>
          <w:tcPr>
            <w:tcW w:type="dxa" w:w="2880"/>
            <w:tcMar>
              <w:top w:w="120" w:type="dxa"/>
              <w:left w:w="140" w:type="dxa"/>
              <w:bottom w:w="120" w:type="dxa"/>
              <w:right w:w="140" w:type="dxa"/>
            </w:tcMar>
            <w:shd w:val="clear" w:color="auto" w:fill="1B365D"/>
          </w:tcPr>
          <w:p>
            <w:pPr>
              <w:spacing w:before="40" w:after="40"/>
            </w:pPr>
            <w:r>
              <w:rPr>
                <w:b/>
                <w:color w:val="FFFFFF"/>
                <w:sz w:val="19"/>
              </w:rPr>
              <w:t>Artifact affected</w:t>
            </w:r>
          </w:p>
        </w:tc>
        <w:tc>
          <w:tcPr>
            <w:tcW w:type="dxa" w:w="864"/>
            <w:tcMar>
              <w:top w:w="120" w:type="dxa"/>
              <w:left w:w="140" w:type="dxa"/>
              <w:bottom w:w="120" w:type="dxa"/>
              <w:right w:w="140" w:type="dxa"/>
            </w:tcMar>
            <w:shd w:val="clear" w:color="auto" w:fill="1B365D"/>
          </w:tcPr>
          <w:p>
            <w:pPr>
              <w:spacing w:before="40" w:after="40"/>
            </w:pPr>
            <w:r>
              <w:rPr>
                <w:b/>
                <w:color w:val="FFFFFF"/>
                <w:sz w:val="19"/>
              </w:rPr>
              <w:t>Verified By Student (Y/N)</w:t>
            </w:r>
          </w:p>
        </w:tc>
      </w:tr>
      <w:tr>
        <w:trPr>
          <w:cantSplit/>
        </w:trPr>
        <w:tc>
          <w:tcPr>
            <w:tcW w:type="dxa" w:w="2592"/>
            <w:tcMar>
              <w:top w:w="120" w:type="dxa"/>
              <w:left w:w="140" w:type="dxa"/>
              <w:bottom w:w="120" w:type="dxa"/>
              <w:right w:w="140" w:type="dxa"/>
            </w:tcMar>
            <w:shd w:val="clear" w:color="auto" w:fill="F4F6F9"/>
          </w:tcPr>
          <w:p>
            <w:pPr>
              <w:spacing w:before="40" w:after="40"/>
            </w:pPr>
            <w:r>
              <w:rPr>
                <w:color w:val="1E1E1E"/>
                <w:sz w:val="18"/>
              </w:rPr>
              <w:t>Google Antigravity (AI Assistant)</w:t>
            </w:r>
          </w:p>
        </w:tc>
        <w:tc>
          <w:tcPr>
            <w:tcW w:type="dxa" w:w="3312"/>
            <w:tcMar>
              <w:top w:w="120" w:type="dxa"/>
              <w:left w:w="140" w:type="dxa"/>
              <w:bottom w:w="120" w:type="dxa"/>
              <w:right w:w="140" w:type="dxa"/>
            </w:tcMar>
            <w:shd w:val="clear" w:color="auto" w:fill="F4F6F9"/>
          </w:tcPr>
          <w:p>
            <w:pPr>
              <w:spacing w:before="40" w:after="40"/>
            </w:pPr>
            <w:r>
              <w:rPr>
                <w:color w:val="1E1E1E"/>
                <w:sz w:val="18"/>
              </w:rPr>
              <w:t>Code scaffolding, unit test boilerplate, documentation drafting, diagram generation scripts</w:t>
            </w:r>
          </w:p>
        </w:tc>
        <w:tc>
          <w:tcPr>
            <w:tcW w:type="dxa" w:w="2880"/>
            <w:tcMar>
              <w:top w:w="120" w:type="dxa"/>
              <w:left w:w="140" w:type="dxa"/>
              <w:bottom w:w="120" w:type="dxa"/>
              <w:right w:w="140" w:type="dxa"/>
            </w:tcMar>
            <w:shd w:val="clear" w:color="auto" w:fill="F4F6F9"/>
          </w:tcPr>
          <w:p>
            <w:pPr>
              <w:spacing w:before="40" w:after="40"/>
            </w:pPr>
            <w:r>
              <w:rPr>
                <w:color w:val="1E1E1E"/>
                <w:sz w:val="18"/>
              </w:rPr>
              <w:t>app.py, static_analyzer.py, evaluate.py, Synopsis.docx, Technical_Report.docx</w:t>
            </w:r>
          </w:p>
        </w:tc>
        <w:tc>
          <w:tcPr>
            <w:tcW w:type="dxa" w:w="864"/>
            <w:tcMar>
              <w:top w:w="120" w:type="dxa"/>
              <w:left w:w="140" w:type="dxa"/>
              <w:bottom w:w="120" w:type="dxa"/>
              <w:right w:w="140" w:type="dxa"/>
            </w:tcMar>
            <w:shd w:val="clear" w:color="auto" w:fill="F4F6F9"/>
          </w:tcPr>
          <w:p>
            <w:pPr>
              <w:spacing w:before="40" w:after="40"/>
            </w:pPr>
            <w:r>
              <w:rPr>
                <w:color w:val="1E1E1E"/>
                <w:sz w:val="18"/>
              </w:rPr>
              <w:t>Y</w:t>
            </w:r>
          </w:p>
        </w:tc>
      </w:tr>
      <w:tr>
        <w:trPr>
          <w:cantSplit/>
        </w:trPr>
        <w:tc>
          <w:tcPr>
            <w:tcW w:type="dxa" w:w="2592"/>
            <w:tcMar>
              <w:top w:w="120" w:type="dxa"/>
              <w:left w:w="140" w:type="dxa"/>
              <w:bottom w:w="120" w:type="dxa"/>
              <w:right w:w="140" w:type="dxa"/>
            </w:tcMar>
            <w:shd w:val="clear" w:color="auto" w:fill="FFFFFF"/>
          </w:tcPr>
          <w:p>
            <w:pPr>
              <w:spacing w:before="40" w:after="40"/>
            </w:pPr>
            <w:r>
              <w:rPr>
                <w:color w:val="1E1E1E"/>
                <w:sz w:val="18"/>
              </w:rPr>
              <w:t>Google Gemini API (gemini-flash-lite-latest)</w:t>
            </w:r>
          </w:p>
        </w:tc>
        <w:tc>
          <w:tcPr>
            <w:tcW w:type="dxa" w:w="3312"/>
            <w:tcMar>
              <w:top w:w="120" w:type="dxa"/>
              <w:left w:w="140" w:type="dxa"/>
              <w:bottom w:w="120" w:type="dxa"/>
              <w:right w:w="140" w:type="dxa"/>
            </w:tcMar>
            <w:shd w:val="clear" w:color="auto" w:fill="FFFFFF"/>
          </w:tcPr>
          <w:p>
            <w:pPr>
              <w:spacing w:before="40" w:after="40"/>
            </w:pPr>
            <w:r>
              <w:rPr>
                <w:color w:val="1E1E1E"/>
                <w:sz w:val="18"/>
              </w:rPr>
              <w:t>Runtime advisory code review reasoning and structured JSON security vulnerability assessment</w:t>
            </w:r>
          </w:p>
        </w:tc>
        <w:tc>
          <w:tcPr>
            <w:tcW w:type="dxa" w:w="2880"/>
            <w:tcMar>
              <w:top w:w="120" w:type="dxa"/>
              <w:left w:w="140" w:type="dxa"/>
              <w:bottom w:w="120" w:type="dxa"/>
              <w:right w:w="140" w:type="dxa"/>
            </w:tcMar>
            <w:shd w:val="clear" w:color="auto" w:fill="FFFFFF"/>
          </w:tcPr>
          <w:p>
            <w:pPr>
              <w:spacing w:before="40" w:after="40"/>
            </w:pPr>
            <w:r>
              <w:rPr>
                <w:color w:val="1E1E1E"/>
                <w:sz w:val="18"/>
              </w:rPr>
              <w:t>Code/gemini_integration.py, Evaluation_Results/sample_review_report.json</w:t>
            </w:r>
          </w:p>
        </w:tc>
        <w:tc>
          <w:tcPr>
            <w:tcW w:type="dxa" w:w="864"/>
            <w:tcMar>
              <w:top w:w="120" w:type="dxa"/>
              <w:left w:w="140" w:type="dxa"/>
              <w:bottom w:w="120" w:type="dxa"/>
              <w:right w:w="140" w:type="dxa"/>
            </w:tcMar>
            <w:shd w:val="clear" w:color="auto" w:fill="FFFFFF"/>
          </w:tcPr>
          <w:p>
            <w:pPr>
              <w:spacing w:before="40" w:after="40"/>
            </w:pPr>
            <w:r>
              <w:rPr>
                <w:color w:val="1E1E1E"/>
                <w:sz w:val="18"/>
              </w:rPr>
              <w:t>Y</w:t>
            </w:r>
          </w:p>
        </w:tc>
      </w:tr>
    </w:tbl>
    <w:p>
      <w:pPr>
        <w:keepNext/>
        <w:spacing w:before="240" w:after="80"/>
      </w:pPr>
      <w:r>
        <w:rPr>
          <w:b/>
          <w:color w:val="1B365D"/>
          <w:sz w:val="22"/>
        </w:rPr>
        <w:t>11. Student Declaration</w:t>
      </w:r>
    </w:p>
    <w:p>
      <w:pPr>
        <w:spacing w:before="0" w:after="80" w:line="276" w:lineRule="auto"/>
      </w:pPr>
      <w:r>
        <w:rPr>
          <w:color w:val="1E1E1E"/>
          <w:sz w:val="19"/>
        </w:rPr>
        <w:t>I confirm that this report represents my own understanding and contribution, that the work follows the approved case-study scope, and that I can explain every significant part of the implementation.</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1872"/>
            <w:tcMar>
              <w:top w:w="120" w:type="dxa"/>
              <w:left w:w="140" w:type="dxa"/>
              <w:bottom w:w="120" w:type="dxa"/>
              <w:right w:w="140" w:type="dxa"/>
            </w:tcMar>
            <w:shd w:val="clear" w:color="auto" w:fill="F2F5F8"/>
          </w:tcPr>
          <w:p>
            <w:pPr>
              <w:spacing w:before="40" w:after="40"/>
            </w:pPr>
            <w:r>
              <w:rPr>
                <w:b/>
                <w:color w:val="1E1E1E"/>
                <w:sz w:val="19"/>
              </w:rPr>
              <w:t>Signature:</w:t>
            </w:r>
          </w:p>
        </w:tc>
        <w:tc>
          <w:tcPr>
            <w:tcW w:type="dxa" w:w="3168"/>
            <w:tcMar>
              <w:top w:w="120" w:type="dxa"/>
              <w:left w:w="140" w:type="dxa"/>
              <w:bottom w:w="120" w:type="dxa"/>
              <w:right w:w="140" w:type="dxa"/>
            </w:tcMar>
            <w:shd w:val="clear" w:color="auto" w:fill="F2F5F8"/>
          </w:tcPr>
          <w:p>
            <w:pPr>
              <w:spacing w:before="40" w:after="40"/>
            </w:pPr>
            <w:r>
              <w:rPr>
                <w:b/>
                <w:color w:val="1E1E1E"/>
                <w:sz w:val="19"/>
              </w:rPr>
              <w:t>______________________________</w:t>
            </w:r>
          </w:p>
        </w:tc>
        <w:tc>
          <w:tcPr>
            <w:tcW w:type="dxa" w:w="1440"/>
            <w:tcMar>
              <w:top w:w="120" w:type="dxa"/>
              <w:left w:w="140" w:type="dxa"/>
              <w:bottom w:w="120" w:type="dxa"/>
              <w:right w:w="140" w:type="dxa"/>
            </w:tcMar>
            <w:shd w:val="clear" w:color="auto" w:fill="F2F5F8"/>
          </w:tcPr>
          <w:p>
            <w:pPr>
              <w:spacing w:before="40" w:after="40"/>
            </w:pPr>
            <w:r>
              <w:rPr>
                <w:b/>
                <w:color w:val="1E1E1E"/>
                <w:sz w:val="19"/>
              </w:rPr>
              <w:t>Date:</w:t>
            </w:r>
          </w:p>
        </w:tc>
        <w:tc>
          <w:tcPr>
            <w:tcW w:type="dxa" w:w="3168"/>
            <w:tcMar>
              <w:top w:w="120" w:type="dxa"/>
              <w:left w:w="140" w:type="dxa"/>
              <w:bottom w:w="120" w:type="dxa"/>
              <w:right w:w="140" w:type="dxa"/>
            </w:tcMar>
            <w:shd w:val="clear" w:color="auto" w:fill="F2F5F8"/>
          </w:tcPr>
          <w:p>
            <w:pPr>
              <w:spacing w:before="40" w:after="40"/>
            </w:pPr>
            <w:r>
              <w:rPr>
                <w:b/>
                <w:color w:val="1E1E1E"/>
                <w:sz w:val="19"/>
              </w:rPr>
              <w:t>________________</w:t>
            </w:r>
          </w:p>
        </w:tc>
      </w:tr>
      <w:tr>
        <w:trPr>
          <w:cantSplit/>
        </w:trPr>
        <w:tc>
          <w:tcPr>
            <w:tcW w:type="dxa" w:w="1872"/>
            <w:tcMar>
              <w:top w:w="120" w:type="dxa"/>
              <w:left w:w="140" w:type="dxa"/>
              <w:bottom w:w="120" w:type="dxa"/>
              <w:right w:w="140" w:type="dxa"/>
            </w:tcMar>
            <w:shd w:val="clear" w:color="auto" w:fill="FFFFFF"/>
          </w:tcPr>
          <w:p>
            <w:pPr>
              <w:spacing w:before="40" w:after="40"/>
            </w:pPr>
            <w:r>
              <w:rPr>
                <w:color w:val="1E1E1E"/>
                <w:sz w:val="18"/>
              </w:rPr>
              <w:t>Name:</w:t>
            </w:r>
          </w:p>
        </w:tc>
        <w:tc>
          <w:tcPr>
            <w:tcW w:type="dxa" w:w="3168"/>
            <w:tcMar>
              <w:top w:w="120" w:type="dxa"/>
              <w:left w:w="140" w:type="dxa"/>
              <w:bottom w:w="120" w:type="dxa"/>
              <w:right w:w="140" w:type="dxa"/>
            </w:tcMar>
            <w:shd w:val="clear" w:color="auto" w:fill="FFFFFF"/>
          </w:tcPr>
          <w:p>
            <w:pPr>
              <w:spacing w:before="40" w:after="40"/>
            </w:pPr>
            <w:r>
              <w:rPr>
                <w:color w:val="1E1E1E"/>
                <w:sz w:val="18"/>
              </w:rPr>
              <w:t>Tanmay Shah</w:t>
            </w:r>
          </w:p>
        </w:tc>
        <w:tc>
          <w:tcPr>
            <w:tcW w:type="dxa" w:w="1440"/>
            <w:tcMar>
              <w:top w:w="120" w:type="dxa"/>
              <w:left w:w="140" w:type="dxa"/>
              <w:bottom w:w="120" w:type="dxa"/>
              <w:right w:w="140" w:type="dxa"/>
            </w:tcMar>
            <w:shd w:val="clear" w:color="auto" w:fill="FFFFFF"/>
          </w:tcPr>
          <w:p>
            <w:pPr>
              <w:spacing w:before="40" w:after="40"/>
            </w:pPr>
            <w:r>
              <w:rPr>
                <w:color w:val="1E1E1E"/>
                <w:sz w:val="18"/>
              </w:rPr>
              <w:t>PRN:</w:t>
            </w:r>
          </w:p>
        </w:tc>
        <w:tc>
          <w:tcPr>
            <w:tcW w:type="dxa" w:w="3168"/>
            <w:tcMar>
              <w:top w:w="120" w:type="dxa"/>
              <w:left w:w="140" w:type="dxa"/>
              <w:bottom w:w="120" w:type="dxa"/>
              <w:right w:w="140" w:type="dxa"/>
            </w:tcMar>
            <w:shd w:val="clear" w:color="auto" w:fill="FFFFFF"/>
          </w:tcPr>
          <w:p>
            <w:pPr>
              <w:spacing w:before="40" w:after="40"/>
            </w:pPr>
            <w:r>
              <w:rPr>
                <w:color w:val="1E1E1E"/>
                <w:sz w:val="18"/>
              </w:rPr>
              <w:t>123B1F096</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