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B365D"/>
          <w:sz w:val="26"/>
        </w:rPr>
        <w:t>TATA TECHNOLOGIES LTD.</w:t>
      </w:r>
    </w:p>
    <w:p>
      <w:pPr>
        <w:spacing w:before="0" w:after="40"/>
        <w:jc w:val="center"/>
      </w:pPr>
      <w:r>
        <w:rPr>
          <w:b/>
          <w:color w:val="464646"/>
          <w:sz w:val="22"/>
        </w:rPr>
        <w:t>TECH PULSE FY-26 | AI/ML Capstone Project</w:t>
      </w:r>
    </w:p>
    <w:p>
      <w:pPr>
        <w:spacing w:before="0" w:after="280"/>
        <w:jc w:val="center"/>
      </w:pPr>
      <w:r>
        <w:rPr>
          <w:b/>
          <w:color w:val="A01E1E"/>
          <w:sz w:val="24"/>
        </w:rPr>
        <w:t>PROJECT SYNOPSIS</w:t>
      </w:r>
    </w:p>
    <w:p>
      <w:pPr>
        <w:keepNext/>
        <w:spacing w:before="120" w:after="40"/>
      </w:pPr>
      <w:r>
        <w:rPr>
          <w:b/>
          <w:color w:val="323232"/>
          <w:sz w:val="20"/>
        </w:rPr>
        <w:t>Student Details</w:t>
      </w:r>
    </w:p>
    <w:p>
      <w:pPr>
        <w:spacing w:line="288" w:lineRule="auto" w:after="160"/>
      </w:pPr>
      <w:r>
        <w:rPr>
          <w:b/>
        </w:rPr>
        <w:t xml:space="preserve">Institute/University: </w:t>
      </w:r>
      <w:r>
        <w:t>Pimpri Chinchwad College of Engineering (PCCOE), Pune</w:t>
        <w:br/>
      </w:r>
      <w:r>
        <w:rPr>
          <w:b/>
        </w:rPr>
        <w:t xml:space="preserve">Programme / Batch: </w:t>
      </w:r>
      <w:r>
        <w:t>B.Tech Information Technology / Batch 2023–2027</w:t>
        <w:br/>
      </w:r>
      <w:r>
        <w:rPr>
          <w:b/>
        </w:rPr>
        <w:t xml:space="preserve">Student Name: </w:t>
      </w:r>
      <w:r>
        <w:t>Tanmay Shah</w:t>
        <w:br/>
      </w:r>
      <w:r>
        <w:rPr>
          <w:b/>
        </w:rPr>
        <w:t xml:space="preserve">PRN: </w:t>
      </w:r>
      <w:r>
        <w:t>123B1F096</w:t>
        <w:br/>
      </w:r>
    </w:p>
    <w:p>
      <w:pPr>
        <w:keepNext/>
        <w:spacing w:before="240" w:after="80"/>
      </w:pPr>
      <w:r>
        <w:rPr>
          <w:b/>
          <w:color w:val="1B365D"/>
          <w:sz w:val="22"/>
        </w:rPr>
        <w:t>1. Case Study ID and Project Title / Topic</w:t>
      </w:r>
    </w:p>
    <w:p>
      <w:pPr>
        <w:spacing w:after="120"/>
      </w:pPr>
      <w:r>
        <w:rPr>
          <w:b/>
        </w:rPr>
        <w:t xml:space="preserve">Case Study ID (CS1 to CS5): </w:t>
      </w:r>
      <w:r>
        <w:t>CS4</w:t>
        <w:br/>
      </w:r>
      <w:r>
        <w:rPr>
          <w:b/>
        </w:rPr>
        <w:t xml:space="preserve">Project Title / Topic: </w:t>
      </w:r>
      <w:r>
        <w:t>AutoCodeGuard — An Automotive Secure Code Review Assistant</w:t>
        <w:br/>
      </w:r>
    </w:p>
    <w:p>
      <w:pPr>
        <w:keepNext/>
        <w:spacing w:before="240" w:after="80"/>
      </w:pPr>
      <w:r>
        <w:rPr>
          <w:b/>
          <w:color w:val="1B365D"/>
          <w:sz w:val="22"/>
        </w:rPr>
        <w:t>2. Objectives</w:t>
      </w:r>
    </w:p>
    <w:p>
      <w:pPr>
        <w:spacing w:before="0" w:after="80" w:line="276" w:lineRule="auto"/>
      </w:pPr>
      <w:r>
        <w:rPr>
          <w:color w:val="1E1E1E"/>
          <w:sz w:val="19"/>
        </w:rPr>
        <w:t>Define the specific objectives and focus areas of the allocated AIML case study.</w:t>
      </w:r>
    </w:p>
    <w:p>
      <w:pPr>
        <w:keepNext/>
        <w:spacing w:before="120" w:after="40"/>
      </w:pPr>
      <w:r>
        <w:rPr>
          <w:b/>
          <w:color w:val="323232"/>
          <w:sz w:val="20"/>
        </w:rPr>
        <w:t>Objectives</w:t>
      </w:r>
    </w:p>
    <w:p>
      <w:pPr>
        <w:pStyle w:val="ListBullet"/>
        <w:spacing w:before="0" w:after="60" w:line="276" w:lineRule="auto"/>
      </w:pPr>
      <w:r>
        <w:rPr>
          <w:b/>
          <w:sz w:val="19"/>
        </w:rPr>
        <w:t xml:space="preserve">Automated Static Defect Detection: </w:t>
      </w:r>
      <w:r>
        <w:rPr>
          <w:sz w:val="19"/>
        </w:rPr>
        <w:t>Implement a deterministic static analysis engine leveraging Python Abstract Syntax Trees (AST) and regex heuristics to flag high-severity programming defects (arbitrary code execution via eval/exec, shell injection in subprocess, hardcoded credentials, weak hashing, and unsafe error handling).</w:t>
      </w:r>
    </w:p>
    <w:p>
      <w:pPr>
        <w:pStyle w:val="ListBullet"/>
        <w:spacing w:before="0" w:after="60" w:line="276" w:lineRule="auto"/>
      </w:pPr>
      <w:r>
        <w:rPr>
          <w:b/>
          <w:sz w:val="19"/>
        </w:rPr>
        <w:t xml:space="preserve">Advisory LLM-Powered Code Review: </w:t>
      </w:r>
      <w:r>
        <w:rPr>
          <w:sz w:val="19"/>
        </w:rPr>
        <w:t>Integrate Google Gemini (gemini-flash-lite-latest) through the google-genai SDK to provide advisory contextual analysis, explain security ramifications, evaluate risk levels, and suggest actionable remediation without executing user code.</w:t>
      </w:r>
    </w:p>
    <w:p>
      <w:pPr>
        <w:pStyle w:val="ListBullet"/>
        <w:spacing w:before="0" w:after="60" w:line="276" w:lineRule="auto"/>
      </w:pPr>
      <w:r>
        <w:rPr>
          <w:b/>
          <w:sz w:val="19"/>
        </w:rPr>
        <w:t xml:space="preserve">Contextual Guideline Retrieval: </w:t>
      </w:r>
      <w:r>
        <w:rPr>
          <w:sz w:val="19"/>
        </w:rPr>
        <w:t>Deploy an in-memory TF-IDF vectorization and cosine-similarity retrieval system over a local JSON automotive knowledge base (referencing MISRA C:2012, ISO 26262 Part 6, ISO/SAE 21434, and OWASP).</w:t>
      </w:r>
    </w:p>
    <w:p>
      <w:pPr>
        <w:pStyle w:val="ListBullet"/>
        <w:spacing w:before="0" w:after="60" w:line="276" w:lineRule="auto"/>
      </w:pPr>
      <w:r>
        <w:rPr>
          <w:b/>
          <w:sz w:val="19"/>
        </w:rPr>
        <w:t xml:space="preserve">Secure Findings Dashboard &amp; Triage: </w:t>
      </w:r>
      <w:r>
        <w:rPr>
          <w:sz w:val="19"/>
        </w:rPr>
        <w:t>Deliver an intuitive Streamlit interface featuring dual input modes (paste and multi-format upload), severity distribution metrics, finding expanders, and structured report exports (JSON and CSV).</w:t>
      </w:r>
    </w:p>
    <w:p>
      <w:pPr>
        <w:pStyle w:val="ListBullet"/>
        <w:spacing w:before="0" w:after="60" w:line="276" w:lineRule="auto"/>
      </w:pPr>
      <w:r>
        <w:rPr>
          <w:b/>
          <w:sz w:val="19"/>
        </w:rPr>
        <w:t xml:space="preserve">Measurable &amp; Reproducible Evaluation: </w:t>
      </w:r>
      <w:r>
        <w:rPr>
          <w:sz w:val="19"/>
        </w:rPr>
        <w:t>Validate the deterministic analyzer against a 12-case benchmark suite to empirically calculate Precision, Recall, and F1 scores while keeping heuristic metrics separate from generative LLM outputs.</w:t>
      </w:r>
    </w:p>
    <w:p>
      <w:pPr>
        <w:keepNext/>
        <w:spacing w:before="240" w:after="80"/>
      </w:pPr>
      <w:r>
        <w:rPr>
          <w:b/>
          <w:color w:val="1B365D"/>
          <w:sz w:val="22"/>
        </w:rPr>
        <w:t>3. Scope</w:t>
      </w:r>
    </w:p>
    <w:p>
      <w:pPr>
        <w:spacing w:before="0" w:after="80" w:line="276" w:lineRule="auto"/>
      </w:pPr>
      <w:r>
        <w:rPr>
          <w:color w:val="1E1E1E"/>
          <w:sz w:val="19"/>
        </w:rPr>
        <w:t>Clearly state what will be implemented in the project and what will not be covered. Respect mandatory controls such as citations, human review, and approved or synthetic data.</w:t>
      </w:r>
    </w:p>
    <w:p>
      <w:pPr>
        <w:keepNext/>
        <w:spacing w:before="120" w:after="40"/>
      </w:pPr>
      <w:r>
        <w:rPr>
          <w:b/>
          <w:color w:val="323232"/>
          <w:sz w:val="20"/>
        </w:rPr>
        <w:t>In Scope – To Be Implemented</w:t>
      </w:r>
    </w:p>
    <w:p>
      <w:pPr>
        <w:pStyle w:val="ListBullet"/>
        <w:spacing w:before="0" w:after="60" w:line="276" w:lineRule="auto"/>
      </w:pPr>
      <w:r>
        <w:rPr>
          <w:b/>
          <w:sz w:val="19"/>
        </w:rPr>
        <w:t xml:space="preserve">Deterministic Static Rules: </w:t>
      </w:r>
      <w:r>
        <w:rPr>
          <w:sz w:val="19"/>
        </w:rPr>
        <w:t>6 Python AST rules (eval/exec, subprocess shell=True, bare except, assert validation, mutable defaults, os.system) and 6 language-agnostic regex rules (credentials, MD5/SHA1, SQL injection formatting, TODO/FIXME markers, DEBUG=True, print diagnostics).</w:t>
      </w:r>
    </w:p>
    <w:p>
      <w:pPr>
        <w:pStyle w:val="ListBullet"/>
        <w:spacing w:before="0" w:after="60" w:line="276" w:lineRule="auto"/>
      </w:pPr>
      <w:r>
        <w:rPr>
          <w:b/>
          <w:sz w:val="19"/>
        </w:rPr>
        <w:t xml:space="preserve">Gemini API Integration: </w:t>
      </w:r>
      <w:r>
        <w:rPr>
          <w:sz w:val="19"/>
        </w:rPr>
        <w:t>Read-only advisory review using gemini-flash-lite-latest with structured JSON response mode, fallback cascade across Lite models, and approximate line-number sanity verification.</w:t>
      </w:r>
    </w:p>
    <w:p>
      <w:pPr>
        <w:pStyle w:val="ListBullet"/>
        <w:spacing w:before="0" w:after="60" w:line="276" w:lineRule="auto"/>
      </w:pPr>
      <w:r>
        <w:rPr>
          <w:b/>
          <w:sz w:val="19"/>
        </w:rPr>
        <w:t xml:space="preserve">Local Knowledge Base &amp; Retrieval: </w:t>
      </w:r>
      <w:r>
        <w:rPr>
          <w:sz w:val="19"/>
        </w:rPr>
        <w:t>TF-IDF matching over 16 curated guidelines spanning General, MISRA-inspired, Automotive, and Security standards.</w:t>
      </w:r>
    </w:p>
    <w:p>
      <w:pPr>
        <w:pStyle w:val="ListBullet"/>
        <w:spacing w:before="0" w:after="60" w:line="276" w:lineRule="auto"/>
      </w:pPr>
      <w:r>
        <w:rPr>
          <w:b/>
          <w:sz w:val="19"/>
        </w:rPr>
        <w:t xml:space="preserve">Streamlit User Interface: </w:t>
      </w:r>
      <w:r>
        <w:rPr>
          <w:sz w:val="19"/>
        </w:rPr>
        <w:t>Interactive code input, privacy consent notification, real-time metrics cards, and report download.</w:t>
      </w:r>
    </w:p>
    <w:p>
      <w:pPr>
        <w:pStyle w:val="ListBullet"/>
        <w:spacing w:before="0" w:after="60" w:line="276" w:lineRule="auto"/>
      </w:pPr>
      <w:r>
        <w:rPr>
          <w:b/>
          <w:sz w:val="19"/>
        </w:rPr>
        <w:t xml:space="preserve">Empirical Benchmark Evaluation: </w:t>
      </w:r>
      <w:r>
        <w:rPr>
          <w:sz w:val="19"/>
        </w:rPr>
        <w:t>Automated evaluation script (evaluate.py) computing TP, FP, FN, precision, recall, and F1 on a 12-case dataset.</w:t>
      </w:r>
    </w:p>
    <w:p>
      <w:pPr>
        <w:keepNext/>
        <w:spacing w:before="120" w:after="40"/>
      </w:pPr>
      <w:r>
        <w:rPr>
          <w:b/>
          <w:color w:val="323232"/>
          <w:sz w:val="20"/>
        </w:rPr>
        <w:t>Out of Scope – Will Not Be Implemented</w:t>
      </w:r>
    </w:p>
    <w:p>
      <w:pPr>
        <w:pStyle w:val="ListBullet"/>
        <w:spacing w:before="0" w:after="60" w:line="276" w:lineRule="auto"/>
      </w:pPr>
      <w:r>
        <w:rPr>
          <w:b/>
          <w:sz w:val="19"/>
        </w:rPr>
        <w:t xml:space="preserve">Commercial SAST Certification: </w:t>
      </w:r>
      <w:r>
        <w:rPr>
          <w:sz w:val="19"/>
        </w:rPr>
        <w:t>The tool is an educational prototype and does not substitute for certified industrial tools (Coverity, Polyspace) or full MISRA compliance certification.</w:t>
      </w:r>
    </w:p>
    <w:p>
      <w:pPr>
        <w:pStyle w:val="ListBullet"/>
        <w:spacing w:before="0" w:after="60" w:line="276" w:lineRule="auto"/>
      </w:pPr>
      <w:r>
        <w:rPr>
          <w:b/>
          <w:sz w:val="19"/>
        </w:rPr>
        <w:t xml:space="preserve">Autonomous Code Execution / Patching: </w:t>
      </w:r>
      <w:r>
        <w:rPr>
          <w:sz w:val="19"/>
        </w:rPr>
        <w:t>User-submitted code is never executed, compiled, or modified autonomously.</w:t>
      </w:r>
    </w:p>
    <w:p>
      <w:pPr>
        <w:pStyle w:val="ListBullet"/>
        <w:spacing w:before="0" w:after="60" w:line="276" w:lineRule="auto"/>
      </w:pPr>
      <w:r>
        <w:rPr>
          <w:b/>
          <w:sz w:val="19"/>
        </w:rPr>
        <w:t xml:space="preserve">Persistent Data Storage / Database: </w:t>
      </w:r>
      <w:r>
        <w:rPr>
          <w:sz w:val="19"/>
        </w:rPr>
        <w:t>No persistent database server or cloud telemetry; code is processed strictly in memory.</w:t>
      </w:r>
    </w:p>
    <w:p>
      <w:pPr>
        <w:pStyle w:val="ListBullet"/>
        <w:spacing w:before="0" w:after="60" w:line="276" w:lineRule="auto"/>
      </w:pPr>
      <w:r>
        <w:rPr>
          <w:b/>
          <w:sz w:val="19"/>
        </w:rPr>
        <w:t xml:space="preserve">Heavyweight Model Training: </w:t>
      </w:r>
      <w:r>
        <w:rPr>
          <w:sz w:val="19"/>
        </w:rPr>
        <w:t>No fine-tuning or local deployment of massive neural models; no heavy vector databases (ChromaDB/FAISS) requiring dedicated GPU infrastructure.</w:t>
      </w:r>
    </w:p>
    <w:p>
      <w:pPr>
        <w:keepNext/>
        <w:spacing w:before="240" w:after="80"/>
      </w:pPr>
      <w:r>
        <w:rPr>
          <w:b/>
          <w:color w:val="1B365D"/>
          <w:sz w:val="22"/>
        </w:rPr>
        <w:t>4. Proposed Approach</w:t>
      </w:r>
    </w:p>
    <w:p>
      <w:pPr>
        <w:keepNext/>
        <w:spacing w:before="120" w:after="40"/>
      </w:pPr>
      <w:r>
        <w:rPr>
          <w:b/>
          <w:color w:val="323232"/>
          <w:sz w:val="20"/>
        </w:rPr>
        <w:t>Pre-trained model (name, version, local/private hosting)</w:t>
      </w:r>
    </w:p>
    <w:p>
      <w:pPr>
        <w:spacing w:before="0" w:after="80" w:line="276" w:lineRule="auto"/>
      </w:pPr>
      <w:r>
        <w:rPr>
          <w:color w:val="1E1E1E"/>
          <w:sz w:val="19"/>
        </w:rPr>
        <w:t>Google Gemini (gemini-flash-lite-latest, google-genai SDK v2.30.1), accessed remotely via Google Generative AI REST API with structured JSON output enforcement (temperature=0.2). Automated fallback cascade includes gemini-3.5-flash-lite, gemini-3.1-flash-lite, and gemini-3.8-flash.</w:t>
      </w:r>
    </w:p>
    <w:p>
      <w:pPr>
        <w:keepNext/>
        <w:spacing w:before="120" w:after="40"/>
      </w:pPr>
      <w:r>
        <w:rPr>
          <w:b/>
          <w:color w:val="323232"/>
          <w:sz w:val="20"/>
        </w:rPr>
        <w:t>Embedding model</w:t>
      </w:r>
    </w:p>
    <w:p>
      <w:pPr>
        <w:spacing w:before="0" w:after="80" w:line="276" w:lineRule="auto"/>
      </w:pPr>
      <w:r>
        <w:rPr>
          <w:color w:val="1E1E1E"/>
          <w:sz w:val="19"/>
        </w:rPr>
        <w:t>Scikit-Learn TfidfVectorizer (unigram and bigram representation with English stop-words removal). No external embedding API or large neural embedding models are downloaded.</w:t>
      </w:r>
    </w:p>
    <w:p>
      <w:pPr>
        <w:keepNext/>
        <w:spacing w:before="120" w:after="40"/>
      </w:pPr>
      <w:r>
        <w:rPr>
          <w:b/>
          <w:color w:val="323232"/>
          <w:sz w:val="20"/>
        </w:rPr>
        <w:t>Vector store (FAISS / ChromaDB)</w:t>
      </w:r>
    </w:p>
    <w:p>
      <w:pPr>
        <w:spacing w:before="0" w:after="80" w:line="276" w:lineRule="auto"/>
      </w:pPr>
      <w:r>
        <w:rPr>
          <w:color w:val="1E1E1E"/>
          <w:sz w:val="19"/>
        </w:rPr>
        <w:t>In-memory sparse TF-IDF matrix indexed over guidelines_kb.json, paired with cosine_similarity from scikit-learn. Heavy vector stores (FAISS / ChromaDB) are intentionally omitted to maintain a lightweight, zero-database architecture.</w:t>
      </w:r>
    </w:p>
    <w:p>
      <w:pPr>
        <w:keepNext/>
        <w:spacing w:before="120" w:after="40"/>
      </w:pPr>
      <w:r>
        <w:rPr>
          <w:b/>
          <w:color w:val="323232"/>
          <w:sz w:val="20"/>
        </w:rPr>
        <w:t>RAG pipeline and/or AI-agent design – brief description</w:t>
      </w:r>
    </w:p>
    <w:p>
      <w:pPr>
        <w:spacing w:before="0" w:after="80" w:line="276" w:lineRule="auto"/>
      </w:pPr>
      <w:r>
        <w:rPr>
          <w:color w:val="1E1E1E"/>
          <w:sz w:val="19"/>
        </w:rPr>
        <w:t>Hybrid two-phase pipeline: (1) Deterministic AST &amp; Regex scans flag syntactic evidence with line numbers. (2) Each finding's text queries the TF-IDF index to retrieve top-k (default k=2) relevant standards. (3) Upon explicit user request and privacy consent, source code is dispatched to Gemini with a read-only security persona. Gemini's structured JSON findings are validated, line-checked against source boundaries, and enriched with retrieved guideline references.</w:t>
      </w:r>
    </w:p>
    <w:p>
      <w:pPr>
        <w:keepNext/>
        <w:spacing w:before="120" w:after="40"/>
      </w:pPr>
      <w:r>
        <w:rPr>
          <w:b/>
          <w:color w:val="323232"/>
          <w:sz w:val="20"/>
        </w:rPr>
        <w:t>Service layer and UI (e.g., FastAPI / Flask / Streamlit)</w:t>
      </w:r>
    </w:p>
    <w:p>
      <w:pPr>
        <w:spacing w:before="0" w:after="80" w:line="276" w:lineRule="auto"/>
      </w:pPr>
      <w:r>
        <w:rPr>
          <w:color w:val="1E1E1E"/>
          <w:sz w:val="19"/>
        </w:rPr>
        <w:t>Streamlit web application (app.py) featuring configuration sidebars, dual input tabs (paste and multi-format upload), metric summary cards, expandable findings displays, and JSON/CSV export buttons.</w:t>
      </w:r>
    </w:p>
    <w:p>
      <w:pPr>
        <w:keepNext/>
        <w:spacing w:before="120" w:after="40"/>
      </w:pPr>
      <w:r>
        <w:rPr>
          <w:b/>
          <w:color w:val="323232"/>
          <w:sz w:val="20"/>
        </w:rPr>
        <w:t>Tools / deterministic rules, if applicable</w:t>
      </w:r>
    </w:p>
    <w:p>
      <w:pPr>
        <w:spacing w:before="0" w:after="80" w:line="276" w:lineRule="auto"/>
      </w:pPr>
      <w:r>
        <w:rPr>
          <w:color w:val="1E1E1E"/>
          <w:sz w:val="19"/>
        </w:rPr>
        <w:t>12 deterministic rules across AST (ACG-PY-001 to ACG-PY-006) and Regex (ACG-RE-001 to ACG-RE-006) executing safely in memory without invoking external interpreters.</w:t>
      </w:r>
    </w:p>
    <w:p>
      <w:pPr>
        <w:keepNext/>
        <w:spacing w:before="120" w:after="40"/>
      </w:pPr>
      <w:r>
        <w:rPr>
          <w:b/>
          <w:color w:val="323232"/>
          <w:sz w:val="20"/>
        </w:rPr>
        <w:t>Proposed System / Architecture</w:t>
      </w:r>
    </w:p>
    <w:p>
      <w:r>
        <w:drawing>
          <wp:inline xmlns:a="http://schemas.openxmlformats.org/drawingml/2006/main" xmlns:pic="http://schemas.openxmlformats.org/drawingml/2006/picture">
            <wp:extent cx="5669280" cy="29480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48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1: AutoCodeGuard Proposed System Architecture</w:t>
      </w:r>
    </w:p>
    <w:p>
      <w:pPr>
        <w:keepNext/>
        <w:spacing w:before="240" w:after="80"/>
      </w:pPr>
      <w:r>
        <w:rPr>
          <w:b/>
          <w:color w:val="1B365D"/>
          <w:sz w:val="22"/>
        </w:rPr>
        <w:t>5. Input Data / Knowledge Base</w:t>
      </w:r>
    </w:p>
    <w:p>
      <w:pPr>
        <w:spacing w:before="0" w:after="80" w:line="276" w:lineRule="auto"/>
      </w:pPr>
      <w:r>
        <w:rPr>
          <w:color w:val="1E1E1E"/>
          <w:sz w:val="19"/>
        </w:rPr>
        <w:t>Use approved or synthetic data only.</w:t>
      </w:r>
    </w:p>
    <w:p>
      <w:pPr>
        <w:keepNext/>
        <w:spacing w:before="120" w:after="40"/>
      </w:pPr>
      <w:r>
        <w:rPr>
          <w:b/>
          <w:color w:val="323232"/>
          <w:sz w:val="20"/>
        </w:rPr>
        <w:t>Data / Knowledge Sources</w:t>
      </w:r>
    </w:p>
    <w:p>
      <w:pPr>
        <w:spacing w:before="0" w:after="80" w:line="276" w:lineRule="auto"/>
      </w:pPr>
      <w:r>
        <w:rPr>
          <w:color w:val="1E1E1E"/>
          <w:sz w:val="19"/>
        </w:rPr>
        <w:t>• Automotive Coding Guidelines Knowledge Base (guidelines_kb.json): 16 curated guidelines referencing MISRA C:2012, ISO 26262 Part 6, ISO/SAE 21434, and OWASP.</w:t>
        <w:br/>
        <w:t>• Synthetic Benchmark Dataset (evaluation_dataset.json): 12 synthetic test cases containing known flaws and safe control implementations.</w:t>
        <w:br/>
        <w:t>• Demonstration Test Files (sample_vulnerable_ecu.py, sample_safe_telematics.py).</w:t>
      </w:r>
    </w:p>
    <w:p>
      <w:pPr>
        <w:keepNext/>
        <w:spacing w:before="120" w:after="40"/>
      </w:pPr>
      <w:r>
        <w:rPr>
          <w:b/>
          <w:color w:val="323232"/>
          <w:sz w:val="20"/>
        </w:rPr>
        <w:t>Approximate Size and Format</w:t>
      </w:r>
    </w:p>
    <w:p>
      <w:pPr>
        <w:spacing w:before="0" w:after="80" w:line="276" w:lineRule="auto"/>
      </w:pPr>
      <w:r>
        <w:rPr>
          <w:color w:val="1E1E1E"/>
          <w:sz w:val="19"/>
        </w:rPr>
        <w:t>• guidelines_kb.json: 16 entries, 6.9 KB, JSON format.</w:t>
        <w:br/>
        <w:t>• evaluation_dataset.json: 12 test cases, 4.3 KB, JSON format.</w:t>
        <w:br/>
        <w:t>• Sample ECU code files: 2 files, ~3.4 KB total, UTF-8 text.</w:t>
      </w:r>
    </w:p>
    <w:p>
      <w:pPr>
        <w:keepNext/>
        <w:spacing w:before="120" w:after="40"/>
      </w:pPr>
      <w:r>
        <w:rPr>
          <w:b/>
          <w:color w:val="323232"/>
          <w:sz w:val="20"/>
        </w:rPr>
        <w:t>Preprocessing and EDA Planned</w:t>
      </w:r>
    </w:p>
    <w:p>
      <w:pPr>
        <w:spacing w:before="0" w:after="80" w:line="276" w:lineRule="auto"/>
      </w:pPr>
      <w:r>
        <w:rPr>
          <w:color w:val="1E1E1E"/>
          <w:sz w:val="19"/>
        </w:rPr>
        <w:t>Text normalization, stop-word filtering, and n-gram tokenization for guideline corpus. AST grammar parsing and regex compilation for code verification. JSON schema validation and boundary checks on LLM responses.</w:t>
      </w:r>
    </w:p>
    <w:p>
      <w:pPr>
        <w:keepNext/>
        <w:spacing w:before="240" w:after="80"/>
      </w:pPr>
      <w:r>
        <w:rPr>
          <w:b/>
          <w:color w:val="1B365D"/>
          <w:sz w:val="22"/>
        </w:rPr>
        <w:t>6. Expected Outcomes and Evaluation Plan</w:t>
      </w:r>
    </w:p>
    <w:p>
      <w:pPr>
        <w:keepNext/>
        <w:spacing w:before="120" w:after="40"/>
      </w:pPr>
      <w:r>
        <w:rPr>
          <w:b/>
          <w:color w:val="323232"/>
          <w:sz w:val="20"/>
        </w:rPr>
        <w:t>Expected Outputs – aligned to the case study</w:t>
      </w:r>
    </w:p>
    <w:p>
      <w:pPr>
        <w:spacing w:before="0" w:after="80" w:line="276" w:lineRule="auto"/>
      </w:pPr>
      <w:r>
        <w:rPr>
          <w:color w:val="1E1E1E"/>
          <w:sz w:val="19"/>
        </w:rPr>
        <w:t>Real-time review dashboard displaying severity breakdown, detected issues, approximate line references, code evidence, explanations, and remediation advice. Downloadable structured JSON reports and CSV summaries.</w:t>
      </w:r>
    </w:p>
    <w:p>
      <w:pPr>
        <w:keepNext/>
        <w:spacing w:before="120" w:after="40"/>
      </w:pPr>
      <w:r>
        <w:rPr>
          <w:b/>
          <w:color w:val="323232"/>
          <w:sz w:val="20"/>
        </w:rPr>
        <w:t>Evaluation Method – test question set / ground truth / metrics / validation approach</w:t>
      </w:r>
    </w:p>
    <w:p>
      <w:pPr>
        <w:spacing w:before="0" w:after="80" w:line="276" w:lineRule="auto"/>
      </w:pPr>
      <w:r>
        <w:rPr>
          <w:color w:val="1E1E1E"/>
          <w:sz w:val="19"/>
        </w:rPr>
        <w:t>Deterministic analyzer evaluated against the 12-case benchmark dataset via evaluate.py. Metrics measured: True Positives (TP), False Positives (FP), False Negatives (FN), Precision, Recall, and F1 score. Separate qualitative verification of Gemini advisory review schema validity and hallucination rate.</w:t>
      </w:r>
    </w:p>
    <w:p>
      <w:pPr>
        <w:keepNext/>
        <w:spacing w:before="120" w:after="40"/>
      </w:pPr>
      <w:r>
        <w:rPr>
          <w:b/>
          <w:color w:val="323232"/>
          <w:sz w:val="20"/>
        </w:rPr>
        <w:t>Responsible AI Measures – grounding and citations / privacy / security / human oversight</w:t>
      </w:r>
    </w:p>
    <w:p>
      <w:pPr>
        <w:spacing w:before="0" w:after="80" w:line="276" w:lineRule="auto"/>
      </w:pPr>
      <w:r>
        <w:rPr>
          <w:color w:val="1E1E1E"/>
          <w:sz w:val="19"/>
        </w:rPr>
        <w:t>• Grounding &amp; Citations: Heuristic findings tied directly to source line evidence; LLM findings augmented with retrieved guideline citations.</w:t>
        <w:br/>
        <w:t>• Privacy: Explicit privacy notice before sending code; API key loaded from .env and never logged or committed.</w:t>
        <w:br/>
        <w:t>• Security: Zero code execution; read-only reviewer persona.</w:t>
        <w:br/>
        <w:t>• Human Oversight: All findings designated as potential issues requiring human engineering review.</w:t>
      </w:r>
    </w:p>
    <w:p>
      <w:pPr>
        <w:keepNext/>
        <w:spacing w:before="120" w:after="40"/>
      </w:pPr>
      <w:r>
        <w:rPr>
          <w:b/>
          <w:color w:val="323232"/>
          <w:sz w:val="20"/>
        </w:rPr>
        <w:t>MLOps / Deployment Elements Planned – versioning / Docker / tracking</w:t>
      </w:r>
    </w:p>
    <w:p>
      <w:pPr>
        <w:spacing w:before="0" w:after="80" w:line="276" w:lineRule="auto"/>
      </w:pPr>
      <w:r>
        <w:rPr>
          <w:color w:val="1E1E1E"/>
          <w:sz w:val="19"/>
        </w:rPr>
        <w:t>Git version control hosted on GitHub (https://github.com/tanmayshah2705/tata_techpulse_prj). Pinned dependencies in requirements.txt. Model configuration tracked via model_config.json.</w:t>
      </w:r>
    </w:p>
    <w:p>
      <w:pPr>
        <w:keepNext/>
        <w:spacing w:before="240" w:after="80"/>
      </w:pPr>
      <w:r>
        <w:rPr>
          <w:b/>
          <w:color w:val="1B365D"/>
          <w:sz w:val="22"/>
        </w:rPr>
        <w:t>7. Planned AI-Tool Usage</w:t>
      </w:r>
    </w:p>
    <w:p>
      <w:pPr>
        <w:spacing w:before="0" w:after="80" w:line="276" w:lineRule="auto"/>
      </w:pPr>
      <w:r>
        <w:rPr>
          <w:color w:val="1E1E1E"/>
          <w:sz w:val="19"/>
        </w:rPr>
        <w:t>Mention the AI tools / models used for coding assistance and specify the purpose and project artifact affected. This information will be carried into the final AI-tool usage declaration.</w:t>
      </w:r>
    </w:p>
    <w:p>
      <w:pPr>
        <w:keepNext/>
        <w:spacing w:before="120" w:after="40"/>
      </w:pPr>
      <w:r>
        <w:rPr>
          <w:b/>
          <w:color w:val="323232"/>
          <w:sz w:val="20"/>
        </w:rPr>
        <w:t>AI Tool / Model</w:t>
      </w:r>
    </w:p>
    <w:p>
      <w:pPr>
        <w:spacing w:before="0" w:after="80" w:line="276" w:lineRule="auto"/>
      </w:pPr>
      <w:r>
        <w:rPr>
          <w:color w:val="1E1E1E"/>
          <w:sz w:val="19"/>
        </w:rPr>
        <w:t>Google Antigravity (AI Coding Assistant) &amp; Google Gemini API (gemini-flash-lite-latest)</w:t>
      </w:r>
    </w:p>
    <w:p>
      <w:pPr>
        <w:keepNext/>
        <w:spacing w:before="120" w:after="40"/>
      </w:pPr>
      <w:r>
        <w:rPr>
          <w:b/>
          <w:color w:val="323232"/>
          <w:sz w:val="20"/>
        </w:rPr>
        <w:t>Purpose</w:t>
      </w:r>
    </w:p>
    <w:p>
      <w:pPr>
        <w:spacing w:before="0" w:after="80" w:line="276" w:lineRule="auto"/>
      </w:pPr>
      <w:r>
        <w:rPr>
          <w:color w:val="1E1E1E"/>
          <w:sz w:val="19"/>
        </w:rPr>
        <w:t>Scaffolding project structure, generating unit tests, assisting in documentation drafting, and providing runtime advisory code review.</w:t>
      </w:r>
    </w:p>
    <w:p>
      <w:pPr>
        <w:keepNext/>
        <w:spacing w:before="120" w:after="40"/>
      </w:pPr>
      <w:r>
        <w:rPr>
          <w:b/>
          <w:color w:val="323232"/>
          <w:sz w:val="20"/>
        </w:rPr>
        <w:t>Artifact Affected</w:t>
      </w:r>
    </w:p>
    <w:p>
      <w:pPr>
        <w:spacing w:before="0" w:after="80" w:line="276" w:lineRule="auto"/>
      </w:pPr>
      <w:r>
        <w:rPr>
          <w:color w:val="1E1E1E"/>
          <w:sz w:val="19"/>
        </w:rPr>
        <w:t>Code (app.py, static_analyzer.py, gemini_integration.py), Documentation (Synopsis, Technical Report), Evaluation harness (evaluate.py).</w:t>
      </w:r>
    </w:p>
    <w:p>
      <w:pPr>
        <w:keepNext/>
        <w:spacing w:before="240" w:after="80"/>
      </w:pPr>
      <w:r>
        <w:rPr>
          <w:b/>
          <w:color w:val="1B365D"/>
          <w:sz w:val="22"/>
        </w:rPr>
        <w:t>Student Declaration</w:t>
      </w:r>
    </w:p>
    <w:p>
      <w:r>
        <w:t>[X] I will not change the approved case-study scope, major methodology, or implementation approach without prior faculty approval.</w:t>
      </w:r>
    </w:p>
    <w:p>
      <w:r>
        <w:t>[X] I confirm that the work submitted under this synopsis represents my own understanding and contribution, and I will be responsible for explaining every significant part of the selected case study and its implementation.</w:t>
      </w:r>
    </w:p>
    <w:p>
      <w:pPr>
        <w:spacing w:before="320"/>
      </w:pPr>
      <w:r>
        <w:t>Name and Signature: ______________________________         Date: ________________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