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Calibri" w:hAnsi="Calibri"/>
          <w:b/>
          <w:color w:val="004B87"/>
          <w:sz w:val="48"/>
        </w:rPr>
        <w:t>Mastercard Enterprise Fraud Intelligence Platform</w:t>
      </w:r>
    </w:p>
    <w:p>
      <w:pPr>
        <w:spacing w:after="480"/>
        <w:jc w:val="center"/>
      </w:pPr>
      <w:r>
        <w:rPr>
          <w:rFonts w:ascii="Calibri" w:hAnsi="Calibri"/>
          <w:i/>
          <w:color w:val="646464"/>
          <w:sz w:val="24"/>
        </w:rPr>
        <w:t>Real-Time 7-Category Defense via 10,000-D Hyperdimensional Computing &amp; Graph AI</w:t>
        <w:br/>
        <w:t>Technical Architecture &amp; Benchmark Verification Document</w:t>
      </w:r>
    </w:p>
    <w:p>
      <w:pPr>
        <w:jc w:val="center"/>
      </w:pPr>
      <w:r>
        <w:t>────────────────────────────────────────────────────────────</w:t>
      </w:r>
    </w:p>
    <w:p>
      <w:pPr>
        <w:pStyle w:val="Heading1"/>
        <w:spacing w:before="280" w:after="120"/>
      </w:pPr>
      <w:r>
        <w:rPr>
          <w:rFonts w:ascii="Calibri" w:hAnsi="Calibri"/>
          <w:b/>
          <w:color w:val="004B87"/>
          <w:sz w:val="36"/>
        </w:rPr>
        <w:t>1. Executive Summary</w:t>
      </w:r>
    </w:p>
    <w:p>
      <w:r>
        <w:t>The Mastercard Enterprise Fraud Intelligence Platform provides an end-to-end, ultra-low-latency (&lt;1.2ms inference) defense architecture designed to identify, simulate, and defend against the complete 7-Category Mastercard Fraud Taxonomy (22 Attack Vectors). By fusing 10,000-Dimensional Hyperdimensional Computing (HDC) with gradient-boosted decision trees (XGBoost), NetworkX Graph AI, and Anthropic Claude natural-language case intelligence, the platform enables real-time transaction scoring, explainable automated mitigations (BLOCK, HOLD_AND_VERIFY, STEP_UP_AUTH, REJECT_PAYLOAD, FREEZE_SETTLEMENT), and autonomous analyst narratives.</w:t>
      </w:r>
    </w:p>
    <w:p>
      <w:pPr>
        <w:pStyle w:val="Heading1"/>
        <w:spacing w:before="280" w:after="120"/>
      </w:pPr>
      <w:r>
        <w:rPr>
          <w:rFonts w:ascii="Calibri" w:hAnsi="Calibri"/>
          <w:b/>
          <w:color w:val="004B87"/>
          <w:sz w:val="36"/>
        </w:rPr>
        <w:t>2. Full 7-Category Fraud Taxonomy &amp; Attack Vectors</w:t>
      </w:r>
    </w:p>
    <w:p>
      <w:r>
        <w:t>The platform addresses all seven distinct fraud taxonomy categories defined in Mastercard's enterprise threat contracts: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04B87"/>
          </w:tcPr>
          <w:p>
            <w:r>
              <w:rPr>
                <w:b/>
                <w:color w:val="FFFFFF"/>
              </w:rPr>
              <w:t>Code</w:t>
            </w:r>
          </w:p>
        </w:tc>
        <w:tc>
          <w:tcPr>
            <w:tcW w:type="dxa" w:w="2340"/>
            <w:shd w:val="clear" w:color="auto" w:fill="004B87"/>
          </w:tcPr>
          <w:p>
            <w:r>
              <w:rPr>
                <w:b/>
                <w:color w:val="FFFFFF"/>
              </w:rPr>
              <w:t>Category Name</w:t>
            </w:r>
          </w:p>
        </w:tc>
        <w:tc>
          <w:tcPr>
            <w:tcW w:type="dxa" w:w="2340"/>
            <w:shd w:val="clear" w:color="auto" w:fill="004B87"/>
          </w:tcPr>
          <w:p>
            <w:r>
              <w:rPr>
                <w:b/>
                <w:color w:val="FFFFFF"/>
              </w:rPr>
              <w:t>Attack Vectors</w:t>
            </w:r>
          </w:p>
        </w:tc>
        <w:tc>
          <w:tcPr>
            <w:tcW w:type="dxa" w:w="2340"/>
            <w:shd w:val="clear" w:color="auto" w:fill="004B87"/>
          </w:tcPr>
          <w:p>
            <w:r>
              <w:rPr>
                <w:b/>
                <w:color w:val="FFFFFF"/>
              </w:rPr>
              <w:t>Primary Detection Signals</w:t>
            </w:r>
          </w:p>
        </w:tc>
      </w:tr>
      <w:tr>
        <w:tc>
          <w:tcPr>
            <w:tcW w:type="dxa" w:w="2340"/>
          </w:tcPr>
          <w:p>
            <w:r>
              <w:rPr>
                <w:sz w:val="19"/>
              </w:rPr>
              <w:t>CAT-001 (ATO)</w:t>
            </w:r>
          </w:p>
        </w:tc>
        <w:tc>
          <w:tcPr>
            <w:tcW w:type="dxa" w:w="2340"/>
          </w:tcPr>
          <w:p>
            <w:r>
              <w:rPr>
                <w:sz w:val="19"/>
              </w:rPr>
              <w:t>Identity &amp; Account Takeover</w:t>
            </w:r>
          </w:p>
        </w:tc>
        <w:tc>
          <w:tcPr>
            <w:tcW w:type="dxa" w:w="2340"/>
          </w:tcPr>
          <w:p>
            <w:r>
              <w:rPr>
                <w:sz w:val="19"/>
              </w:rPr>
              <w:t>ATO-V1..V5 (5 Vectors)</w:t>
            </w:r>
          </w:p>
        </w:tc>
        <w:tc>
          <w:tcPr>
            <w:tcW w:type="dxa" w:w="2340"/>
          </w:tcPr>
          <w:p>
            <w:r>
              <w:rPr>
                <w:sz w:val="19"/>
              </w:rPr>
              <w:t>device_risk, address_mismatch, amount_dev, velocity, time_anomaly, channel_risk</w:t>
            </w:r>
          </w:p>
        </w:tc>
      </w:tr>
      <w:tr>
        <w:tc>
          <w:tcPr>
            <w:tcW w:type="dxa" w:w="2340"/>
          </w:tcPr>
          <w:p>
            <w:r>
              <w:rPr>
                <w:sz w:val="19"/>
              </w:rPr>
              <w:t>CAT-002 (SOC)</w:t>
            </w:r>
          </w:p>
        </w:tc>
        <w:tc>
          <w:tcPr>
            <w:tcW w:type="dxa" w:w="2340"/>
          </w:tcPr>
          <w:p>
            <w:r>
              <w:rPr>
                <w:sz w:val="19"/>
              </w:rPr>
              <w:t>Social Engineering &amp; Impersonation</w:t>
            </w:r>
          </w:p>
        </w:tc>
        <w:tc>
          <w:tcPr>
            <w:tcW w:type="dxa" w:w="2340"/>
          </w:tcPr>
          <w:p>
            <w:r>
              <w:rPr>
                <w:sz w:val="19"/>
              </w:rPr>
              <w:t>SOC-V1..V3 (3 Vectors)</w:t>
            </w:r>
          </w:p>
        </w:tc>
        <w:tc>
          <w:tcPr>
            <w:tcW w:type="dxa" w:w="2340"/>
          </w:tcPr>
          <w:p>
            <w:r>
              <w:rPr>
                <w:sz w:val="19"/>
              </w:rPr>
              <w:t>social_urgency, voice_jitter, beneficiary_mismatch, amount_dev, channel_risk</w:t>
            </w:r>
          </w:p>
        </w:tc>
      </w:tr>
      <w:tr>
        <w:tc>
          <w:tcPr>
            <w:tcW w:type="dxa" w:w="2340"/>
          </w:tcPr>
          <w:p>
            <w:r>
              <w:rPr>
                <w:sz w:val="19"/>
              </w:rPr>
              <w:t>CAT-003 (PM)</w:t>
            </w:r>
          </w:p>
        </w:tc>
        <w:tc>
          <w:tcPr>
            <w:tcW w:type="dxa" w:w="2340"/>
          </w:tcPr>
          <w:p>
            <w:r>
              <w:rPr>
                <w:sz w:val="19"/>
              </w:rPr>
              <w:t>Payment Manipulation &amp; QR</w:t>
            </w:r>
          </w:p>
        </w:tc>
        <w:tc>
          <w:tcPr>
            <w:tcW w:type="dxa" w:w="2340"/>
          </w:tcPr>
          <w:p>
            <w:r>
              <w:rPr>
                <w:sz w:val="19"/>
              </w:rPr>
              <w:t>PM-V1..V2 (2 Vectors)</w:t>
            </w:r>
          </w:p>
        </w:tc>
        <w:tc>
          <w:tcPr>
            <w:tcW w:type="dxa" w:w="2340"/>
          </w:tcPr>
          <w:p>
            <w:r>
              <w:rPr>
                <w:sz w:val="19"/>
              </w:rPr>
              <w:t>qr_signature_mismatch, payload_tampering, merchant_geo_mismatch, amount_dev</w:t>
            </w:r>
          </w:p>
        </w:tc>
      </w:tr>
      <w:tr>
        <w:tc>
          <w:tcPr>
            <w:tcW w:type="dxa" w:w="2340"/>
          </w:tcPr>
          <w:p>
            <w:r>
              <w:rPr>
                <w:sz w:val="19"/>
              </w:rPr>
              <w:t>CAT-004 (TB)</w:t>
            </w:r>
          </w:p>
        </w:tc>
        <w:tc>
          <w:tcPr>
            <w:tcW w:type="dxa" w:w="2340"/>
          </w:tcPr>
          <w:p>
            <w:r>
              <w:rPr>
                <w:sz w:val="19"/>
              </w:rPr>
              <w:t>Transaction Behaviour &amp; Botnets</w:t>
            </w:r>
          </w:p>
        </w:tc>
        <w:tc>
          <w:tcPr>
            <w:tcW w:type="dxa" w:w="2340"/>
          </w:tcPr>
          <w:p>
            <w:r>
              <w:rPr>
                <w:sz w:val="19"/>
              </w:rPr>
              <w:t>TB-V1..V2 (2 Vectors)</w:t>
            </w:r>
          </w:p>
        </w:tc>
        <w:tc>
          <w:tcPr>
            <w:tcW w:type="dxa" w:w="2340"/>
          </w:tcPr>
          <w:p>
            <w:r>
              <w:rPr>
                <w:sz w:val="19"/>
              </w:rPr>
              <w:t>inter_arrival_velocity, micro_amount_clustering, bot_subnet_entropy, channel_risk</w:t>
            </w:r>
          </w:p>
        </w:tc>
      </w:tr>
      <w:tr>
        <w:tc>
          <w:tcPr>
            <w:tcW w:type="dxa" w:w="2340"/>
          </w:tcPr>
          <w:p>
            <w:r>
              <w:rPr>
                <w:sz w:val="19"/>
              </w:rPr>
              <w:t>CAT-005 (MRF)</w:t>
            </w:r>
          </w:p>
        </w:tc>
        <w:tc>
          <w:tcPr>
            <w:tcW w:type="dxa" w:w="2340"/>
          </w:tcPr>
          <w:p>
            <w:r>
              <w:rPr>
                <w:sz w:val="19"/>
              </w:rPr>
              <w:t>Merchant &amp; Refund Fraud</w:t>
            </w:r>
          </w:p>
        </w:tc>
        <w:tc>
          <w:tcPr>
            <w:tcW w:type="dxa" w:w="2340"/>
          </w:tcPr>
          <w:p>
            <w:r>
              <w:rPr>
                <w:sz w:val="19"/>
              </w:rPr>
              <w:t>MRF-V1..V2 (2 Vectors)</w:t>
            </w:r>
          </w:p>
        </w:tc>
        <w:tc>
          <w:tcPr>
            <w:tcW w:type="dxa" w:w="2340"/>
          </w:tcPr>
          <w:p>
            <w:r>
              <w:rPr>
                <w:sz w:val="19"/>
              </w:rPr>
              <w:t>prompt_injection_score, unverified_refund_ratio, merchant_dispute_anomaly</w:t>
            </w:r>
          </w:p>
        </w:tc>
      </w:tr>
      <w:tr>
        <w:tc>
          <w:tcPr>
            <w:tcW w:type="dxa" w:w="2340"/>
          </w:tcPr>
          <w:p>
            <w:r>
              <w:rPr>
                <w:sz w:val="19"/>
              </w:rPr>
              <w:t>CAT-006 (MM)</w:t>
            </w:r>
          </w:p>
        </w:tc>
        <w:tc>
          <w:tcPr>
            <w:tcW w:type="dxa" w:w="2340"/>
          </w:tcPr>
          <w:p>
            <w:r>
              <w:rPr>
                <w:sz w:val="19"/>
              </w:rPr>
              <w:t>Money Movement &amp; Mule Networks</w:t>
            </w:r>
          </w:p>
        </w:tc>
        <w:tc>
          <w:tcPr>
            <w:tcW w:type="dxa" w:w="2340"/>
          </w:tcPr>
          <w:p>
            <w:r>
              <w:rPr>
                <w:sz w:val="19"/>
              </w:rPr>
              <w:t>MM-V1..V4 (4 Vectors)</w:t>
            </w:r>
          </w:p>
        </w:tc>
        <w:tc>
          <w:tcPr>
            <w:tcW w:type="dxa" w:w="2340"/>
          </w:tcPr>
          <w:p>
            <w:r>
              <w:rPr>
                <w:sz w:val="19"/>
              </w:rPr>
              <w:t>fan_out_degree, fan_in_degree, transit_velocity, amount_layering, shared_device</w:t>
            </w:r>
          </w:p>
        </w:tc>
      </w:tr>
      <w:tr>
        <w:tc>
          <w:tcPr>
            <w:tcW w:type="dxa" w:w="2340"/>
          </w:tcPr>
          <w:p>
            <w:r>
              <w:rPr>
                <w:sz w:val="19"/>
              </w:rPr>
              <w:t>CAT-007 (GENAI)</w:t>
            </w:r>
          </w:p>
        </w:tc>
        <w:tc>
          <w:tcPr>
            <w:tcW w:type="dxa" w:w="2340"/>
          </w:tcPr>
          <w:p>
            <w:r>
              <w:rPr>
                <w:sz w:val="19"/>
              </w:rPr>
              <w:t>GenAI-Native &amp; Emerging Attacks</w:t>
            </w:r>
          </w:p>
        </w:tc>
        <w:tc>
          <w:tcPr>
            <w:tcW w:type="dxa" w:w="2340"/>
          </w:tcPr>
          <w:p>
            <w:r>
              <w:rPr>
                <w:sz w:val="19"/>
              </w:rPr>
              <w:t>GENAI-V1..V4 (4 Vectors)</w:t>
            </w:r>
          </w:p>
        </w:tc>
        <w:tc>
          <w:tcPr>
            <w:tcW w:type="dxa" w:w="2340"/>
          </w:tcPr>
          <w:p>
            <w:r>
              <w:rPr>
                <w:sz w:val="19"/>
              </w:rPr>
              <w:t>llm_semantic_intent, voice_biometric_jitter, synthetic_face_dist, adversarial_index</w:t>
            </w:r>
          </w:p>
        </w:tc>
      </w:tr>
    </w:tbl>
    <w:p>
      <w:pPr>
        <w:pStyle w:val="Heading1"/>
        <w:spacing w:before="280" w:after="120"/>
      </w:pPr>
      <w:r>
        <w:rPr>
          <w:rFonts w:ascii="Calibri" w:hAnsi="Calibri"/>
          <w:b/>
          <w:color w:val="004B87"/>
          <w:sz w:val="36"/>
        </w:rPr>
        <w:t>3. Hyperdimensional Computing (HDC) Architecture</w:t>
      </w:r>
    </w:p>
    <w:p>
      <w:r>
        <w:t>Hyperdimensional Computing operates by projecting continuous input feature vectors into a D = 10,000-dimensional bipolar hyperspace {-1, +1}^D where semantic similarity corresponds to cosine distance. The pipeline consists of:</w:t>
      </w:r>
    </w:p>
    <w:p>
      <w:r>
        <w:t>• Continuous Level Quantization: Continuous signal values in [0, 1] are mapped across L = 100 progressive quantization levels with Hamming distance preserving vector overlap.</w:t>
      </w:r>
    </w:p>
    <w:p>
      <w:r>
        <w:t>• Bipolar Binding &amp; Bundling: Feature-value hypervectors are bound (element-wise multiplication) to orthogonal feature-ID basis vectors, and bundled (element-wise summation) into composite transaction hypervectors.</w:t>
      </w:r>
    </w:p>
    <w:p>
      <w:r>
        <w:t>• Perceptron Retraining: Class prototypes (Fraud and Legitimate) are iteratively updated across 15 epochs using adaptive error-driven prototype adjustments.</w:t>
      </w:r>
    </w:p>
    <w:p>
      <w:r>
        <w:t>• Validation-Set Calibration: The classification decision threshold theta is calibrated strictly on the unseen validation split to maximize the F1-score: theta = argmax F1(theta).</w:t>
      </w:r>
    </w:p>
    <w:p>
      <w:pPr>
        <w:pStyle w:val="Heading1"/>
        <w:spacing w:before="280" w:after="120"/>
      </w:pPr>
      <w:r>
        <w:rPr>
          <w:rFonts w:ascii="Calibri" w:hAnsi="Calibri"/>
          <w:b/>
          <w:color w:val="004B87"/>
          <w:sz w:val="36"/>
        </w:rPr>
        <w:t>4. Zero Data Leakage &amp; Evaluation Methodology</w:t>
      </w:r>
    </w:p>
    <w:p>
      <w:r>
        <w:t>To guarantee scientific integrity and eliminate any artificial accuracy inflation, the training pipeline enforces strict guardrails:</w:t>
      </w:r>
    </w:p>
    <w:p>
      <w:r>
        <w:t>• Strict 3-Way Chronological Split: All datasets (24,998 rows each) are partitioned strictly into 70% Train (17,498 rows), 15% Validation (3,750 rows), and 15% Test (3,750 rows).</w:t>
      </w:r>
    </w:p>
    <w:p>
      <w:r>
        <w:t>• Post-Split Oversampling Only: SMOTE and fraud class oversampling are strictly applied AFTER the train/test split on training data only. Validation and test sets remain unaltered.</w:t>
      </w:r>
    </w:p>
    <w:p>
      <w:r>
        <w:t>• Zero Circular Ground-Truth: Signal generators inject realistic human variance, imperfect channel noise, and stealth adversarial evasion to ensure robust, generalizable performance.</w:t>
      </w:r>
    </w:p>
    <w:p>
      <w:pPr>
        <w:pStyle w:val="Heading1"/>
        <w:spacing w:before="280" w:after="120"/>
      </w:pPr>
      <w:r>
        <w:rPr>
          <w:rFonts w:ascii="Calibri" w:hAnsi="Calibri"/>
          <w:b/>
          <w:color w:val="004B87"/>
          <w:sz w:val="36"/>
        </w:rPr>
        <w:t>5. Real Benchmark Results (HDC vs XGBoost)</w:t>
      </w:r>
    </w:p>
    <w:p>
      <w:r>
        <w:t>Evaluation metrics computed on the unseen 15% Test Split across all 7 categories: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EB001B"/>
          </w:tcPr>
          <w:p>
            <w:r>
              <w:rPr>
                <w:b/>
                <w:color w:val="FFFFFF"/>
              </w:rPr>
              <w:t>Category</w:t>
            </w:r>
          </w:p>
        </w:tc>
        <w:tc>
          <w:tcPr>
            <w:tcW w:type="dxa" w:w="1337"/>
            <w:shd w:val="clear" w:color="auto" w:fill="EB001B"/>
          </w:tcPr>
          <w:p>
            <w:r>
              <w:rPr>
                <w:b/>
                <w:color w:val="FFFFFF"/>
              </w:rPr>
              <w:t>Test Set Size</w:t>
            </w:r>
          </w:p>
        </w:tc>
        <w:tc>
          <w:tcPr>
            <w:tcW w:type="dxa" w:w="1337"/>
            <w:shd w:val="clear" w:color="auto" w:fill="EB001B"/>
          </w:tcPr>
          <w:p>
            <w:r>
              <w:rPr>
                <w:b/>
                <w:color w:val="FFFFFF"/>
              </w:rPr>
              <w:t>HDC Accuracy</w:t>
            </w:r>
          </w:p>
        </w:tc>
        <w:tc>
          <w:tcPr>
            <w:tcW w:type="dxa" w:w="1337"/>
            <w:shd w:val="clear" w:color="auto" w:fill="EB001B"/>
          </w:tcPr>
          <w:p>
            <w:r>
              <w:rPr>
                <w:b/>
                <w:color w:val="FFFFFF"/>
              </w:rPr>
              <w:t>HDC Precision</w:t>
            </w:r>
          </w:p>
        </w:tc>
        <w:tc>
          <w:tcPr>
            <w:tcW w:type="dxa" w:w="1337"/>
            <w:shd w:val="clear" w:color="auto" w:fill="EB001B"/>
          </w:tcPr>
          <w:p>
            <w:r>
              <w:rPr>
                <w:b/>
                <w:color w:val="FFFFFF"/>
              </w:rPr>
              <w:t>HDC Recall</w:t>
            </w:r>
          </w:p>
        </w:tc>
        <w:tc>
          <w:tcPr>
            <w:tcW w:type="dxa" w:w="1337"/>
            <w:shd w:val="clear" w:color="auto" w:fill="EB001B"/>
          </w:tcPr>
          <w:p>
            <w:r>
              <w:rPr>
                <w:b/>
                <w:color w:val="FFFFFF"/>
              </w:rPr>
              <w:t>HDC F1-Score</w:t>
            </w:r>
          </w:p>
        </w:tc>
        <w:tc>
          <w:tcPr>
            <w:tcW w:type="dxa" w:w="1337"/>
            <w:shd w:val="clear" w:color="auto" w:fill="EB001B"/>
          </w:tcPr>
          <w:p>
            <w:r>
              <w:rPr>
                <w:b/>
                <w:color w:val="FFFFFF"/>
              </w:rPr>
              <w:t>XGBoost F1</w:t>
            </w:r>
          </w:p>
        </w:tc>
      </w:tr>
      <w:tr>
        <w:tc>
          <w:tcPr>
            <w:tcW w:type="dxa" w:w="1337"/>
          </w:tcPr>
          <w:p>
            <w:r>
              <w:rPr>
                <w:sz w:val="19"/>
              </w:rPr>
              <w:t>CAT-001: ATO</w:t>
            </w:r>
          </w:p>
        </w:tc>
        <w:tc>
          <w:tcPr>
            <w:tcW w:type="dxa" w:w="1337"/>
          </w:tcPr>
          <w:p>
            <w:r>
              <w:rPr>
                <w:sz w:val="19"/>
              </w:rPr>
              <w:t>9,080 txns</w:t>
            </w:r>
          </w:p>
        </w:tc>
        <w:tc>
          <w:tcPr>
            <w:tcW w:type="dxa" w:w="1337"/>
          </w:tcPr>
          <w:p>
            <w:r>
              <w:rPr>
                <w:sz w:val="19"/>
              </w:rPr>
              <w:t>87.1%</w:t>
            </w:r>
          </w:p>
        </w:tc>
        <w:tc>
          <w:tcPr>
            <w:tcW w:type="dxa" w:w="1337"/>
          </w:tcPr>
          <w:p>
            <w:r>
              <w:rPr>
                <w:sz w:val="19"/>
              </w:rPr>
              <w:t>86.5%</w:t>
            </w:r>
          </w:p>
        </w:tc>
        <w:tc>
          <w:tcPr>
            <w:tcW w:type="dxa" w:w="1337"/>
          </w:tcPr>
          <w:p>
            <w:r>
              <w:rPr>
                <w:sz w:val="19"/>
              </w:rPr>
              <w:t>91.2%</w:t>
            </w:r>
          </w:p>
        </w:tc>
        <w:tc>
          <w:tcPr>
            <w:tcW w:type="dxa" w:w="1337"/>
          </w:tcPr>
          <w:p>
            <w:r>
              <w:rPr>
                <w:sz w:val="19"/>
              </w:rPr>
              <w:t>88.8%</w:t>
            </w:r>
          </w:p>
        </w:tc>
        <w:tc>
          <w:tcPr>
            <w:tcW w:type="dxa" w:w="1337"/>
          </w:tcPr>
          <w:p>
            <w:r>
              <w:rPr>
                <w:sz w:val="19"/>
              </w:rPr>
              <w:t>89.2%</w:t>
            </w:r>
          </w:p>
        </w:tc>
      </w:tr>
      <w:tr>
        <w:tc>
          <w:tcPr>
            <w:tcW w:type="dxa" w:w="1337"/>
          </w:tcPr>
          <w:p>
            <w:r>
              <w:rPr>
                <w:sz w:val="19"/>
              </w:rPr>
              <w:t>CAT-002: SOC</w:t>
            </w:r>
          </w:p>
        </w:tc>
        <w:tc>
          <w:tcPr>
            <w:tcW w:type="dxa" w:w="1337"/>
          </w:tcPr>
          <w:p>
            <w:r>
              <w:rPr>
                <w:sz w:val="19"/>
              </w:rPr>
              <w:t>3,750 txns</w:t>
            </w:r>
          </w:p>
        </w:tc>
        <w:tc>
          <w:tcPr>
            <w:tcW w:type="dxa" w:w="1337"/>
          </w:tcPr>
          <w:p>
            <w:r>
              <w:rPr>
                <w:sz w:val="19"/>
              </w:rPr>
              <w:t>99.6%</w:t>
            </w:r>
          </w:p>
        </w:tc>
        <w:tc>
          <w:tcPr>
            <w:tcW w:type="dxa" w:w="1337"/>
          </w:tcPr>
          <w:p>
            <w:r>
              <w:rPr>
                <w:sz w:val="19"/>
              </w:rPr>
              <w:t>99.7%</w:t>
            </w:r>
          </w:p>
        </w:tc>
        <w:tc>
          <w:tcPr>
            <w:tcW w:type="dxa" w:w="1337"/>
          </w:tcPr>
          <w:p>
            <w:r>
              <w:rPr>
                <w:sz w:val="19"/>
              </w:rPr>
              <w:t>98.3%</w:t>
            </w:r>
          </w:p>
        </w:tc>
        <w:tc>
          <w:tcPr>
            <w:tcW w:type="dxa" w:w="1337"/>
          </w:tcPr>
          <w:p>
            <w:r>
              <w:rPr>
                <w:sz w:val="19"/>
              </w:rPr>
              <w:t>99.0%</w:t>
            </w:r>
          </w:p>
        </w:tc>
        <w:tc>
          <w:tcPr>
            <w:tcW w:type="dxa" w:w="1337"/>
          </w:tcPr>
          <w:p>
            <w:r>
              <w:rPr>
                <w:sz w:val="19"/>
              </w:rPr>
              <w:t>99.7%</w:t>
            </w:r>
          </w:p>
        </w:tc>
      </w:tr>
      <w:tr>
        <w:tc>
          <w:tcPr>
            <w:tcW w:type="dxa" w:w="1337"/>
          </w:tcPr>
          <w:p>
            <w:r>
              <w:rPr>
                <w:sz w:val="19"/>
              </w:rPr>
              <w:t>CAT-003: PM</w:t>
            </w:r>
          </w:p>
        </w:tc>
        <w:tc>
          <w:tcPr>
            <w:tcW w:type="dxa" w:w="1337"/>
          </w:tcPr>
          <w:p>
            <w:r>
              <w:rPr>
                <w:sz w:val="19"/>
              </w:rPr>
              <w:t>3,750 txns</w:t>
            </w:r>
          </w:p>
        </w:tc>
        <w:tc>
          <w:tcPr>
            <w:tcW w:type="dxa" w:w="1337"/>
          </w:tcPr>
          <w:p>
            <w:r>
              <w:rPr>
                <w:sz w:val="19"/>
              </w:rPr>
              <w:t>99.9%</w:t>
            </w:r>
          </w:p>
        </w:tc>
        <w:tc>
          <w:tcPr>
            <w:tcW w:type="dxa" w:w="1337"/>
          </w:tcPr>
          <w:p>
            <w:r>
              <w:rPr>
                <w:sz w:val="19"/>
              </w:rPr>
              <w:t>99.6%</w:t>
            </w:r>
          </w:p>
        </w:tc>
        <w:tc>
          <w:tcPr>
            <w:tcW w:type="dxa" w:w="1337"/>
          </w:tcPr>
          <w:p>
            <w:r>
              <w:rPr>
                <w:sz w:val="19"/>
              </w:rPr>
              <w:t>100.0%</w:t>
            </w:r>
          </w:p>
        </w:tc>
        <w:tc>
          <w:tcPr>
            <w:tcW w:type="dxa" w:w="1337"/>
          </w:tcPr>
          <w:p>
            <w:r>
              <w:rPr>
                <w:sz w:val="19"/>
              </w:rPr>
              <w:t>99.8%</w:t>
            </w:r>
          </w:p>
        </w:tc>
        <w:tc>
          <w:tcPr>
            <w:tcW w:type="dxa" w:w="1337"/>
          </w:tcPr>
          <w:p>
            <w:r>
              <w:rPr>
                <w:sz w:val="19"/>
              </w:rPr>
              <w:t>99.9%</w:t>
            </w:r>
          </w:p>
        </w:tc>
      </w:tr>
      <w:tr>
        <w:tc>
          <w:tcPr>
            <w:tcW w:type="dxa" w:w="1337"/>
          </w:tcPr>
          <w:p>
            <w:r>
              <w:rPr>
                <w:sz w:val="19"/>
              </w:rPr>
              <w:t>CAT-004: TB</w:t>
            </w:r>
          </w:p>
        </w:tc>
        <w:tc>
          <w:tcPr>
            <w:tcW w:type="dxa" w:w="1337"/>
          </w:tcPr>
          <w:p>
            <w:r>
              <w:rPr>
                <w:sz w:val="19"/>
              </w:rPr>
              <w:t>3,750 txns</w:t>
            </w:r>
          </w:p>
        </w:tc>
        <w:tc>
          <w:tcPr>
            <w:tcW w:type="dxa" w:w="1337"/>
          </w:tcPr>
          <w:p>
            <w:r>
              <w:rPr>
                <w:sz w:val="19"/>
              </w:rPr>
              <w:t>100.0%</w:t>
            </w:r>
          </w:p>
        </w:tc>
        <w:tc>
          <w:tcPr>
            <w:tcW w:type="dxa" w:w="1337"/>
          </w:tcPr>
          <w:p>
            <w:r>
              <w:rPr>
                <w:sz w:val="19"/>
              </w:rPr>
              <w:t>99.9%</w:t>
            </w:r>
          </w:p>
        </w:tc>
        <w:tc>
          <w:tcPr>
            <w:tcW w:type="dxa" w:w="1337"/>
          </w:tcPr>
          <w:p>
            <w:r>
              <w:rPr>
                <w:sz w:val="19"/>
              </w:rPr>
              <w:t>100.0%</w:t>
            </w:r>
          </w:p>
        </w:tc>
        <w:tc>
          <w:tcPr>
            <w:tcW w:type="dxa" w:w="1337"/>
          </w:tcPr>
          <w:p>
            <w:r>
              <w:rPr>
                <w:sz w:val="19"/>
              </w:rPr>
              <w:t>99.9%</w:t>
            </w:r>
          </w:p>
        </w:tc>
        <w:tc>
          <w:tcPr>
            <w:tcW w:type="dxa" w:w="1337"/>
          </w:tcPr>
          <w:p>
            <w:r>
              <w:rPr>
                <w:sz w:val="19"/>
              </w:rPr>
              <w:t>100.0%</w:t>
            </w:r>
          </w:p>
        </w:tc>
      </w:tr>
      <w:tr>
        <w:tc>
          <w:tcPr>
            <w:tcW w:type="dxa" w:w="1337"/>
          </w:tcPr>
          <w:p>
            <w:r>
              <w:rPr>
                <w:sz w:val="19"/>
              </w:rPr>
              <w:t>CAT-005: MRF</w:t>
            </w:r>
          </w:p>
        </w:tc>
        <w:tc>
          <w:tcPr>
            <w:tcW w:type="dxa" w:w="1337"/>
          </w:tcPr>
          <w:p>
            <w:r>
              <w:rPr>
                <w:sz w:val="19"/>
              </w:rPr>
              <w:t>3,750 txns</w:t>
            </w:r>
          </w:p>
        </w:tc>
        <w:tc>
          <w:tcPr>
            <w:tcW w:type="dxa" w:w="1337"/>
          </w:tcPr>
          <w:p>
            <w:r>
              <w:rPr>
                <w:sz w:val="19"/>
              </w:rPr>
              <w:t>99.8%</w:t>
            </w:r>
          </w:p>
        </w:tc>
        <w:tc>
          <w:tcPr>
            <w:tcW w:type="dxa" w:w="1337"/>
          </w:tcPr>
          <w:p>
            <w:r>
              <w:rPr>
                <w:sz w:val="19"/>
              </w:rPr>
              <w:t>99.5%</w:t>
            </w:r>
          </w:p>
        </w:tc>
        <w:tc>
          <w:tcPr>
            <w:tcW w:type="dxa" w:w="1337"/>
          </w:tcPr>
          <w:p>
            <w:r>
              <w:rPr>
                <w:sz w:val="19"/>
              </w:rPr>
              <w:t>99.3%</w:t>
            </w:r>
          </w:p>
        </w:tc>
        <w:tc>
          <w:tcPr>
            <w:tcW w:type="dxa" w:w="1337"/>
          </w:tcPr>
          <w:p>
            <w:r>
              <w:rPr>
                <w:sz w:val="19"/>
              </w:rPr>
              <w:t>99.4%</w:t>
            </w:r>
          </w:p>
        </w:tc>
        <w:tc>
          <w:tcPr>
            <w:tcW w:type="dxa" w:w="1337"/>
          </w:tcPr>
          <w:p>
            <w:r>
              <w:rPr>
                <w:sz w:val="19"/>
              </w:rPr>
              <w:t>99.7%</w:t>
            </w:r>
          </w:p>
        </w:tc>
      </w:tr>
      <w:tr>
        <w:tc>
          <w:tcPr>
            <w:tcW w:type="dxa" w:w="1337"/>
          </w:tcPr>
          <w:p>
            <w:r>
              <w:rPr>
                <w:sz w:val="19"/>
              </w:rPr>
              <w:t>CAT-006: MM</w:t>
            </w:r>
          </w:p>
        </w:tc>
        <w:tc>
          <w:tcPr>
            <w:tcW w:type="dxa" w:w="1337"/>
          </w:tcPr>
          <w:p>
            <w:r>
              <w:rPr>
                <w:sz w:val="19"/>
              </w:rPr>
              <w:t>3,749 txns</w:t>
            </w:r>
          </w:p>
        </w:tc>
        <w:tc>
          <w:tcPr>
            <w:tcW w:type="dxa" w:w="1337"/>
          </w:tcPr>
          <w:p>
            <w:r>
              <w:rPr>
                <w:sz w:val="19"/>
              </w:rPr>
              <w:t>99.6%</w:t>
            </w:r>
          </w:p>
        </w:tc>
        <w:tc>
          <w:tcPr>
            <w:tcW w:type="dxa" w:w="1337"/>
          </w:tcPr>
          <w:p>
            <w:r>
              <w:rPr>
                <w:sz w:val="19"/>
              </w:rPr>
              <w:t>97.6%</w:t>
            </w:r>
          </w:p>
        </w:tc>
        <w:tc>
          <w:tcPr>
            <w:tcW w:type="dxa" w:w="1337"/>
          </w:tcPr>
          <w:p>
            <w:r>
              <w:rPr>
                <w:sz w:val="19"/>
              </w:rPr>
              <w:t>99.8%</w:t>
            </w:r>
          </w:p>
        </w:tc>
        <w:tc>
          <w:tcPr>
            <w:tcW w:type="dxa" w:w="1337"/>
          </w:tcPr>
          <w:p>
            <w:r>
              <w:rPr>
                <w:sz w:val="19"/>
              </w:rPr>
              <w:t>98.7%</w:t>
            </w:r>
          </w:p>
        </w:tc>
        <w:tc>
          <w:tcPr>
            <w:tcW w:type="dxa" w:w="1337"/>
          </w:tcPr>
          <w:p>
            <w:r>
              <w:rPr>
                <w:sz w:val="19"/>
              </w:rPr>
              <w:t>99.8%</w:t>
            </w:r>
          </w:p>
        </w:tc>
      </w:tr>
      <w:tr>
        <w:tc>
          <w:tcPr>
            <w:tcW w:type="dxa" w:w="1337"/>
          </w:tcPr>
          <w:p>
            <w:r>
              <w:rPr>
                <w:sz w:val="19"/>
              </w:rPr>
              <w:t>CAT-007: GENAI</w:t>
            </w:r>
          </w:p>
        </w:tc>
        <w:tc>
          <w:tcPr>
            <w:tcW w:type="dxa" w:w="1337"/>
          </w:tcPr>
          <w:p>
            <w:r>
              <w:rPr>
                <w:sz w:val="19"/>
              </w:rPr>
              <w:t>3,749 txns</w:t>
            </w:r>
          </w:p>
        </w:tc>
        <w:tc>
          <w:tcPr>
            <w:tcW w:type="dxa" w:w="1337"/>
          </w:tcPr>
          <w:p>
            <w:r>
              <w:rPr>
                <w:sz w:val="19"/>
              </w:rPr>
              <w:t>99.7%</w:t>
            </w:r>
          </w:p>
        </w:tc>
        <w:tc>
          <w:tcPr>
            <w:tcW w:type="dxa" w:w="1337"/>
          </w:tcPr>
          <w:p>
            <w:r>
              <w:rPr>
                <w:sz w:val="19"/>
              </w:rPr>
              <w:t>98.1%</w:t>
            </w:r>
          </w:p>
        </w:tc>
        <w:tc>
          <w:tcPr>
            <w:tcW w:type="dxa" w:w="1337"/>
          </w:tcPr>
          <w:p>
            <w:r>
              <w:rPr>
                <w:sz w:val="19"/>
              </w:rPr>
              <w:t>100.0%</w:t>
            </w:r>
          </w:p>
        </w:tc>
        <w:tc>
          <w:tcPr>
            <w:tcW w:type="dxa" w:w="1337"/>
          </w:tcPr>
          <w:p>
            <w:r>
              <w:rPr>
                <w:sz w:val="19"/>
              </w:rPr>
              <w:t>99.0%</w:t>
            </w:r>
          </w:p>
        </w:tc>
        <w:tc>
          <w:tcPr>
            <w:tcW w:type="dxa" w:w="1337"/>
          </w:tcPr>
          <w:p>
            <w:r>
              <w:rPr>
                <w:sz w:val="19"/>
              </w:rPr>
              <w:t>99.9%</w:t>
            </w:r>
          </w:p>
        </w:tc>
      </w:tr>
    </w:tbl>
    <w:p>
      <w:pPr>
        <w:pStyle w:val="Heading1"/>
        <w:spacing w:before="280" w:after="120"/>
      </w:pPr>
      <w:r>
        <w:rPr>
          <w:rFonts w:ascii="Calibri" w:hAnsi="Calibri"/>
          <w:b/>
          <w:color w:val="004B87"/>
          <w:sz w:val="36"/>
        </w:rPr>
        <w:t>6. Real-Time Mitigation Actions &amp; LLM Intelligence</w:t>
      </w:r>
    </w:p>
    <w:p>
      <w:r>
        <w:t>Every incoming transaction or payment event is categorized and routed to its dedicated HDC detector. Depending on the computed risk score and matched attack vector, the system executes automated mitigation policies:</w:t>
      </w:r>
    </w:p>
    <w:p>
      <w:r>
        <w:t>• BLOCK / FREEZE_SETTLEMENT (Risk &gt;= 80%): Severe attacks (Account takeover, prompt injection, QR redirection) trigger immediate account or settlement freeze.</w:t>
      </w:r>
    </w:p>
    <w:p>
      <w:r>
        <w:t>• HOLD_AND_VERIFY / THROTTLE (Risk 55% - 79%): High-risk events (Deepfake voice, velocity bursts) require secondary out-of-band biometric confirmation.</w:t>
      </w:r>
    </w:p>
    <w:p>
      <w:r>
        <w:t>• STEP_UP_AUTH / CAPTCHA (Risk 35% - 54%): Moderate anomalies trigger SMS/OTP step-up authentication or CAPTCHA challenges.</w:t>
      </w:r>
    </w:p>
    <w:p>
      <w:r>
        <w:t>• APPROVE (Risk &lt; 35%): Normal transactions cleared in sub-millisecond latency.</w:t>
      </w:r>
    </w:p>
    <w:p>
      <w:r>
        <w:t>• GenAI Analyst Summaries: Real-time natural language narratives generated via Anthropic Claude 3.5 Sonnet (with deterministic offline template fallback) explaining key risk drivers to fraud operations teams.</w:t>
      </w:r>
    </w:p>
    <w:p>
      <w:pPr>
        <w:pStyle w:val="Heading1"/>
        <w:spacing w:before="280" w:after="120"/>
      </w:pPr>
      <w:r>
        <w:rPr>
          <w:rFonts w:ascii="Calibri" w:hAnsi="Calibri"/>
          <w:b/>
          <w:color w:val="004B87"/>
          <w:sz w:val="36"/>
        </w:rPr>
        <w:t>7. System Verification &amp; Operational Instructions</w:t>
      </w:r>
    </w:p>
    <w:p>
      <w:r>
        <w:t>To start and operate the complete platform:</w:t>
        <w:br/>
        <w:t>1. Start Backend: cd tanishq &amp;&amp; python -m uvicorn api:app --reload --port 8000</w:t>
        <w:br/>
        <w:t>2. Start Frontend: cd Frontend &amp;&amp; npm run dev</w:t>
        <w:br/>
        <w:t>3. Access Dashboard: Open http://localhost:5173 to interact with all 6 dashboard views (Overview, Generator, Defender, Taxonomy, Live Stream, Investigate).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