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209CF" w14:textId="14F2884F" w:rsidR="00D32ACB" w:rsidRDefault="00A04942" w:rsidP="00A0494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A </w:t>
      </w:r>
      <w:r w:rsidR="00D32ACB" w:rsidRPr="00DD7750">
        <w:rPr>
          <w:rFonts w:ascii="Times New Roman" w:hAnsi="Times New Roman" w:cs="Times New Roman"/>
          <w:b/>
          <w:bCs/>
          <w:sz w:val="24"/>
          <w:szCs w:val="24"/>
        </w:rPr>
        <w:t>Single-</w:t>
      </w:r>
      <w:proofErr w:type="spellStart"/>
      <w:r w:rsidR="00D32ACB" w:rsidRPr="00DD7750">
        <w:rPr>
          <w:rFonts w:ascii="Times New Roman" w:hAnsi="Times New Roman" w:cs="Times New Roman"/>
          <w:b/>
          <w:bCs/>
          <w:sz w:val="24"/>
          <w:szCs w:val="24"/>
        </w:rPr>
        <w:t>Center</w:t>
      </w:r>
      <w:proofErr w:type="spellEnd"/>
      <w:r w:rsidR="00D32ACB" w:rsidRPr="00DD7750">
        <w:rPr>
          <w:rFonts w:ascii="Times New Roman" w:hAnsi="Times New Roman" w:cs="Times New Roman"/>
          <w:b/>
          <w:bCs/>
          <w:sz w:val="24"/>
          <w:szCs w:val="24"/>
        </w:rPr>
        <w:t xml:space="preserve"> Experience</w:t>
      </w:r>
      <w:r>
        <w:rPr>
          <w:rFonts w:ascii="Times New Roman" w:hAnsi="Times New Roman" w:cs="Times New Roman"/>
          <w:b/>
          <w:bCs/>
          <w:sz w:val="24"/>
          <w:szCs w:val="24"/>
        </w:rPr>
        <w:t xml:space="preserve"> of Highly Sensitized Renal Transplant in Eastern India</w:t>
      </w:r>
    </w:p>
    <w:p w14:paraId="37225DD2" w14:textId="0832BDD2" w:rsidR="00A04942" w:rsidRDefault="00A04942" w:rsidP="00A04942">
      <w:pPr>
        <w:pStyle w:val="NoSpacing"/>
        <w:rPr>
          <w:rFonts w:ascii="Times New Roman" w:hAnsi="Times New Roman" w:cs="Times New Roman"/>
          <w:b/>
          <w:bCs/>
          <w:sz w:val="24"/>
          <w:szCs w:val="24"/>
        </w:rPr>
      </w:pPr>
    </w:p>
    <w:p w14:paraId="54CAEDC3" w14:textId="77777777" w:rsidR="00A04942" w:rsidRPr="00DD7750" w:rsidRDefault="00A04942" w:rsidP="00DD7750">
      <w:pPr>
        <w:pStyle w:val="NoSpacing"/>
        <w:jc w:val="center"/>
        <w:rPr>
          <w:rFonts w:ascii="Times New Roman" w:hAnsi="Times New Roman" w:cs="Times New Roman"/>
          <w:b/>
          <w:bCs/>
          <w:sz w:val="24"/>
          <w:szCs w:val="24"/>
        </w:rPr>
      </w:pPr>
    </w:p>
    <w:p w14:paraId="183A9B7D" w14:textId="70B95177" w:rsidR="00D32ACB" w:rsidRDefault="00D32ACB" w:rsidP="00D32ACB">
      <w:pPr>
        <w:pStyle w:val="NormalWeb"/>
        <w:spacing w:line="360" w:lineRule="auto"/>
        <w:jc w:val="both"/>
      </w:pPr>
      <w:r>
        <w:rPr>
          <w:rStyle w:val="Strong"/>
          <w:rFonts w:eastAsiaTheme="majorEastAsia"/>
        </w:rPr>
        <w:t>Background:</w:t>
      </w:r>
      <w:r>
        <w:t xml:space="preserve"> </w:t>
      </w:r>
      <w:r w:rsidR="0004455B">
        <w:t>Kidney transplantation is widely regarded as the most effective treatment for patients suffering from end-stage renal disease (ESRD). However, a significant challenge arises when patients develop sensitization to human leukocyte antigen (HLA) antigens. This sensitization occurs due to prior exposure to foreign HLA antigens through blood transfusions, pregnancies, or previous transplants, making it difficult to find a compatible donor. As a result, sensitized patients often face longer waiting times on transplant lists, higher rates of transplant rejection, and decreased graft survival. Sensitized individuals also experience increased risks of antibody-mediated and acute cellular rejection, further complicating their treatment and diminishing long-term transplant success rates.</w:t>
      </w:r>
    </w:p>
    <w:p w14:paraId="1B6BB9FE" w14:textId="39E45A35" w:rsidR="00D32ACB" w:rsidRDefault="00D32ACB" w:rsidP="00D32ACB">
      <w:pPr>
        <w:pStyle w:val="NormalWeb"/>
        <w:spacing w:line="360" w:lineRule="auto"/>
        <w:jc w:val="both"/>
      </w:pPr>
      <w:r>
        <w:rPr>
          <w:rStyle w:val="Strong"/>
          <w:rFonts w:eastAsiaTheme="majorEastAsia"/>
        </w:rPr>
        <w:t>Methods:</w:t>
      </w:r>
      <w:r>
        <w:t xml:space="preserve"> A retrospective observational study was conducted at our transplant </w:t>
      </w:r>
      <w:proofErr w:type="spellStart"/>
      <w:r>
        <w:t>center</w:t>
      </w:r>
      <w:proofErr w:type="spellEnd"/>
      <w:r>
        <w:t xml:space="preserve">, ILS group of hospital, Dumdum, </w:t>
      </w:r>
      <w:proofErr w:type="spellStart"/>
      <w:r>
        <w:t>analyzing</w:t>
      </w:r>
      <w:proofErr w:type="spellEnd"/>
      <w:r>
        <w:t xml:space="preserve"> the outcomes of highly sensitized adult kidney transplant recipients. Data from living donor kidney transplantation with desensitization between </w:t>
      </w:r>
      <w:r w:rsidR="00725885">
        <w:t>June, 2023</w:t>
      </w:r>
      <w:r>
        <w:t xml:space="preserve"> and</w:t>
      </w:r>
      <w:r w:rsidR="00725885">
        <w:t xml:space="preserve"> June,</w:t>
      </w:r>
      <w:r>
        <w:t xml:space="preserve"> 2024 were included</w:t>
      </w:r>
      <w:r w:rsidR="00FA4E75">
        <w:t xml:space="preserve"> based on peak panel reactive antibody (PRA) </w:t>
      </w:r>
      <w:r w:rsidR="00650D54">
        <w:t xml:space="preserve">and Donor specific antibody (DSA) </w:t>
      </w:r>
      <w:r w:rsidR="00FA4E75">
        <w:t>levels</w:t>
      </w:r>
      <w:r>
        <w:t xml:space="preserve">. Desensitization protocols consisted of plasmapheresis followed by immunosuppression with tacrolimus, corticosteroids, and mycophenolate mofetil. </w:t>
      </w:r>
    </w:p>
    <w:p w14:paraId="0ECB05DD" w14:textId="4409202D" w:rsidR="00D32ACB" w:rsidRPr="00977796" w:rsidRDefault="00D32ACB" w:rsidP="00D32ACB">
      <w:pPr>
        <w:pStyle w:val="NormalWeb"/>
        <w:spacing w:line="360" w:lineRule="auto"/>
        <w:jc w:val="both"/>
      </w:pPr>
      <w:r>
        <w:rPr>
          <w:rStyle w:val="Strong"/>
          <w:rFonts w:eastAsiaTheme="majorEastAsia"/>
        </w:rPr>
        <w:t>Results</w:t>
      </w:r>
      <w:r w:rsidRPr="00E0625A">
        <w:rPr>
          <w:rStyle w:val="Strong"/>
          <w:rFonts w:eastAsiaTheme="majorEastAsia"/>
          <w:color w:val="FF0000"/>
        </w:rPr>
        <w:t>:</w:t>
      </w:r>
      <w:r w:rsidRPr="00E0625A">
        <w:rPr>
          <w:color w:val="FF0000"/>
        </w:rPr>
        <w:t xml:space="preserve"> </w:t>
      </w:r>
      <w:r w:rsidR="00977796" w:rsidRPr="00977796">
        <w:t xml:space="preserve">Of the </w:t>
      </w:r>
      <w:r w:rsidR="000D3129">
        <w:t>64</w:t>
      </w:r>
      <w:r w:rsidR="00977796" w:rsidRPr="00977796">
        <w:t xml:space="preserve"> living donor kidney transplants, </w:t>
      </w:r>
      <w:r w:rsidR="000D3129">
        <w:t>18</w:t>
      </w:r>
      <w:r w:rsidR="00977796" w:rsidRPr="00977796">
        <w:t xml:space="preserve"> involved desensitization through plasmapheresis. </w:t>
      </w:r>
      <w:r w:rsidR="00725885">
        <w:t xml:space="preserve">Sensitized patients had mean Nadir Creatinine </w:t>
      </w:r>
      <w:r w:rsidR="002F1CE6">
        <w:t>(</w:t>
      </w:r>
      <w:r w:rsidR="00725885">
        <w:t>1.48 ± 1.40</w:t>
      </w:r>
      <w:r w:rsidR="002F1CE6">
        <w:t xml:space="preserve">; </w:t>
      </w:r>
      <w:proofErr w:type="spellStart"/>
      <w:r w:rsidR="00725885">
        <w:t>Mean</w:t>
      </w:r>
      <w:r w:rsidR="00725885">
        <w:t>±</w:t>
      </w:r>
      <w:r w:rsidR="00725885">
        <w:t>S</w:t>
      </w:r>
      <w:r w:rsidR="002F1CE6">
        <w:t>D</w:t>
      </w:r>
      <w:proofErr w:type="spellEnd"/>
      <w:r w:rsidR="00725885">
        <w:t xml:space="preserve">) higher </w:t>
      </w:r>
      <w:r w:rsidR="00ED3BFF">
        <w:t xml:space="preserve">(p&lt;0.05) </w:t>
      </w:r>
      <w:r w:rsidR="00725885">
        <w:t>than non</w:t>
      </w:r>
      <w:r w:rsidR="002F1CE6">
        <w:t>-</w:t>
      </w:r>
      <w:r w:rsidR="00725885">
        <w:t>sensitized patients</w:t>
      </w:r>
      <w:r w:rsidR="002F1CE6">
        <w:t xml:space="preserve"> (0.96</w:t>
      </w:r>
      <w:r w:rsidR="002F1CE6">
        <w:t>±</w:t>
      </w:r>
      <w:r w:rsidR="002F1CE6">
        <w:t xml:space="preserve">0.32; </w:t>
      </w:r>
      <w:proofErr w:type="spellStart"/>
      <w:r w:rsidR="002F1CE6">
        <w:t>Mean</w:t>
      </w:r>
      <w:r w:rsidR="002F1CE6">
        <w:t>±</w:t>
      </w:r>
      <w:r w:rsidR="002F1CE6">
        <w:t>SD</w:t>
      </w:r>
      <w:proofErr w:type="spellEnd"/>
      <w:r w:rsidR="002F1CE6">
        <w:t>)</w:t>
      </w:r>
      <w:r w:rsidR="00725885">
        <w:t>. Mean duration of hospital stay in sensitized patients (</w:t>
      </w:r>
      <w:r w:rsidR="002F1CE6">
        <w:t xml:space="preserve">30.0 </w:t>
      </w:r>
      <w:r w:rsidR="002F1CE6">
        <w:t>±</w:t>
      </w:r>
      <w:r w:rsidR="002F1CE6">
        <w:t>14.98</w:t>
      </w:r>
      <w:r w:rsidR="005F3F4A">
        <w:t xml:space="preserve"> </w:t>
      </w:r>
      <w:r w:rsidR="005F3F4A">
        <w:t>days</w:t>
      </w:r>
      <w:r w:rsidR="00725885">
        <w:t>) was higher (p&lt;0.05) than non</w:t>
      </w:r>
      <w:r w:rsidR="002F1CE6">
        <w:t>-</w:t>
      </w:r>
      <w:r w:rsidR="00725885">
        <w:t>sensitized patients</w:t>
      </w:r>
      <w:r w:rsidR="002F1CE6">
        <w:t xml:space="preserve"> (25.02 </w:t>
      </w:r>
      <w:r w:rsidR="002F1CE6">
        <w:t>±</w:t>
      </w:r>
      <w:r w:rsidR="002F1CE6">
        <w:t>8.98</w:t>
      </w:r>
      <w:r w:rsidR="005F3F4A">
        <w:t xml:space="preserve"> </w:t>
      </w:r>
      <w:r w:rsidR="005F3F4A">
        <w:t>days</w:t>
      </w:r>
      <w:r w:rsidR="002F1CE6">
        <w:t>)</w:t>
      </w:r>
      <w:r w:rsidR="00725885">
        <w:t>. Immediate graft dysfunction (SGF/DGF) was also higher</w:t>
      </w:r>
      <w:r w:rsidR="00ED3BFF">
        <w:t xml:space="preserve"> (p&lt;0.05)</w:t>
      </w:r>
      <w:r w:rsidR="00725885">
        <w:t xml:space="preserve"> </w:t>
      </w:r>
      <w:r w:rsidR="002F1CE6">
        <w:t xml:space="preserve">in sensitized patients </w:t>
      </w:r>
      <w:r w:rsidR="00725885">
        <w:t>(</w:t>
      </w:r>
      <w:r w:rsidR="002F1CE6">
        <w:t>44.45</w:t>
      </w:r>
      <w:r w:rsidR="00725885">
        <w:t>%</w:t>
      </w:r>
      <w:r w:rsidR="002F1CE6">
        <w:t xml:space="preserve">) in comparison to non-sensitized patients (11.12%). </w:t>
      </w:r>
      <w:r w:rsidR="00977796" w:rsidRPr="00977796">
        <w:t xml:space="preserve">Sensitized patients demonstrated </w:t>
      </w:r>
      <w:r w:rsidR="00460B45">
        <w:t xml:space="preserve">similar </w:t>
      </w:r>
      <w:r w:rsidR="00977796" w:rsidRPr="00977796">
        <w:t xml:space="preserve">rates </w:t>
      </w:r>
      <w:r w:rsidR="00460B45">
        <w:t xml:space="preserve">of </w:t>
      </w:r>
      <w:r w:rsidR="009302E6">
        <w:t>infection</w:t>
      </w:r>
      <w:r w:rsidR="00460B45">
        <w:t xml:space="preserve"> episod</w:t>
      </w:r>
      <w:r w:rsidR="000470DB">
        <w:t>e</w:t>
      </w:r>
      <w:r w:rsidR="00460B45">
        <w:t>s</w:t>
      </w:r>
      <w:r w:rsidR="009302E6">
        <w:t xml:space="preserve"> (</w:t>
      </w:r>
      <w:r w:rsidR="00460B45">
        <w:t xml:space="preserve">44.44 per 100 patients months of </w:t>
      </w:r>
      <w:proofErr w:type="spellStart"/>
      <w:r w:rsidR="00460B45">
        <w:t>followup</w:t>
      </w:r>
      <w:proofErr w:type="spellEnd"/>
      <w:r w:rsidR="009302E6">
        <w:t xml:space="preserve">) </w:t>
      </w:r>
      <w:r w:rsidR="00460B45">
        <w:t>with</w:t>
      </w:r>
      <w:r w:rsidR="009302E6">
        <w:t xml:space="preserve"> non-sensitized patient groups</w:t>
      </w:r>
      <w:r w:rsidR="00ED3BFF">
        <w:t xml:space="preserve"> </w:t>
      </w:r>
      <w:r w:rsidR="00460B45">
        <w:t>(</w:t>
      </w:r>
      <w:r w:rsidR="00ED3BFF">
        <w:t>40.82</w:t>
      </w:r>
      <w:r w:rsidR="00460B45" w:rsidRPr="00460B45">
        <w:t xml:space="preserve"> </w:t>
      </w:r>
      <w:r w:rsidR="00460B45">
        <w:t xml:space="preserve">per 100 patients months of </w:t>
      </w:r>
      <w:proofErr w:type="spellStart"/>
      <w:r w:rsidR="00460B45">
        <w:t>followup</w:t>
      </w:r>
      <w:proofErr w:type="spellEnd"/>
      <w:r w:rsidR="00ED3BFF">
        <w:t>)</w:t>
      </w:r>
      <w:r w:rsidR="00977796" w:rsidRPr="00977796">
        <w:t>. Overall graft survival (94.45%) and patient survival (98.78%) were significantly higher (p&lt;0.001) in non-sensitized patient groups</w:t>
      </w:r>
      <w:r w:rsidR="00566E28">
        <w:t xml:space="preserve">. </w:t>
      </w:r>
    </w:p>
    <w:p w14:paraId="2395AA51" w14:textId="416E47EA" w:rsidR="00187607" w:rsidRDefault="00D32ACB" w:rsidP="00E0625A">
      <w:pPr>
        <w:pStyle w:val="NormalWeb"/>
        <w:spacing w:line="360" w:lineRule="auto"/>
        <w:jc w:val="both"/>
      </w:pPr>
      <w:r>
        <w:rPr>
          <w:rStyle w:val="Strong"/>
          <w:rFonts w:eastAsiaTheme="majorEastAsia"/>
        </w:rPr>
        <w:t>Conclusions:</w:t>
      </w:r>
      <w:r>
        <w:t xml:space="preserve"> </w:t>
      </w:r>
      <w:r w:rsidR="00187607">
        <w:t>In conclusion, sensitization significantly impacts graft survival in kidney transplant recipients. Highly sensitized patients in our study exhibited higher nadir creatinine levels, prolonged hospital stays, and a higher incidence of graft dysfunction compared to non-</w:t>
      </w:r>
      <w:r w:rsidR="00187607">
        <w:lastRenderedPageBreak/>
        <w:t>sensitized patients. Additionally, sensitized patients experienced a higher rejection rate, although infection rates were comparable between the two groups.</w:t>
      </w:r>
      <w:r w:rsidR="00187607" w:rsidRPr="00187607">
        <w:t xml:space="preserve"> </w:t>
      </w:r>
      <w:r w:rsidR="00187607">
        <w:t xml:space="preserve">Moving forward, further research on a long-term, </w:t>
      </w:r>
      <w:proofErr w:type="spellStart"/>
      <w:r w:rsidR="00187607">
        <w:t>multicentered</w:t>
      </w:r>
      <w:proofErr w:type="spellEnd"/>
      <w:r w:rsidR="00187607">
        <w:t xml:space="preserve"> basis is essential for developing more precise management strategies that are crucial for improving outcomes in this challenging patient population.</w:t>
      </w:r>
    </w:p>
    <w:sectPr w:rsidR="00187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225"/>
    <w:rsid w:val="0004455B"/>
    <w:rsid w:val="000470DB"/>
    <w:rsid w:val="000A14F5"/>
    <w:rsid w:val="000D3129"/>
    <w:rsid w:val="001631A3"/>
    <w:rsid w:val="00187607"/>
    <w:rsid w:val="00194195"/>
    <w:rsid w:val="002973CD"/>
    <w:rsid w:val="002F1CE6"/>
    <w:rsid w:val="002F3E8A"/>
    <w:rsid w:val="00346AEA"/>
    <w:rsid w:val="00370F91"/>
    <w:rsid w:val="0037174F"/>
    <w:rsid w:val="003D75D1"/>
    <w:rsid w:val="003E479A"/>
    <w:rsid w:val="00460B45"/>
    <w:rsid w:val="00542979"/>
    <w:rsid w:val="005525F4"/>
    <w:rsid w:val="00566E28"/>
    <w:rsid w:val="00576610"/>
    <w:rsid w:val="005E0280"/>
    <w:rsid w:val="005F3F4A"/>
    <w:rsid w:val="00650D54"/>
    <w:rsid w:val="0068734A"/>
    <w:rsid w:val="006B1E9E"/>
    <w:rsid w:val="00725885"/>
    <w:rsid w:val="00767C00"/>
    <w:rsid w:val="007A4B51"/>
    <w:rsid w:val="00804274"/>
    <w:rsid w:val="00814688"/>
    <w:rsid w:val="00852007"/>
    <w:rsid w:val="009302E6"/>
    <w:rsid w:val="00977796"/>
    <w:rsid w:val="009B50D0"/>
    <w:rsid w:val="009F0F84"/>
    <w:rsid w:val="00A04942"/>
    <w:rsid w:val="00A70B9F"/>
    <w:rsid w:val="00A9345A"/>
    <w:rsid w:val="00AB13BE"/>
    <w:rsid w:val="00AE0225"/>
    <w:rsid w:val="00B62CB0"/>
    <w:rsid w:val="00BF420D"/>
    <w:rsid w:val="00C12FAF"/>
    <w:rsid w:val="00CF461F"/>
    <w:rsid w:val="00D32ACB"/>
    <w:rsid w:val="00D51F59"/>
    <w:rsid w:val="00DC04B6"/>
    <w:rsid w:val="00DD7750"/>
    <w:rsid w:val="00E00F02"/>
    <w:rsid w:val="00E0625A"/>
    <w:rsid w:val="00E36C76"/>
    <w:rsid w:val="00E401F5"/>
    <w:rsid w:val="00ED3BFF"/>
    <w:rsid w:val="00F55D56"/>
    <w:rsid w:val="00FA4E75"/>
    <w:rsid w:val="00FF21B1"/>
    <w:rsid w:val="00FF6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DCED1"/>
  <w15:chartTrackingRefBased/>
  <w15:docId w15:val="{24B92899-57E3-4A34-947C-FDD50BAC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2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E02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E02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E02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E02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0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E02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E02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E02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E02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225"/>
    <w:rPr>
      <w:rFonts w:eastAsiaTheme="majorEastAsia" w:cstheme="majorBidi"/>
      <w:color w:val="272727" w:themeColor="text1" w:themeTint="D8"/>
    </w:rPr>
  </w:style>
  <w:style w:type="paragraph" w:styleId="Title">
    <w:name w:val="Title"/>
    <w:basedOn w:val="Normal"/>
    <w:next w:val="Normal"/>
    <w:link w:val="TitleChar"/>
    <w:uiPriority w:val="10"/>
    <w:qFormat/>
    <w:rsid w:val="00AE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225"/>
    <w:pPr>
      <w:spacing w:before="160"/>
      <w:jc w:val="center"/>
    </w:pPr>
    <w:rPr>
      <w:i/>
      <w:iCs/>
      <w:color w:val="404040" w:themeColor="text1" w:themeTint="BF"/>
    </w:rPr>
  </w:style>
  <w:style w:type="character" w:customStyle="1" w:styleId="QuoteChar">
    <w:name w:val="Quote Char"/>
    <w:basedOn w:val="DefaultParagraphFont"/>
    <w:link w:val="Quote"/>
    <w:uiPriority w:val="29"/>
    <w:rsid w:val="00AE0225"/>
    <w:rPr>
      <w:i/>
      <w:iCs/>
      <w:color w:val="404040" w:themeColor="text1" w:themeTint="BF"/>
    </w:rPr>
  </w:style>
  <w:style w:type="paragraph" w:styleId="ListParagraph">
    <w:name w:val="List Paragraph"/>
    <w:basedOn w:val="Normal"/>
    <w:uiPriority w:val="34"/>
    <w:qFormat/>
    <w:rsid w:val="00AE0225"/>
    <w:pPr>
      <w:ind w:left="720"/>
      <w:contextualSpacing/>
    </w:pPr>
  </w:style>
  <w:style w:type="character" w:styleId="IntenseEmphasis">
    <w:name w:val="Intense Emphasis"/>
    <w:basedOn w:val="DefaultParagraphFont"/>
    <w:uiPriority w:val="21"/>
    <w:qFormat/>
    <w:rsid w:val="00AE0225"/>
    <w:rPr>
      <w:i/>
      <w:iCs/>
      <w:color w:val="2E74B5" w:themeColor="accent1" w:themeShade="BF"/>
    </w:rPr>
  </w:style>
  <w:style w:type="paragraph" w:styleId="IntenseQuote">
    <w:name w:val="Intense Quote"/>
    <w:basedOn w:val="Normal"/>
    <w:next w:val="Normal"/>
    <w:link w:val="IntenseQuoteChar"/>
    <w:uiPriority w:val="30"/>
    <w:qFormat/>
    <w:rsid w:val="00AE02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0225"/>
    <w:rPr>
      <w:i/>
      <w:iCs/>
      <w:color w:val="2E74B5" w:themeColor="accent1" w:themeShade="BF"/>
    </w:rPr>
  </w:style>
  <w:style w:type="character" w:styleId="IntenseReference">
    <w:name w:val="Intense Reference"/>
    <w:basedOn w:val="DefaultParagraphFont"/>
    <w:uiPriority w:val="32"/>
    <w:qFormat/>
    <w:rsid w:val="00AE0225"/>
    <w:rPr>
      <w:b/>
      <w:bCs/>
      <w:smallCaps/>
      <w:color w:val="2E74B5" w:themeColor="accent1" w:themeShade="BF"/>
      <w:spacing w:val="5"/>
    </w:rPr>
  </w:style>
  <w:style w:type="paragraph" w:styleId="NormalWeb">
    <w:name w:val="Normal (Web)"/>
    <w:basedOn w:val="Normal"/>
    <w:uiPriority w:val="99"/>
    <w:unhideWhenUsed/>
    <w:rsid w:val="003E47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32ACB"/>
    <w:rPr>
      <w:b/>
      <w:bCs/>
    </w:rPr>
  </w:style>
  <w:style w:type="paragraph" w:styleId="NoSpacing">
    <w:name w:val="No Spacing"/>
    <w:uiPriority w:val="1"/>
    <w:qFormat/>
    <w:rsid w:val="005766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174920">
      <w:bodyDiv w:val="1"/>
      <w:marLeft w:val="0"/>
      <w:marRight w:val="0"/>
      <w:marTop w:val="0"/>
      <w:marBottom w:val="0"/>
      <w:divBdr>
        <w:top w:val="none" w:sz="0" w:space="0" w:color="auto"/>
        <w:left w:val="none" w:sz="0" w:space="0" w:color="auto"/>
        <w:bottom w:val="none" w:sz="0" w:space="0" w:color="auto"/>
        <w:right w:val="none" w:sz="0" w:space="0" w:color="auto"/>
      </w:divBdr>
    </w:div>
    <w:div w:id="1175414414">
      <w:bodyDiv w:val="1"/>
      <w:marLeft w:val="0"/>
      <w:marRight w:val="0"/>
      <w:marTop w:val="0"/>
      <w:marBottom w:val="0"/>
      <w:divBdr>
        <w:top w:val="none" w:sz="0" w:space="0" w:color="auto"/>
        <w:left w:val="none" w:sz="0" w:space="0" w:color="auto"/>
        <w:bottom w:val="none" w:sz="0" w:space="0" w:color="auto"/>
        <w:right w:val="none" w:sz="0" w:space="0" w:color="auto"/>
      </w:divBdr>
      <w:divsChild>
        <w:div w:id="1940678710">
          <w:marLeft w:val="0"/>
          <w:marRight w:val="0"/>
          <w:marTop w:val="0"/>
          <w:marBottom w:val="0"/>
          <w:divBdr>
            <w:top w:val="none" w:sz="0" w:space="0" w:color="auto"/>
            <w:left w:val="none" w:sz="0" w:space="0" w:color="auto"/>
            <w:bottom w:val="none" w:sz="0" w:space="0" w:color="auto"/>
            <w:right w:val="none" w:sz="0" w:space="0" w:color="auto"/>
          </w:divBdr>
        </w:div>
        <w:div w:id="188422532">
          <w:marLeft w:val="0"/>
          <w:marRight w:val="0"/>
          <w:marTop w:val="0"/>
          <w:marBottom w:val="0"/>
          <w:divBdr>
            <w:top w:val="none" w:sz="0" w:space="0" w:color="auto"/>
            <w:left w:val="none" w:sz="0" w:space="0" w:color="auto"/>
            <w:bottom w:val="none" w:sz="0" w:space="0" w:color="auto"/>
            <w:right w:val="none" w:sz="0" w:space="0" w:color="auto"/>
          </w:divBdr>
        </w:div>
        <w:div w:id="2072268442">
          <w:marLeft w:val="0"/>
          <w:marRight w:val="0"/>
          <w:marTop w:val="0"/>
          <w:marBottom w:val="0"/>
          <w:divBdr>
            <w:top w:val="none" w:sz="0" w:space="0" w:color="auto"/>
            <w:left w:val="none" w:sz="0" w:space="0" w:color="auto"/>
            <w:bottom w:val="none" w:sz="0" w:space="0" w:color="auto"/>
            <w:right w:val="none" w:sz="0" w:space="0" w:color="auto"/>
          </w:divBdr>
        </w:div>
        <w:div w:id="384179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aimil2023@outlook.com</dc:creator>
  <cp:keywords/>
  <dc:description/>
  <cp:lastModifiedBy>SOUMIK BHATTACHERJEE</cp:lastModifiedBy>
  <cp:revision>15</cp:revision>
  <dcterms:created xsi:type="dcterms:W3CDTF">2024-07-15T08:39:00Z</dcterms:created>
  <dcterms:modified xsi:type="dcterms:W3CDTF">2024-07-15T12:06:00Z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c40546c9-55b9-4c30-80fd-0058bc0ce5c8</vt:lpwstr>
  </property>
</Properties>
</file>