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B</w:t>
      </w:r>
      <w:r>
        <w:rPr>
          <w:rFonts w:ascii="AppleSystemUIFont" w:hAnsi="AppleSystemUIFont" w:cs="AppleSystemUIFont"/>
          <w:b/>
          <w:bCs/>
          <w:kern w:val="0"/>
          <w:sz w:val="26"/>
          <w:szCs w:val="26"/>
          <w:lang w:val="en-GB"/>
        </w:rPr>
        <w:t>ackground</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Subclavian artery pseudoaneurysms are uncommon vascular lesions that can present significant challenges because of their anatomical location, proximity to major neurovascular structures, and risk of catastrophic </w:t>
      </w:r>
      <w:proofErr w:type="spellStart"/>
      <w:r>
        <w:rPr>
          <w:rFonts w:ascii="AppleSystemUIFont" w:hAnsi="AppleSystemUIFont" w:cs="AppleSystemUIFont"/>
          <w:kern w:val="0"/>
          <w:sz w:val="26"/>
          <w:szCs w:val="26"/>
          <w:lang w:val="en-GB"/>
        </w:rPr>
        <w:t>hemorrhage</w:t>
      </w:r>
      <w:proofErr w:type="spellEnd"/>
      <w:r>
        <w:rPr>
          <w:rFonts w:ascii="AppleSystemUIFont" w:hAnsi="AppleSystemUIFont" w:cs="AppleSystemUIFont"/>
          <w:kern w:val="0"/>
          <w:sz w:val="26"/>
          <w:szCs w:val="26"/>
          <w:lang w:val="en-GB"/>
        </w:rPr>
        <w:t>. Giant pseudoaneurysms with extensive angioinvasion may require unconventional surgical exposure and advanced blood conservation strategies. We present a case of a large right subclavian artery pseudoaneurysm managed by open surgical reconstruction with the use of suction bypass for intraoperative autotransfusion.</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Methods</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 32-year-old male presented with a progressively enlarging swelling in the right supraclavicular region associated with pain radiating to the right upper limb. Imaging revealed a large right subclavian artery pseudoaneurysm with extensive involvement of the surrounding structures. In view of the size and extensive angioinvasion, open surgical repair was planned. Exposure required splitting of the clavicle</w:t>
      </w:r>
      <w:r>
        <w:rPr>
          <w:rFonts w:ascii="AppleSystemUIFont" w:hAnsi="AppleSystemUIFont" w:cs="AppleSystemUIFont"/>
          <w:kern w:val="0"/>
          <w:sz w:val="26"/>
          <w:szCs w:val="26"/>
          <w:lang w:val="en-GB"/>
        </w:rPr>
        <w:t xml:space="preserve"> followed by plating of the fractured segment</w:t>
      </w:r>
      <w:r>
        <w:rPr>
          <w:rFonts w:ascii="AppleSystemUIFont" w:hAnsi="AppleSystemUIFont" w:cs="AppleSystemUIFont"/>
          <w:kern w:val="0"/>
          <w:sz w:val="26"/>
          <w:szCs w:val="26"/>
          <w:lang w:val="en-GB"/>
        </w:rPr>
        <w:t>. A right innominate artery to distal axillary artery bypass was performed using a ringed PTFE graft, with ligation of the pseudoaneurysm. In anticipation of torrential blood loss from the highly vascular pseudoaneurysm, a suction bypass technique was employed using the cardiopulmonary bypass circuit.</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Result</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Extensive angioinvasion and dense vascularity of the pseudoaneurysm made conventional surgical control technically challenging and resulted in significant intraoperative blood loss. The suction bypass system allowed blood aspirated from the operative field to be collected </w:t>
      </w:r>
      <w:r>
        <w:rPr>
          <w:rFonts w:ascii="AppleSystemUIFont" w:hAnsi="AppleSystemUIFont" w:cs="AppleSystemUIFont"/>
          <w:kern w:val="0"/>
          <w:sz w:val="26"/>
          <w:szCs w:val="26"/>
          <w:lang w:val="en-GB"/>
        </w:rPr>
        <w:t xml:space="preserve">and heparinised </w:t>
      </w:r>
      <w:r>
        <w:rPr>
          <w:rFonts w:ascii="AppleSystemUIFont" w:hAnsi="AppleSystemUIFont" w:cs="AppleSystemUIFont"/>
          <w:kern w:val="0"/>
          <w:sz w:val="26"/>
          <w:szCs w:val="26"/>
          <w:lang w:val="en-GB"/>
        </w:rPr>
        <w:t>through the cardiopulmonary bypass suction system and returned directly into the venous line, providing effective autotransfusion of the patient’s own blood. This facilitated maintenance of circulating blood volume during the critical phase of pseudoaneurysm dissection and ligation. The pseudoaneurysm was successfully ligated, and revascularization was achieved with a ringed PTFE graft from the right innominate artery to the distal axillary artery.</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Conclusion</w:t>
      </w:r>
    </w:p>
    <w:p w:rsidR="00404E78" w:rsidRDefault="00404E78" w:rsidP="00404E78">
      <w:pPr>
        <w:autoSpaceDE w:val="0"/>
        <w:autoSpaceDN w:val="0"/>
        <w:adjustRightInd w:val="0"/>
        <w:spacing w:after="0" w:line="240" w:lineRule="auto"/>
        <w:rPr>
          <w:rFonts w:ascii="AppleSystemUIFont" w:hAnsi="AppleSystemUIFont" w:cs="AppleSystemUIFont"/>
          <w:kern w:val="0"/>
          <w:sz w:val="26"/>
          <w:szCs w:val="26"/>
          <w:lang w:val="en-GB"/>
        </w:rPr>
      </w:pPr>
    </w:p>
    <w:p w:rsidR="00404E78" w:rsidRDefault="00404E78" w:rsidP="00404E78">
      <w:r>
        <w:rPr>
          <w:rFonts w:ascii="AppleSystemUIFont" w:hAnsi="AppleSystemUIFont" w:cs="AppleSystemUIFont"/>
          <w:kern w:val="0"/>
          <w:sz w:val="26"/>
          <w:szCs w:val="26"/>
          <w:lang w:val="en-GB"/>
        </w:rPr>
        <w:t xml:space="preserve">Giant subclavian artery pseudoaneurysms with extensive angioinvasion pose formidable challenges in terms of exposure, vascular control, and management of massive blood loss. Clavicular splitting may provide essential exposure in anatomically difficult lesions. The use of suction bypass with autotransfusion through the cardiopulmonary bypass circuit can serve as a valuable blood conservation </w:t>
      </w:r>
      <w:r>
        <w:rPr>
          <w:rFonts w:ascii="AppleSystemUIFont" w:hAnsi="AppleSystemUIFont" w:cs="AppleSystemUIFont"/>
          <w:kern w:val="0"/>
          <w:sz w:val="26"/>
          <w:szCs w:val="26"/>
          <w:lang w:val="en-GB"/>
        </w:rPr>
        <w:lastRenderedPageBreak/>
        <w:t xml:space="preserve">strategy in selected cases where torrential intraoperative </w:t>
      </w:r>
      <w:proofErr w:type="spellStart"/>
      <w:r>
        <w:rPr>
          <w:rFonts w:ascii="AppleSystemUIFont" w:hAnsi="AppleSystemUIFont" w:cs="AppleSystemUIFont"/>
          <w:kern w:val="0"/>
          <w:sz w:val="26"/>
          <w:szCs w:val="26"/>
          <w:lang w:val="en-GB"/>
        </w:rPr>
        <w:t>hemorrhage</w:t>
      </w:r>
      <w:proofErr w:type="spellEnd"/>
      <w:r>
        <w:rPr>
          <w:rFonts w:ascii="AppleSystemUIFont" w:hAnsi="AppleSystemUIFont" w:cs="AppleSystemUIFont"/>
          <w:kern w:val="0"/>
          <w:sz w:val="26"/>
          <w:szCs w:val="26"/>
          <w:lang w:val="en-GB"/>
        </w:rPr>
        <w:t xml:space="preserve"> is anticipated. This case highlights the importance of multidisciplinary planning and innovative use of cardiopulmonary bypass technology in the surgical management of complex peripheral vascular lesions.</w:t>
      </w:r>
    </w:p>
    <w:sectPr w:rsidR="00404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78"/>
    <w:rsid w:val="00404E78"/>
    <w:rsid w:val="00E84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1DA292"/>
  <w15:chartTrackingRefBased/>
  <w15:docId w15:val="{B47D0A0D-F88D-F141-AB7F-D5458EE0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E78"/>
    <w:rPr>
      <w:rFonts w:eastAsiaTheme="majorEastAsia" w:cstheme="majorBidi"/>
      <w:color w:val="272727" w:themeColor="text1" w:themeTint="D8"/>
    </w:rPr>
  </w:style>
  <w:style w:type="paragraph" w:styleId="Title">
    <w:name w:val="Title"/>
    <w:basedOn w:val="Normal"/>
    <w:next w:val="Normal"/>
    <w:link w:val="TitleChar"/>
    <w:uiPriority w:val="10"/>
    <w:qFormat/>
    <w:rsid w:val="00404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E78"/>
    <w:pPr>
      <w:spacing w:before="160"/>
      <w:jc w:val="center"/>
    </w:pPr>
    <w:rPr>
      <w:i/>
      <w:iCs/>
      <w:color w:val="404040" w:themeColor="text1" w:themeTint="BF"/>
    </w:rPr>
  </w:style>
  <w:style w:type="character" w:customStyle="1" w:styleId="QuoteChar">
    <w:name w:val="Quote Char"/>
    <w:basedOn w:val="DefaultParagraphFont"/>
    <w:link w:val="Quote"/>
    <w:uiPriority w:val="29"/>
    <w:rsid w:val="00404E78"/>
    <w:rPr>
      <w:i/>
      <w:iCs/>
      <w:color w:val="404040" w:themeColor="text1" w:themeTint="BF"/>
    </w:rPr>
  </w:style>
  <w:style w:type="paragraph" w:styleId="ListParagraph">
    <w:name w:val="List Paragraph"/>
    <w:basedOn w:val="Normal"/>
    <w:uiPriority w:val="34"/>
    <w:qFormat/>
    <w:rsid w:val="00404E78"/>
    <w:pPr>
      <w:ind w:left="720"/>
      <w:contextualSpacing/>
    </w:pPr>
  </w:style>
  <w:style w:type="character" w:styleId="IntenseEmphasis">
    <w:name w:val="Intense Emphasis"/>
    <w:basedOn w:val="DefaultParagraphFont"/>
    <w:uiPriority w:val="21"/>
    <w:qFormat/>
    <w:rsid w:val="00404E78"/>
    <w:rPr>
      <w:i/>
      <w:iCs/>
      <w:color w:val="2F5496" w:themeColor="accent1" w:themeShade="BF"/>
    </w:rPr>
  </w:style>
  <w:style w:type="paragraph" w:styleId="IntenseQuote">
    <w:name w:val="Intense Quote"/>
    <w:basedOn w:val="Normal"/>
    <w:next w:val="Normal"/>
    <w:link w:val="IntenseQuoteChar"/>
    <w:uiPriority w:val="30"/>
    <w:qFormat/>
    <w:rsid w:val="00404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E78"/>
    <w:rPr>
      <w:i/>
      <w:iCs/>
      <w:color w:val="2F5496" w:themeColor="accent1" w:themeShade="BF"/>
    </w:rPr>
  </w:style>
  <w:style w:type="character" w:styleId="IntenseReference">
    <w:name w:val="Intense Reference"/>
    <w:basedOn w:val="DefaultParagraphFont"/>
    <w:uiPriority w:val="32"/>
    <w:qFormat/>
    <w:rsid w:val="00404E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435</Words>
  <Characters>2316</Characters>
  <Application>Microsoft Office Word</Application>
  <DocSecurity>0</DocSecurity>
  <Lines>68</Lines>
  <Paragraphs>46</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Ramnani</dc:creator>
  <cp:keywords/>
  <dc:description/>
  <cp:lastModifiedBy>Sakshi Ramnani</cp:lastModifiedBy>
  <cp:revision>1</cp:revision>
  <dcterms:created xsi:type="dcterms:W3CDTF">2026-08-18T18:26:00Z</dcterms:created>
  <dcterms:modified xsi:type="dcterms:W3CDTF">2026-08-18T18:29:00Z</dcterms:modified>
</cp:coreProperties>
</file>