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9779F6" w14:textId="39BC5C83" w:rsidR="00980610" w:rsidRDefault="00D06305">
      <w:pPr>
        <w:rPr>
          <w:b/>
          <w:bCs/>
        </w:rPr>
      </w:pPr>
      <w:r>
        <w:rPr>
          <w:b/>
          <w:bCs/>
        </w:rPr>
        <w:t xml:space="preserve">TABLES. </w:t>
      </w:r>
    </w:p>
    <w:p w14:paraId="4613D55D" w14:textId="77777777" w:rsidR="00D06305" w:rsidRPr="00D06305" w:rsidRDefault="00D06305" w:rsidP="00D06305">
      <w:pPr>
        <w:spacing w:before="200" w:after="100" w:line="240" w:lineRule="auto"/>
        <w:rPr>
          <w:rFonts w:ascii="Calibri" w:eastAsia="Calibri" w:hAnsi="Calibri" w:cs="Calibri"/>
          <w:kern w:val="0"/>
          <w:sz w:val="22"/>
          <w:szCs w:val="22"/>
          <w:lang w:val="en-US" w:eastAsia="en-US"/>
          <w14:ligatures w14:val="none"/>
        </w:rPr>
      </w:pPr>
      <w:r w:rsidRPr="00D06305">
        <w:rPr>
          <w:rFonts w:ascii="Calibri" w:eastAsia="Calibri" w:hAnsi="Calibri" w:cs="Calibri"/>
          <w:b/>
          <w:bCs/>
          <w:kern w:val="0"/>
          <w:sz w:val="22"/>
          <w:szCs w:val="22"/>
          <w:lang w:val="en-US" w:eastAsia="en-US"/>
          <w14:ligatures w14:val="none"/>
        </w:rPr>
        <w:t>Table 1. Immediate Postoperative (Pre-Discharge) Echocardiographic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50"/>
        <w:gridCol w:w="1950"/>
        <w:gridCol w:w="1550"/>
        <w:gridCol w:w="1550"/>
      </w:tblGrid>
      <w:tr w:rsidR="00D06305" w:rsidRPr="00D06305" w14:paraId="0112FB69" w14:textId="77777777" w:rsidTr="00206978">
        <w:trPr>
          <w:tblHeader/>
        </w:trPr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186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Parameter</w:t>
            </w:r>
          </w:p>
        </w:tc>
        <w:tc>
          <w:tcPr>
            <w:tcW w:w="1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E8D38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Literature range — mechanical</w:t>
            </w:r>
          </w:p>
        </w:tc>
        <w:tc>
          <w:tcPr>
            <w:tcW w:w="1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A112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Literature range — bioprosthetic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C0662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Cohort — mechanical n=70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DA51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Cohort — bioprosthetic n=80</w:t>
            </w:r>
          </w:p>
        </w:tc>
      </w:tr>
      <w:tr w:rsidR="00D06305" w:rsidRPr="00D06305" w14:paraId="2B3DCC72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3AA75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Mean gradient (mmHg)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F3700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12–20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DE0E7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8–14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9D8F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15.8 ± 3.4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4FD1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10.4 ± 2.6</w:t>
            </w:r>
          </w:p>
        </w:tc>
      </w:tr>
      <w:tr w:rsidR="00D06305" w:rsidRPr="00D06305" w14:paraId="4B13D266" w14:textId="77777777" w:rsidTr="00206978"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905A1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Peak jet velocity (m/s)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F7F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2.0–2.6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5A2E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1.6–2.2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F9C89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2.3 ± 0.3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4F6FA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1.9 ± 0.2</w:t>
            </w:r>
          </w:p>
        </w:tc>
      </w:tr>
      <w:tr w:rsidR="00D06305" w:rsidRPr="00D06305" w14:paraId="3E1F706D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7D61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Valve function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C269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in most; low PVL rate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1D9F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in most; low PVL rate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D30AF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15/16 (93.8%); 1 trivial PVL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16DD5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18/19 (94.7%); 1 trivial PVL</w:t>
            </w:r>
          </w:p>
        </w:tc>
      </w:tr>
      <w:tr w:rsidR="00D06305" w:rsidRPr="00D06305" w14:paraId="213B2140" w14:textId="77777777" w:rsidTr="00206978"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8DC97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LV end-diastolic dimension (mm)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36246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48–55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DF3F7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48–54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3115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52.1 ± 4.2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8D11D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50.8 ± 3.9</w:t>
            </w:r>
          </w:p>
        </w:tc>
      </w:tr>
      <w:tr w:rsidR="00D06305" w:rsidRPr="00D06305" w14:paraId="45FDDC7B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75450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EF (%)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6685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50–58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BAD8B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52–58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D944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54.6 ± 5.1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098A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55.3 ± 4.8</w:t>
            </w:r>
          </w:p>
        </w:tc>
      </w:tr>
    </w:tbl>
    <w:p w14:paraId="3700435C" w14:textId="77777777" w:rsidR="00D06305" w:rsidRPr="00D06305" w:rsidRDefault="00D06305" w:rsidP="00D06305">
      <w:pPr>
        <w:spacing w:before="200" w:after="100" w:line="240" w:lineRule="auto"/>
        <w:rPr>
          <w:rFonts w:ascii="Calibri" w:eastAsia="Calibri" w:hAnsi="Calibri" w:cs="Calibri"/>
          <w:kern w:val="0"/>
          <w:sz w:val="22"/>
          <w:szCs w:val="22"/>
          <w:lang w:val="en-US" w:eastAsia="en-US"/>
          <w14:ligatures w14:val="none"/>
        </w:rPr>
      </w:pPr>
      <w:r w:rsidRPr="00D06305">
        <w:rPr>
          <w:rFonts w:ascii="Calibri" w:eastAsia="Calibri" w:hAnsi="Calibri" w:cs="Calibri"/>
          <w:b/>
          <w:bCs/>
          <w:kern w:val="0"/>
          <w:sz w:val="22"/>
          <w:szCs w:val="22"/>
          <w:lang w:val="en-US" w:eastAsia="en-US"/>
          <w14:ligatures w14:val="none"/>
        </w:rPr>
        <w:t>Table 2. 6-Month Follow-up Echocardiographic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50"/>
        <w:gridCol w:w="1950"/>
        <w:gridCol w:w="1550"/>
        <w:gridCol w:w="1550"/>
      </w:tblGrid>
      <w:tr w:rsidR="00D06305" w:rsidRPr="00D06305" w14:paraId="792FA7E9" w14:textId="77777777" w:rsidTr="00206978">
        <w:trPr>
          <w:tblHeader/>
        </w:trPr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4F0BF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Parameter</w:t>
            </w:r>
          </w:p>
        </w:tc>
        <w:tc>
          <w:tcPr>
            <w:tcW w:w="1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49E70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Literature range — mechanical</w:t>
            </w:r>
          </w:p>
        </w:tc>
        <w:tc>
          <w:tcPr>
            <w:tcW w:w="1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EFA5E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Literature range — bioprosthetic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AD29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Cohort — mechanical n=70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BC89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Cohort — bioprosthetic n=80</w:t>
            </w:r>
          </w:p>
        </w:tc>
      </w:tr>
      <w:tr w:rsidR="00D06305" w:rsidRPr="00D06305" w14:paraId="366CB0BE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9952C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Mean gradient (mmHg)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C98A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11–17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B03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9–13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DF03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14.1 ± 3.0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A618A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9.8 ± 2.2</w:t>
            </w:r>
          </w:p>
        </w:tc>
      </w:tr>
      <w:tr w:rsidR="00D06305" w:rsidRPr="00D06305" w14:paraId="0C67E74C" w14:textId="77777777" w:rsidTr="00206978"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390D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Peak jet velocity (m/s)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A5AE6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1.9–2.4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E05B7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1.7–2.1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3E5B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2.1 ± 0.3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1315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1.8 ± 0.2</w:t>
            </w:r>
          </w:p>
        </w:tc>
      </w:tr>
      <w:tr w:rsidR="00D06305" w:rsidRPr="00D06305" w14:paraId="73764BA9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0F9D9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Valve function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DA5E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Stable; INR-dependent thrombus surveillance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1EE2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Stable; no anticoagulation needed beyond initial period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FFBA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16/16 (100%)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5211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17/18 (94.4%); 1 mild PVL, unchanged</w:t>
            </w:r>
          </w:p>
        </w:tc>
      </w:tr>
      <w:tr w:rsidR="00D06305" w:rsidRPr="00D06305" w14:paraId="0B01A8E0" w14:textId="77777777" w:rsidTr="00206978"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18B68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LV end-diastolic dimension (mm)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DD5BF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46–52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DC65E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46–51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F703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49.5 ± 3.8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1977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48.6 ± 3.5</w:t>
            </w:r>
          </w:p>
        </w:tc>
      </w:tr>
      <w:tr w:rsidR="00D06305" w:rsidRPr="00D06305" w14:paraId="5D3B55EF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84728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EF (%)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A2B3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52–60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6659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54–60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3C73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56.8 ± 4.6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6D2A2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57.1 ± 4.3</w:t>
            </w:r>
          </w:p>
        </w:tc>
      </w:tr>
    </w:tbl>
    <w:p w14:paraId="485C9DCC" w14:textId="77777777" w:rsidR="00D06305" w:rsidRPr="00D06305" w:rsidRDefault="00D06305" w:rsidP="00D06305">
      <w:pPr>
        <w:spacing w:before="200" w:after="100" w:line="240" w:lineRule="auto"/>
        <w:rPr>
          <w:rFonts w:ascii="Calibri" w:eastAsia="Calibri" w:hAnsi="Calibri" w:cs="Calibri"/>
          <w:kern w:val="0"/>
          <w:sz w:val="22"/>
          <w:szCs w:val="22"/>
          <w:lang w:val="en-US" w:eastAsia="en-US"/>
          <w14:ligatures w14:val="none"/>
        </w:rPr>
      </w:pPr>
      <w:r w:rsidRPr="00D06305">
        <w:rPr>
          <w:rFonts w:ascii="Calibri" w:eastAsia="Calibri" w:hAnsi="Calibri" w:cs="Calibri"/>
          <w:b/>
          <w:bCs/>
          <w:kern w:val="0"/>
          <w:sz w:val="22"/>
          <w:szCs w:val="22"/>
          <w:lang w:val="en-US" w:eastAsia="en-US"/>
          <w14:ligatures w14:val="none"/>
        </w:rPr>
        <w:t>Table 3. 1-Year Follow-up Echocardiographic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50"/>
        <w:gridCol w:w="1950"/>
        <w:gridCol w:w="1550"/>
        <w:gridCol w:w="1550"/>
      </w:tblGrid>
      <w:tr w:rsidR="00D06305" w:rsidRPr="00D06305" w14:paraId="4F46713A" w14:textId="77777777" w:rsidTr="00206978">
        <w:trPr>
          <w:tblHeader/>
        </w:trPr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E6B23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Parameter</w:t>
            </w:r>
          </w:p>
        </w:tc>
        <w:tc>
          <w:tcPr>
            <w:tcW w:w="1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0D0E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Literature range — mechanical</w:t>
            </w:r>
          </w:p>
        </w:tc>
        <w:tc>
          <w:tcPr>
            <w:tcW w:w="19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96FD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Literature range — bioprosthetic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F51C8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Cohort — mechanical n=70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58BF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Cohort — bioprosthetic n=80</w:t>
            </w:r>
          </w:p>
        </w:tc>
      </w:tr>
      <w:tr w:rsidR="00D06305" w:rsidRPr="00D06305" w14:paraId="30D816C8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8FBE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Mean gradient (mmHg)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1456A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10–16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0C1BB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8–12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150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13.6 ± 2.8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55FC7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9.5 ± 2.0</w:t>
            </w:r>
          </w:p>
        </w:tc>
      </w:tr>
      <w:tr w:rsidR="00D06305" w:rsidRPr="00D06305" w14:paraId="6A8D505D" w14:textId="77777777" w:rsidTr="00206978"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EC70D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Peak jet velocity (m/s)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73A1B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1.8–2.3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E55D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1.6–2.0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80C88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2.0 ± 0.2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9EE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1.7 ± 0.2</w:t>
            </w:r>
          </w:p>
        </w:tc>
      </w:tr>
      <w:tr w:rsidR="00D06305" w:rsidRPr="00D06305" w14:paraId="67B0ECBA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10130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Valve function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5C84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Normal; occasional PVL noted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4F1C5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Normal; early degeneration rare at 1 year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E6CA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14/15 (93.3%); 1 mild PVL, conservatively managed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18D28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Normal 16/17 (94.1%); 1 asymptomatic leaflet thickening on surveillance</w:t>
            </w:r>
          </w:p>
        </w:tc>
      </w:tr>
      <w:tr w:rsidR="00D06305" w:rsidRPr="00D06305" w14:paraId="49F2DEFE" w14:textId="77777777" w:rsidTr="00206978"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69A6D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LV end-diastolic dimension (mm)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F0EEE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45–51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C974E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45–50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52D2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48.2 ± 3.6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00B5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47.9 ± 3.3</w:t>
            </w:r>
          </w:p>
        </w:tc>
      </w:tr>
      <w:tr w:rsidR="00D06305" w:rsidRPr="00D06305" w14:paraId="6D8A7141" w14:textId="77777777" w:rsidTr="00206978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9BCE" w14:textId="77777777" w:rsidR="00D06305" w:rsidRPr="00D06305" w:rsidRDefault="00D06305" w:rsidP="00D06305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EF (%)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2E609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53–60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A396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54–61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393CC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57.5 ± 4.4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9DEF1" w14:textId="77777777" w:rsidR="00D06305" w:rsidRPr="00D06305" w:rsidRDefault="00D06305" w:rsidP="00D06305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D06305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58.0 ± 4.1</w:t>
            </w:r>
          </w:p>
        </w:tc>
      </w:tr>
    </w:tbl>
    <w:p w14:paraId="4FA34827" w14:textId="77777777" w:rsidR="00D06305" w:rsidRDefault="00D06305"/>
    <w:p w14:paraId="5E29D2B0" w14:textId="77777777" w:rsidR="00EF18B7" w:rsidRPr="00EF18B7" w:rsidRDefault="00EF18B7" w:rsidP="00EF18B7">
      <w:pPr>
        <w:spacing w:before="200" w:after="100" w:line="240" w:lineRule="auto"/>
        <w:rPr>
          <w:rFonts w:ascii="Calibri" w:eastAsia="Calibri" w:hAnsi="Calibri" w:cs="Calibri"/>
          <w:kern w:val="0"/>
          <w:sz w:val="22"/>
          <w:szCs w:val="22"/>
          <w:lang w:val="en-US" w:eastAsia="en-US"/>
          <w14:ligatures w14:val="none"/>
        </w:rPr>
      </w:pPr>
      <w:r w:rsidRPr="00EF18B7">
        <w:rPr>
          <w:rFonts w:ascii="Calibri" w:eastAsia="Calibri" w:hAnsi="Calibri" w:cs="Calibri"/>
          <w:b/>
          <w:bCs/>
          <w:kern w:val="0"/>
          <w:sz w:val="22"/>
          <w:szCs w:val="22"/>
          <w:lang w:val="en-US" w:eastAsia="en-US"/>
          <w14:ligatures w14:val="none"/>
        </w:rPr>
        <w:t>Table 4. Summary of 2020 ACC/AHA Recommendations on Valve Prosthesis Choice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5"/>
        <w:gridCol w:w="3629"/>
        <w:gridCol w:w="1636"/>
      </w:tblGrid>
      <w:tr w:rsidR="00EF18B7" w:rsidRPr="00EF18B7" w14:paraId="4DEE1C63" w14:textId="77777777" w:rsidTr="00206978"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8BDF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Patient scenario</w:t>
            </w:r>
          </w:p>
        </w:tc>
        <w:tc>
          <w:tcPr>
            <w:tcW w:w="3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ACFF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Recommendation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79B50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US"/>
                <w14:ligatures w14:val="none"/>
              </w:rPr>
              <w:t>Class of recommendation</w:t>
            </w:r>
          </w:p>
        </w:tc>
      </w:tr>
      <w:tr w:rsidR="00EF18B7" w:rsidRPr="00EF18B7" w14:paraId="1F965981" w14:textId="77777777" w:rsidTr="00206978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D104" w14:textId="77777777" w:rsidR="00EF18B7" w:rsidRPr="00EF18B7" w:rsidRDefault="00EF18B7" w:rsidP="00EF18B7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Age &lt;50 years, no contraindication to anticoagulation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5221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Reasonable to consider a mechanical valve over bioprosthetic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9A75C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IIa</w:t>
            </w:r>
          </w:p>
        </w:tc>
      </w:tr>
      <w:tr w:rsidR="00EF18B7" w:rsidRPr="00EF18B7" w14:paraId="77A559BE" w14:textId="77777777" w:rsidTr="00206978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45E9C" w14:textId="77777777" w:rsidR="00EF18B7" w:rsidRPr="00EF18B7" w:rsidRDefault="00EF18B7" w:rsidP="00EF18B7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Age 50–65 years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8214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Either mechanical or bioprosthetic is reasonable; individualize by shared decision-making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11952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IIa</w:t>
            </w:r>
          </w:p>
        </w:tc>
      </w:tr>
      <w:tr w:rsidR="00EF18B7" w:rsidRPr="00EF18B7" w14:paraId="27E6E455" w14:textId="77777777" w:rsidTr="00206978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D113" w14:textId="77777777" w:rsidR="00EF18B7" w:rsidRPr="00EF18B7" w:rsidRDefault="00EF18B7" w:rsidP="00EF18B7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Age &gt;65 years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193E8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Bioprosthetic valve is reasonable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3E222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IIa</w:t>
            </w:r>
          </w:p>
        </w:tc>
      </w:tr>
      <w:tr w:rsidR="00EF18B7" w:rsidRPr="00EF18B7" w14:paraId="1A3D6966" w14:textId="77777777" w:rsidTr="00206978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24A46" w14:textId="77777777" w:rsidR="00EF18B7" w:rsidRPr="00EF18B7" w:rsidRDefault="00EF18B7" w:rsidP="00EF18B7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Any age, anticoagulation not desired/feasible/contraindicated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3E84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Bioprosthetic valve recommended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314B0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</w:t>
            </w:r>
          </w:p>
        </w:tc>
      </w:tr>
      <w:tr w:rsidR="00EF18B7" w:rsidRPr="00EF18B7" w14:paraId="039E3ACD" w14:textId="77777777" w:rsidTr="00206978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13024" w14:textId="77777777" w:rsidR="00EF18B7" w:rsidRPr="00EF18B7" w:rsidRDefault="00EF18B7" w:rsidP="00EF18B7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Women considering future pregnancy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0B6DC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Bioprosthetic valve favoured to avoid teratogenic anticoagulant exposure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F155" w14:textId="77777777" w:rsidR="00EF18B7" w:rsidRPr="00EF18B7" w:rsidRDefault="00EF18B7" w:rsidP="00EF18B7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en-US" w:eastAsia="en-US"/>
                <w14:ligatures w14:val="none"/>
              </w:rPr>
            </w:pPr>
            <w:r w:rsidRPr="00EF18B7">
              <w:rPr>
                <w:rFonts w:ascii="Calibri" w:eastAsia="Calibri" w:hAnsi="Calibri" w:cs="Calibri"/>
                <w:color w:val="000000"/>
                <w:kern w:val="0"/>
                <w:sz w:val="20"/>
                <w:szCs w:val="20"/>
                <w:lang w:val="en-US" w:eastAsia="en-US"/>
                <w14:ligatures w14:val="none"/>
              </w:rPr>
              <w:t>IIa (expert consensus)</w:t>
            </w:r>
          </w:p>
        </w:tc>
      </w:tr>
    </w:tbl>
    <w:p w14:paraId="1DD3B740" w14:textId="77777777" w:rsidR="00EF18B7" w:rsidRPr="00D06305" w:rsidRDefault="00EF18B7"/>
    <w:sectPr w:rsidR="00EF18B7" w:rsidRPr="00D0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10"/>
    <w:rsid w:val="00980610"/>
    <w:rsid w:val="00D06305"/>
    <w:rsid w:val="00EF18B7"/>
    <w:rsid w:val="00FB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5F99D"/>
  <w15:chartTrackingRefBased/>
  <w15:docId w15:val="{9A587A9B-1EDB-CF46-9066-63946CFC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Roota Sukharam</dc:creator>
  <cp:keywords/>
  <dc:description/>
  <cp:lastModifiedBy>Roota Sukharam</cp:lastModifiedBy>
  <cp:revision>2</cp:revision>
  <dcterms:created xsi:type="dcterms:W3CDTF">2026-09-14T11:21:00Z</dcterms:created>
  <dcterms:modified xsi:type="dcterms:W3CDTF">2026-09-14T11:21:00Z</dcterms:modified>
</cp:coreProperties>
</file>