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EA4C" w14:textId="77777777" w:rsidR="00191FD3" w:rsidRDefault="00191FD3" w:rsidP="00191FD3">
      <w:pPr>
        <w:jc w:val="center"/>
        <w:rPr>
          <w:rFonts w:ascii="Calibri" w:hAnsi="Calibri" w:cs="Calibri"/>
          <w:b/>
          <w:bCs/>
          <w:sz w:val="28"/>
          <w:szCs w:val="28"/>
          <w:lang w:val="en-GB"/>
        </w:rPr>
      </w:pPr>
      <w:r>
        <w:rPr>
          <w:rFonts w:ascii="Calibri" w:hAnsi="Calibri" w:cs="Calibri"/>
          <w:b/>
          <w:bCs/>
          <w:sz w:val="28"/>
          <w:szCs w:val="28"/>
        </w:rPr>
        <w:t>Next-Generation Sequencing for C</w:t>
      </w:r>
      <w:r>
        <w:rPr>
          <w:rFonts w:ascii="Calibri" w:hAnsi="Calibri" w:cs="Calibri"/>
          <w:b/>
          <w:bCs/>
          <w:sz w:val="28"/>
          <w:szCs w:val="28"/>
          <w:lang w:val="en-GB"/>
        </w:rPr>
        <w:t>ystic kidney Disease</w:t>
      </w:r>
      <w:r>
        <w:rPr>
          <w:rFonts w:ascii="Calibri" w:hAnsi="Calibri" w:cs="Calibri"/>
          <w:b/>
          <w:bCs/>
          <w:sz w:val="28"/>
          <w:szCs w:val="28"/>
        </w:rPr>
        <w:t>:</w:t>
      </w:r>
      <w:r>
        <w:rPr>
          <w:rFonts w:ascii="Calibri" w:hAnsi="Calibri" w:cs="Calibri"/>
          <w:b/>
          <w:bCs/>
          <w:sz w:val="28"/>
          <w:szCs w:val="28"/>
          <w:lang w:val="en-GB"/>
        </w:rPr>
        <w:t xml:space="preserve"> </w:t>
      </w:r>
    </w:p>
    <w:p w14:paraId="6F6A46A4" w14:textId="77777777" w:rsidR="00191FD3" w:rsidRDefault="00191FD3" w:rsidP="00191FD3">
      <w:pPr>
        <w:jc w:val="center"/>
        <w:rPr>
          <w:rFonts w:ascii="Calibri" w:hAnsi="Calibri" w:cs="Calibri"/>
          <w:b/>
          <w:bCs/>
          <w:sz w:val="28"/>
          <w:szCs w:val="28"/>
        </w:rPr>
      </w:pPr>
      <w:r>
        <w:rPr>
          <w:rFonts w:ascii="Calibri" w:hAnsi="Calibri" w:cs="Calibri"/>
          <w:b/>
          <w:bCs/>
          <w:sz w:val="28"/>
          <w:szCs w:val="28"/>
        </w:rPr>
        <w:t>A Multi-Center Cross-Sectional Study from India</w:t>
      </w:r>
    </w:p>
    <w:p w14:paraId="5B24E408" w14:textId="77777777" w:rsidR="00191FD3" w:rsidRDefault="00191FD3" w:rsidP="00191FD3">
      <w:pPr>
        <w:rPr>
          <w:rFonts w:ascii="Calibri" w:hAnsi="Calibri" w:cs="Calibri"/>
          <w:sz w:val="28"/>
          <w:szCs w:val="28"/>
          <w:lang w:val="en-GB"/>
        </w:rPr>
      </w:pPr>
    </w:p>
    <w:p w14:paraId="314CFAD2" w14:textId="77777777" w:rsidR="00191FD3" w:rsidRPr="00F46B31" w:rsidRDefault="00191FD3" w:rsidP="00191FD3">
      <w:pPr>
        <w:jc w:val="both"/>
        <w:rPr>
          <w:rFonts w:ascii="Calibri" w:hAnsi="Calibri" w:cs="Calibri"/>
          <w:lang w:val="en-GB"/>
        </w:rPr>
      </w:pPr>
      <w:r w:rsidRPr="00F46B31">
        <w:t xml:space="preserve"> Dr Rajiv Sinha , </w:t>
      </w:r>
      <w:r w:rsidRPr="00F46B31">
        <w:rPr>
          <w:b/>
          <w:bCs/>
        </w:rPr>
        <w:t>Dr Deblina Dasgupta</w:t>
      </w:r>
      <w:r w:rsidRPr="00F46B31">
        <w:t xml:space="preserve">, Dr Dipanjana Datta, Dr Siddharth. </w:t>
      </w:r>
      <w:r w:rsidRPr="00F46B31">
        <w:rPr>
          <w:rFonts w:ascii="Calibri" w:hAnsi="Calibri" w:cs="Calibri"/>
          <w:lang w:val="en-GB"/>
        </w:rPr>
        <w:t xml:space="preserve">K. Sethi ,Dr Sudarshan,  Dr Subual Pradhan ,  Dr Manoj Matnani, Dr Kiran Sathe , Dr Shivani Bansal, Dr Kaushik Mandal , Dr Rufaida, </w:t>
      </w:r>
      <w:r w:rsidRPr="00F46B31">
        <w:rPr>
          <w:rFonts w:ascii="Calibri" w:eastAsia="SimSun" w:hAnsi="Calibri" w:cs="Calibri"/>
          <w:color w:val="000000"/>
          <w:shd w:val="clear" w:color="auto" w:fill="FFFFFF"/>
        </w:rPr>
        <w:t>Dr. Md Abu Bakkar Siddique</w:t>
      </w:r>
      <w:r w:rsidRPr="00F46B31">
        <w:rPr>
          <w:rFonts w:ascii="Calibri" w:eastAsia="SimSun" w:hAnsi="Calibri" w:cs="Calibri"/>
          <w:color w:val="000000"/>
          <w:shd w:val="clear" w:color="auto" w:fill="FFFFFF"/>
          <w:lang w:val="en-GB"/>
        </w:rPr>
        <w:t xml:space="preserve">, </w:t>
      </w:r>
      <w:r w:rsidRPr="00F46B31">
        <w:rPr>
          <w:rFonts w:ascii="Calibri" w:eastAsia="SimSun" w:hAnsi="Calibri" w:cs="Calibri"/>
          <w:color w:val="000000"/>
          <w:shd w:val="clear" w:color="auto" w:fill="FFFFFF"/>
        </w:rPr>
        <w:t>Dr. Sudha Ekambaram</w:t>
      </w:r>
      <w:r w:rsidRPr="00F46B31">
        <w:rPr>
          <w:rFonts w:ascii="Calibri" w:eastAsia="SimSun" w:hAnsi="Calibri" w:cs="Calibri"/>
          <w:color w:val="000000"/>
          <w:shd w:val="clear" w:color="auto" w:fill="FFFFFF"/>
          <w:lang w:val="en-GB"/>
        </w:rPr>
        <w:t>, Dr Swarnim</w:t>
      </w:r>
    </w:p>
    <w:p w14:paraId="713F240D" w14:textId="77777777" w:rsidR="00191FD3" w:rsidRDefault="00191FD3" w:rsidP="00191FD3"/>
    <w:p w14:paraId="1E56F7CB" w14:textId="77777777" w:rsidR="00191FD3" w:rsidRDefault="00191FD3" w:rsidP="00191FD3">
      <w:pPr>
        <w:jc w:val="both"/>
        <w:rPr>
          <w:lang w:val="en-GB"/>
        </w:rPr>
      </w:pPr>
      <w:r>
        <w:rPr>
          <w:lang w:val="en-GB"/>
        </w:rPr>
        <w:t xml:space="preserve">Institute of Child Health,Medanta ,Jehangir Hospital,    </w:t>
      </w:r>
      <w:r>
        <w:rPr>
          <w:rFonts w:ascii="Times New Roman" w:eastAsia="SimSun" w:hAnsi="Times New Roman" w:cs="Times New Roman"/>
          <w:color w:val="000000"/>
          <w:sz w:val="19"/>
          <w:szCs w:val="19"/>
          <w:shd w:val="clear" w:color="auto" w:fill="FFFFFF"/>
          <w:lang w:val="en-GB"/>
        </w:rPr>
        <w:t>JIPMER,</w:t>
      </w:r>
      <w:r>
        <w:rPr>
          <w:lang w:val="en-GB"/>
        </w:rPr>
        <w:t xml:space="preserve"> SCB- Cuttuck , </w:t>
      </w:r>
      <w:r>
        <w:rPr>
          <w:rFonts w:ascii="Times New Roman" w:eastAsia="SimSun" w:hAnsi="Times New Roman" w:cs="Times New Roman"/>
          <w:color w:val="000000"/>
          <w:sz w:val="19"/>
          <w:szCs w:val="19"/>
          <w:shd w:val="clear" w:color="auto" w:fill="FFFFFF"/>
        </w:rPr>
        <w:t>MAMC</w:t>
      </w:r>
      <w:r>
        <w:rPr>
          <w:rFonts w:ascii="Times New Roman" w:eastAsia="SimSun" w:hAnsi="Times New Roman" w:cs="Times New Roman"/>
          <w:color w:val="000000"/>
          <w:sz w:val="19"/>
          <w:szCs w:val="19"/>
          <w:shd w:val="clear" w:color="auto" w:fill="FFFFFF"/>
          <w:lang w:val="en-GB"/>
        </w:rPr>
        <w:t xml:space="preserve">, </w:t>
      </w:r>
      <w:r>
        <w:rPr>
          <w:rFonts w:ascii="Times New Roman" w:eastAsia="SimSun" w:hAnsi="Times New Roman" w:cs="Times New Roman"/>
          <w:color w:val="000000"/>
          <w:sz w:val="19"/>
          <w:szCs w:val="19"/>
          <w:shd w:val="clear" w:color="auto" w:fill="FFFFFF"/>
        </w:rPr>
        <w:t>Jawaharlal Nehru Medical College, AMU, Augarh</w:t>
      </w:r>
      <w:r>
        <w:rPr>
          <w:rFonts w:ascii="Times New Roman" w:eastAsia="SimSun" w:hAnsi="Times New Roman" w:cs="Times New Roman"/>
          <w:color w:val="000000"/>
          <w:sz w:val="19"/>
          <w:szCs w:val="19"/>
          <w:shd w:val="clear" w:color="auto" w:fill="FFFFFF"/>
          <w:lang w:val="en-GB"/>
        </w:rPr>
        <w:t xml:space="preserve">, </w:t>
      </w:r>
      <w:r>
        <w:rPr>
          <w:rFonts w:ascii="Times New Roman" w:eastAsia="SimSun" w:hAnsi="Times New Roman" w:cs="Times New Roman"/>
          <w:color w:val="000000"/>
          <w:sz w:val="19"/>
          <w:szCs w:val="19"/>
          <w:shd w:val="clear" w:color="auto" w:fill="FFFFFF"/>
        </w:rPr>
        <w:t>GMC Clinic, Jalandhar</w:t>
      </w:r>
      <w:r>
        <w:rPr>
          <w:rFonts w:ascii="Times New Roman" w:eastAsia="SimSun" w:hAnsi="Times New Roman" w:cs="Times New Roman"/>
          <w:color w:val="000000"/>
          <w:sz w:val="19"/>
          <w:szCs w:val="19"/>
          <w:shd w:val="clear" w:color="auto" w:fill="FFFFFF"/>
          <w:lang w:val="en-GB"/>
        </w:rPr>
        <w:t xml:space="preserve">,  </w:t>
      </w:r>
      <w:r>
        <w:rPr>
          <w:rFonts w:ascii="Times New Roman" w:eastAsia="SimSun" w:hAnsi="Times New Roman" w:cs="Times New Roman"/>
          <w:color w:val="000000"/>
          <w:sz w:val="19"/>
          <w:szCs w:val="19"/>
          <w:shd w:val="clear" w:color="auto" w:fill="FFFFFF"/>
        </w:rPr>
        <w:t>Apollo Children Hospital, Chennai</w:t>
      </w:r>
      <w:r>
        <w:rPr>
          <w:rFonts w:ascii="Times New Roman" w:eastAsia="SimSun" w:hAnsi="Times New Roman" w:cs="Times New Roman"/>
          <w:color w:val="000000"/>
          <w:sz w:val="19"/>
          <w:szCs w:val="19"/>
          <w:shd w:val="clear" w:color="auto" w:fill="FFFFFF"/>
          <w:lang w:val="en-GB"/>
        </w:rPr>
        <w:t xml:space="preserve">, AIIMS PAtna , </w:t>
      </w:r>
      <w:r>
        <w:rPr>
          <w:rFonts w:ascii="Times New Roman" w:eastAsia="SimSun" w:hAnsi="Times New Roman" w:cs="Times New Roman"/>
          <w:color w:val="000000"/>
          <w:sz w:val="19"/>
          <w:szCs w:val="19"/>
          <w:shd w:val="clear" w:color="auto" w:fill="FFFFFF"/>
        </w:rPr>
        <w:t>BSMMU-Dhaka</w:t>
      </w:r>
      <w:r>
        <w:rPr>
          <w:rFonts w:ascii="Times New Roman" w:eastAsia="SimSun" w:hAnsi="Times New Roman" w:cs="Times New Roman"/>
          <w:color w:val="000000"/>
          <w:sz w:val="19"/>
          <w:szCs w:val="19"/>
          <w:shd w:val="clear" w:color="auto" w:fill="FFFFFF"/>
          <w:lang w:val="en-GB"/>
        </w:rPr>
        <w:t xml:space="preserve">, </w:t>
      </w:r>
    </w:p>
    <w:p w14:paraId="12BD0A64" w14:textId="4F7C2077" w:rsidR="00191FD3" w:rsidRDefault="00191FD3" w:rsidP="00191FD3">
      <w:r w:rsidRPr="00191FD3">
        <w:rPr>
          <w:b/>
          <w:bCs/>
        </w:rPr>
        <w:t xml:space="preserve"> Back Ground  :</w:t>
      </w:r>
      <w:r>
        <w:t xml:space="preserve">  Cystic kidney diseases are diverse disorders affecting children, contributing significantly to chronic kidney disease. Autosomal recessive polycystic kidney disease (ARPKD) alone affects up to 5% of children with end-stage renal disease. In 2020, cystic kidney diseases accounted for 6% of pediatric chronic kidney disease cases in India, highlighting their impact. Early detection is crucial for implementing kidney-protective measures.</w:t>
      </w:r>
    </w:p>
    <w:p w14:paraId="79446A87" w14:textId="50B7C7FF" w:rsidR="00191FD3" w:rsidRDefault="00191FD3" w:rsidP="00191FD3">
      <w:r>
        <w:t xml:space="preserve"> </w:t>
      </w:r>
    </w:p>
    <w:p w14:paraId="1A5E9C25" w14:textId="78CC8D31" w:rsidR="00191FD3" w:rsidRDefault="00191FD3" w:rsidP="00191FD3">
      <w:r w:rsidRPr="00191FD3">
        <w:rPr>
          <w:b/>
          <w:bCs/>
        </w:rPr>
        <w:t>Objective :</w:t>
      </w:r>
      <w:r>
        <w:t xml:space="preserve">   To understand the disease etiology in India  , the genetic spectrum  and to identify the at risk population .</w:t>
      </w:r>
    </w:p>
    <w:p w14:paraId="50B7BE55" w14:textId="1889B40C" w:rsidR="00191FD3" w:rsidRDefault="00191FD3" w:rsidP="00191FD3">
      <w:pPr>
        <w:jc w:val="both"/>
      </w:pPr>
      <w:r w:rsidRPr="00191FD3">
        <w:rPr>
          <w:b/>
          <w:bCs/>
        </w:rPr>
        <w:t xml:space="preserve"> Methodology   :</w:t>
      </w:r>
      <w:r>
        <w:t xml:space="preserve"> </w:t>
      </w:r>
      <w:r w:rsidRPr="00191FD3">
        <w:t>A study across 13 centers aimed to uncover the genetic causes of cystic kidney disease in Indian patients using whole exome sequencing. Among 104 patients screened from 2021 to 2024, a genetic etiology was identified in 40% of cases.  In  our cohort more male were affected than females.  Average age of presentation was 7.5 yrs</w:t>
      </w:r>
      <w:r>
        <w:t>, hwoever, the age of presentation was lower for ARPKD as a subset</w:t>
      </w:r>
      <w:r w:rsidRPr="00191FD3">
        <w:t xml:space="preserve">. However, over 60% of variants were classified as variants of uncertain significance (VUS), underscoring diagnostic challenges. Notably, mutations in TSC2 and NPHP1 genes </w:t>
      </w:r>
      <w:r>
        <w:t xml:space="preserve"> had a  higher diagnostic yield  ( about 60 %)  while  PKHD1 and PKD1 had lower yield  ( about 40 % ) . </w:t>
      </w:r>
      <w:r w:rsidRPr="00191FD3">
        <w:t xml:space="preserve"> The study emphasized the importance of family studies and clinical correlation to interpret genetic findings accurately.</w:t>
      </w:r>
      <w:r>
        <w:t xml:space="preserve"> </w:t>
      </w:r>
      <w:r>
        <w:rPr>
          <w:sz w:val="24"/>
          <w:szCs w:val="24"/>
        </w:rPr>
        <w:t xml:space="preserve"> </w:t>
      </w:r>
    </w:p>
    <w:p w14:paraId="556CE0B0" w14:textId="76403DCE" w:rsidR="00BE1FB1" w:rsidRDefault="00191FD3" w:rsidP="00191FD3">
      <w:r>
        <w:t xml:space="preserve"> </w:t>
      </w:r>
      <w:r w:rsidRPr="00191FD3">
        <w:rPr>
          <w:b/>
          <w:bCs/>
        </w:rPr>
        <w:t>Conclusion  :</w:t>
      </w:r>
      <w:r>
        <w:t xml:space="preserve"> Understanding these genetic underpinnings is crucial for improving quality of life and tailoring management strategies for affected children. The high prevalence of VUS highlights the need for ongoing research and refined diagnostic approaches in diverse populations.</w:t>
      </w:r>
    </w:p>
    <w:sectPr w:rsidR="00BE1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D3"/>
    <w:rsid w:val="00191FD3"/>
    <w:rsid w:val="00973F4C"/>
    <w:rsid w:val="00A85179"/>
    <w:rsid w:val="00B05806"/>
    <w:rsid w:val="00BE1FB1"/>
    <w:rsid w:val="00C856CB"/>
    <w:rsid w:val="00D94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9935C"/>
  <w15:chartTrackingRefBased/>
  <w15:docId w15:val="{E4C6868E-014F-47B6-B0A9-99B0AC1F0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Dipanjana Datta</dc:creator>
  <cp:keywords/>
  <dc:description/>
  <cp:lastModifiedBy>Suchismita Saha</cp:lastModifiedBy>
  <cp:revision>2</cp:revision>
  <dcterms:created xsi:type="dcterms:W3CDTF">2024-07-15T09:59:00Z</dcterms:created>
  <dcterms:modified xsi:type="dcterms:W3CDTF">2024-07-15T09:59:00Z</dcterms:modified>
</cp:coreProperties>
</file>