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06739" w14:textId="0FA389C3" w:rsidR="0034515D" w:rsidRDefault="005E029C" w:rsidP="005E02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5E029C">
        <w:rPr>
          <w:rFonts w:ascii="Times New Roman" w:hAnsi="Times New Roman" w:cs="Times New Roman"/>
          <w:b/>
          <w:bCs/>
          <w:sz w:val="24"/>
          <w:lang w:val="en-US"/>
        </w:rPr>
        <w:t>Comparative Analysis of Home Hemodialysis and In-Center Hemodialysis: A Comprehensive Study</w:t>
      </w:r>
    </w:p>
    <w:p w14:paraId="6F26283B" w14:textId="77777777" w:rsidR="005E029C" w:rsidRDefault="005E029C" w:rsidP="005E02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</w:p>
    <w:p w14:paraId="5DA91E36" w14:textId="77777777" w:rsidR="005E029C" w:rsidRPr="001C7B94" w:rsidRDefault="005E029C" w:rsidP="005E02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Background: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India,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hemodialysis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(HD) is a prevalent renal replacement therapy, with a substantial number of patients undergoing treatment weekly. Despite the growth in HD units, infections remain a concern due to shared spaces and equipment in dialysis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. Additionally, patients with end-stage renal disease (ESRD) face challenges such as lack of personalized care and risks from access points, impacting their quality of life significantly.</w:t>
      </w:r>
    </w:p>
    <w:p w14:paraId="3BF8D44F" w14:textId="77777777" w:rsidR="005E029C" w:rsidRPr="001C7B94" w:rsidRDefault="005E029C" w:rsidP="005E02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study aimed to compare intradialytic complications, hospitalization rates, and economic implications between home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hemodialysis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(HD) and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HD. It also assessed health-related quality of life improvements in adults with ESRD.</w:t>
      </w:r>
    </w:p>
    <w:p w14:paraId="53F5BA9B" w14:textId="77777777" w:rsidR="005E029C" w:rsidRPr="001C7B94" w:rsidRDefault="005E029C" w:rsidP="005E02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 HD patients were identified from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Nephrocare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Ltd.'s registry, with their sessions pooled for analysis. An equal number of sessions were randomly selected from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 patients. Inclusion criteria encompassed adults (&gt;18 years), receiving maintenance HD for at least 6 months, with mature AV fistula or permanent catheter and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hemoglobin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 between 8.5-11.5g/dl. Dialysis-related and biochemical parameters, intradialytic complications, and hospitalization events were recorded and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appropriate statistical methods.</w:t>
      </w:r>
    </w:p>
    <w:p w14:paraId="1504B955" w14:textId="77777777" w:rsidR="005E029C" w:rsidRPr="001C7B94" w:rsidRDefault="005E029C" w:rsidP="005E02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study included 1293 home HD sessions and 1108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 sessions. Both groups had a mean age of approximately 65 years, predominantly hypertensive, with a balanced diabetic-to-nondiabetic ratio. Home HD patients showed significantly higher serum sodium, calcium, and phosphate levels compared to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 patients, while serum potassium levels were higher in the latter. Intradialytic complications such as cramps, hypotension, and access issues were more frequent in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HD, whereas headaches were more prevalent </w:t>
      </w:r>
      <w:proofErr w:type="gram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in home</w:t>
      </w:r>
      <w:proofErr w:type="gram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HD. Hospitalization rates were notably higher among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HD patients, primarily due to infections and cardiovascular events.</w:t>
      </w:r>
    </w:p>
    <w:p w14:paraId="7146B05E" w14:textId="77777777" w:rsidR="005E029C" w:rsidRPr="001C7B94" w:rsidRDefault="005E029C" w:rsidP="005E02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hemodialysis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demonstrated superior outcomes compared to in-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treatments, evidenced by reduced complications and lower hospitalization risks. Despite higher initial costs, home HD proved more cost-effective in the long term, offering benefits like improved blood pressure management and quality of life. However, the availability of </w:t>
      </w:r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immediate medical attention in dialysis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a notable advantage in emergencies. Future research should focus on broader implementation and economic evaluations to optimize </w:t>
      </w:r>
      <w:proofErr w:type="spellStart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>hemodialysis</w:t>
      </w:r>
      <w:proofErr w:type="spellEnd"/>
      <w:r w:rsidRPr="001C7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 for chronic kidney disease patients in India.</w:t>
      </w:r>
    </w:p>
    <w:p w14:paraId="75A1A2CF" w14:textId="77777777" w:rsidR="005E029C" w:rsidRPr="005E029C" w:rsidRDefault="005E029C" w:rsidP="005E029C">
      <w:pPr>
        <w:spacing w:line="360" w:lineRule="auto"/>
        <w:jc w:val="center"/>
        <w:rPr>
          <w:b/>
          <w:bCs/>
        </w:rPr>
      </w:pPr>
    </w:p>
    <w:sectPr w:rsidR="005E029C" w:rsidRPr="005E0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9C"/>
    <w:rsid w:val="001206B3"/>
    <w:rsid w:val="0034515D"/>
    <w:rsid w:val="005E029C"/>
    <w:rsid w:val="00C8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0B6C"/>
  <w15:chartTrackingRefBased/>
  <w15:docId w15:val="{8728A4D4-44CD-4CD9-BC54-82462B3B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BHATTACHERJEE</dc:creator>
  <cp:keywords/>
  <dc:description/>
  <cp:lastModifiedBy>SOUMIK BHATTACHERJEE</cp:lastModifiedBy>
  <cp:revision>1</cp:revision>
  <dcterms:created xsi:type="dcterms:W3CDTF">2024-07-15T12:41:00Z</dcterms:created>
  <dcterms:modified xsi:type="dcterms:W3CDTF">2024-07-15T12:42:00Z</dcterms:modified>
</cp:coreProperties>
</file>