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600"/>
        <w:jc w:val="center"/>
      </w:pPr>
      <w:r>
        <w:rPr>
          <w:rFonts w:ascii="Arial" w:hAnsi="Arial"/>
          <w:b/>
          <w:i w:val="0"/>
          <w:color w:val="C00000"/>
          <w:sz w:val="18"/>
        </w:rPr>
        <w:t>PRIVATE AND CONFIDENTIAL</w:t>
      </w:r>
    </w:p>
    <w:p>
      <w:pPr>
        <w:spacing w:before="0" w:after="120"/>
        <w:jc w:val="center"/>
      </w:pPr>
      <w:r>
        <w:rPr>
          <w:rFonts w:ascii="Arial" w:hAnsi="Arial"/>
          <w:b/>
          <w:i w:val="0"/>
          <w:color w:val="1F3552"/>
          <w:sz w:val="52"/>
        </w:rPr>
        <w:t>DPDP Act, 2023 Compliance Audit Report</w:t>
      </w:r>
    </w:p>
    <w:p>
      <w:pPr>
        <w:spacing w:before="0" w:after="520"/>
        <w:jc w:val="center"/>
      </w:pPr>
      <w:r>
        <w:rPr>
          <w:rFonts w:ascii="Arial" w:hAnsi="Arial"/>
          <w:b w:val="0"/>
          <w:i w:val="0"/>
          <w:color w:val="44546A"/>
          <w:sz w:val="26"/>
        </w:rPr>
        <w:t>Digital Personal Data Protection Act, 2023</w:t>
      </w:r>
    </w:p>
    <w:p>
      <w:pPr>
        <w:spacing w:before="80" w:after="400"/>
        <w:pBdr>
          <w:bottom w:val="single" w:sz="6" w:space="1" w:color="BFBFBF"/>
        </w:pBdr>
      </w:pPr>
    </w:p>
    <w:p>
      <w:pPr>
        <w:spacing w:before="0" w:after="40"/>
        <w:jc w:val="center"/>
      </w:pPr>
      <w:r>
        <w:rPr>
          <w:rFonts w:ascii="Arial" w:hAnsi="Arial"/>
          <w:b/>
          <w:i w:val="0"/>
          <w:sz w:val="34"/>
        </w:rPr>
        <w:t>Kavach Financial Technologies Private Limited</w:t>
      </w:r>
    </w:p>
    <w:p>
      <w:pPr>
        <w:spacing w:before="0" w:after="80"/>
        <w:jc w:val="center"/>
      </w:pPr>
      <w:r>
        <w:rPr>
          <w:rFonts w:ascii="Times New Roman" w:hAnsi="Times New Roman"/>
          <w:b w:val="0"/>
          <w:i/>
          <w:sz w:val="22"/>
        </w:rPr>
        <w:t>trading as KavachPay</w:t>
      </w:r>
    </w:p>
    <w:p>
      <w:pPr>
        <w:spacing w:before="0" w:after="600"/>
        <w:jc w:val="center"/>
      </w:pPr>
      <w:r>
        <w:rPr>
          <w:rFonts w:ascii="Times New Roman" w:hAnsi="Times New Roman"/>
          <w:b w:val="0"/>
          <w:i w:val="0"/>
          <w:color w:val="44546A"/>
          <w:sz w:val="20"/>
        </w:rPr>
        <w:t>Financial services — consumer lending, UPI payments and prepaid instruments</w:t>
      </w:r>
    </w:p>
    <w:tbl>
      <w:tblPr>
        <w:tblStyle w:val="TableGrid"/>
        <w:tblW w:w="9745" w:type="dxa"/>
        <w:jc w:val="center"/>
        <w:tblLayout w:type="fixed"/>
        <w:tblLook w:firstColumn="1" w:firstRow="1" w:lastColumn="0" w:lastRow="0" w:noHBand="0" w:noVBand="1" w:val="04A0"/>
      </w:tblPr>
      <w:tblGrid>
        <w:gridCol w:w="3378"/>
        <w:gridCol w:w="6367"/>
      </w:tblGrid>
      <w:tr>
        <w:trPr>
          <w:cantSplit/>
        </w:trPr>
        <w:tc>
          <w:tcPr>
            <w:tcW w:type="dxa" w:w="3378"/>
            <w:shd w:val="clear" w:color="auto" w:fill="EEF2F7"/>
          </w:tcPr>
          <w:p>
            <w:pPr>
              <w:spacing w:before="20" w:after="20"/>
            </w:pPr>
            <w:r/>
            <w:r>
              <w:rPr>
                <w:rFonts w:ascii="Arial" w:hAnsi="Arial"/>
                <w:b/>
                <w:i w:val="0"/>
                <w:sz w:val="20"/>
              </w:rPr>
              <w:t>Report date</w:t>
            </w:r>
          </w:p>
        </w:tc>
        <w:tc>
          <w:tcPr>
            <w:tcW w:type="dxa" w:w="6367"/>
          </w:tcPr>
          <w:p>
            <w:pPr>
              <w:spacing w:before="20" w:after="20"/>
            </w:pPr>
            <w:r/>
            <w:r>
              <w:rPr>
                <w:rFonts w:ascii="Arial" w:hAnsi="Arial"/>
                <w:b w:val="0"/>
                <w:i w:val="0"/>
                <w:sz w:val="20"/>
              </w:rPr>
              <w:t>2026-08-30</w:t>
            </w:r>
          </w:p>
        </w:tc>
      </w:tr>
      <w:tr>
        <w:trPr>
          <w:cantSplit/>
        </w:trPr>
        <w:tc>
          <w:tcPr>
            <w:tcW w:type="dxa" w:w="3378"/>
            <w:shd w:val="clear" w:color="auto" w:fill="EEF2F7"/>
          </w:tcPr>
          <w:p>
            <w:pPr>
              <w:spacing w:before="20" w:after="20"/>
            </w:pPr>
            <w:r/>
            <w:r>
              <w:rPr>
                <w:rFonts w:ascii="Arial" w:hAnsi="Arial"/>
                <w:b/>
                <w:i w:val="0"/>
                <w:sz w:val="20"/>
              </w:rPr>
              <w:t>Assessment date</w:t>
            </w:r>
          </w:p>
        </w:tc>
        <w:tc>
          <w:tcPr>
            <w:tcW w:type="dxa" w:w="6367"/>
          </w:tcPr>
          <w:p>
            <w:pPr>
              <w:spacing w:before="20" w:after="20"/>
            </w:pPr>
            <w:r/>
            <w:r>
              <w:rPr>
                <w:rFonts w:ascii="Arial" w:hAnsi="Arial"/>
                <w:b w:val="0"/>
                <w:i w:val="0"/>
                <w:sz w:val="20"/>
              </w:rPr>
              <w:t>2026-08-14</w:t>
            </w:r>
          </w:p>
        </w:tc>
      </w:tr>
      <w:tr>
        <w:trPr>
          <w:cantSplit/>
        </w:trPr>
        <w:tc>
          <w:tcPr>
            <w:tcW w:type="dxa" w:w="3378"/>
            <w:shd w:val="clear" w:color="auto" w:fill="EEF2F7"/>
          </w:tcPr>
          <w:p>
            <w:pPr>
              <w:spacing w:before="20" w:after="20"/>
            </w:pPr>
            <w:r/>
            <w:r>
              <w:rPr>
                <w:rFonts w:ascii="Arial" w:hAnsi="Arial"/>
                <w:b/>
                <w:i w:val="0"/>
                <w:sz w:val="20"/>
              </w:rPr>
              <w:t>Engagement reference</w:t>
            </w:r>
          </w:p>
        </w:tc>
        <w:tc>
          <w:tcPr>
            <w:tcW w:type="dxa" w:w="6367"/>
          </w:tcPr>
          <w:p>
            <w:pPr>
              <w:spacing w:before="20" w:after="20"/>
            </w:pPr>
            <w:r/>
            <w:r>
              <w:rPr>
                <w:rFonts w:ascii="Arial" w:hAnsi="Arial"/>
                <w:b w:val="0"/>
                <w:i w:val="0"/>
                <w:sz w:val="20"/>
              </w:rPr>
              <w:t>SA/DPDP/2026/0417</w:t>
            </w:r>
          </w:p>
        </w:tc>
      </w:tr>
      <w:tr>
        <w:trPr>
          <w:cantSplit/>
        </w:trPr>
        <w:tc>
          <w:tcPr>
            <w:tcW w:type="dxa" w:w="3378"/>
            <w:shd w:val="clear" w:color="auto" w:fill="EEF2F7"/>
          </w:tcPr>
          <w:p>
            <w:pPr>
              <w:spacing w:before="20" w:after="20"/>
            </w:pPr>
            <w:r/>
            <w:r>
              <w:rPr>
                <w:rFonts w:ascii="Arial" w:hAnsi="Arial"/>
                <w:b/>
                <w:i w:val="0"/>
                <w:sz w:val="20"/>
              </w:rPr>
              <w:t>Prepared by</w:t>
            </w:r>
          </w:p>
        </w:tc>
        <w:tc>
          <w:tcPr>
            <w:tcW w:type="dxa" w:w="6367"/>
          </w:tcPr>
          <w:p>
            <w:pPr>
              <w:spacing w:before="20" w:after="20"/>
            </w:pPr>
            <w:r/>
            <w:r>
              <w:rPr>
                <w:rFonts w:ascii="Arial" w:hAnsi="Arial"/>
                <w:b w:val="0"/>
                <w:i w:val="0"/>
                <w:sz w:val="20"/>
              </w:rPr>
              <w:t>Nandita Krishnan, CIPP/E, CISA</w:t>
            </w:r>
          </w:p>
        </w:tc>
      </w:tr>
      <w:tr>
        <w:trPr>
          <w:cantSplit/>
        </w:trPr>
        <w:tc>
          <w:tcPr>
            <w:tcW w:type="dxa" w:w="3378"/>
            <w:shd w:val="clear" w:color="auto" w:fill="EEF2F7"/>
          </w:tcPr>
          <w:p>
            <w:pPr>
              <w:spacing w:before="20" w:after="20"/>
            </w:pPr>
            <w:r/>
            <w:r>
              <w:rPr>
                <w:rFonts w:ascii="Arial" w:hAnsi="Arial"/>
                <w:b/>
                <w:i w:val="0"/>
                <w:sz w:val="20"/>
              </w:rPr>
              <w:t>Firm</w:t>
            </w:r>
          </w:p>
        </w:tc>
        <w:tc>
          <w:tcPr>
            <w:tcW w:type="dxa" w:w="6367"/>
          </w:tcPr>
          <w:p>
            <w:pPr>
              <w:spacing w:before="20" w:after="20"/>
            </w:pPr>
            <w:r/>
            <w:r>
              <w:rPr>
                <w:rFonts w:ascii="Arial" w:hAnsi="Arial"/>
                <w:b w:val="0"/>
                <w:i w:val="0"/>
                <w:sz w:val="20"/>
              </w:rPr>
              <w:t>Sentinel Assurance LLP, Chartered Accountants</w:t>
            </w:r>
          </w:p>
        </w:tc>
      </w:tr>
      <w:tr>
        <w:trPr>
          <w:cantSplit/>
        </w:trPr>
        <w:tc>
          <w:tcPr>
            <w:tcW w:type="dxa" w:w="3378"/>
            <w:shd w:val="clear" w:color="auto" w:fill="EEF2F7"/>
          </w:tcPr>
          <w:p>
            <w:pPr>
              <w:spacing w:before="20" w:after="20"/>
            </w:pPr>
            <w:r/>
            <w:r>
              <w:rPr>
                <w:rFonts w:ascii="Arial" w:hAnsi="Arial"/>
                <w:b/>
                <w:i w:val="0"/>
                <w:sz w:val="20"/>
              </w:rPr>
              <w:t>Control library version</w:t>
            </w:r>
          </w:p>
        </w:tc>
        <w:tc>
          <w:tcPr>
            <w:tcW w:type="dxa" w:w="6367"/>
          </w:tcPr>
          <w:p>
            <w:pPr>
              <w:spacing w:before="20" w:after="20"/>
            </w:pPr>
            <w:r/>
            <w:r>
              <w:rPr>
                <w:rFonts w:ascii="Arial" w:hAnsi="Arial"/>
                <w:b w:val="0"/>
                <w:i w:val="0"/>
                <w:sz w:val="20"/>
              </w:rPr>
              <w:t>v1.0.0 (90 controls, 17 domains)</w:t>
            </w:r>
          </w:p>
        </w:tc>
      </w:tr>
      <w:tr>
        <w:trPr>
          <w:cantSplit/>
        </w:trPr>
        <w:tc>
          <w:tcPr>
            <w:tcW w:type="dxa" w:w="3378"/>
            <w:shd w:val="clear" w:color="auto" w:fill="EEF2F7"/>
          </w:tcPr>
          <w:p>
            <w:pPr>
              <w:spacing w:before="20" w:after="20"/>
            </w:pPr>
            <w:r/>
            <w:r>
              <w:rPr>
                <w:rFonts w:ascii="Arial" w:hAnsi="Arial"/>
                <w:b/>
                <w:i w:val="0"/>
                <w:sz w:val="20"/>
              </w:rPr>
              <w:t>Controls in scope</w:t>
            </w:r>
          </w:p>
        </w:tc>
        <w:tc>
          <w:tcPr>
            <w:tcW w:type="dxa" w:w="6367"/>
          </w:tcPr>
          <w:p>
            <w:pPr>
              <w:spacing w:before="20" w:after="20"/>
            </w:pPr>
            <w:r/>
            <w:r>
              <w:rPr>
                <w:rFonts w:ascii="Arial" w:hAnsi="Arial"/>
                <w:b w:val="0"/>
                <w:i w:val="0"/>
                <w:sz w:val="20"/>
              </w:rPr>
              <w:t>87</w:t>
            </w:r>
          </w:p>
        </w:tc>
      </w:tr>
      <w:tr>
        <w:trPr>
          <w:cantSplit/>
        </w:trPr>
        <w:tc>
          <w:tcPr>
            <w:tcW w:type="dxa" w:w="3378"/>
            <w:shd w:val="clear" w:color="auto" w:fill="EEF2F7"/>
          </w:tcPr>
          <w:p>
            <w:pPr>
              <w:spacing w:before="20" w:after="20"/>
            </w:pPr>
            <w:r/>
            <w:r>
              <w:rPr>
                <w:rFonts w:ascii="Arial" w:hAnsi="Arial"/>
                <w:b/>
                <w:i w:val="0"/>
                <w:sz w:val="20"/>
              </w:rPr>
              <w:t>Overall maturity</w:t>
            </w:r>
          </w:p>
        </w:tc>
        <w:tc>
          <w:tcPr>
            <w:tcW w:type="dxa" w:w="6367"/>
          </w:tcPr>
          <w:p>
            <w:pPr>
              <w:spacing w:before="20" w:after="20"/>
            </w:pPr>
            <w:r/>
            <w:r>
              <w:rPr>
                <w:rFonts w:ascii="Arial" w:hAnsi="Arial"/>
                <w:b w:val="0"/>
                <w:i w:val="0"/>
                <w:sz w:val="20"/>
              </w:rPr>
              <w:t>48.8% — Developing</w:t>
            </w:r>
          </w:p>
        </w:tc>
      </w:tr>
    </w:tbl>
    <w:p>
      <w:pPr>
        <w:spacing w:before="0" w:after="480"/>
      </w:pPr>
    </w:p>
    <w:p>
      <w:pPr>
        <w:spacing w:before="0" w:after="120"/>
        <w:jc w:val="center"/>
      </w:pPr>
      <w:r>
        <w:rPr>
          <w:rFonts w:ascii="Times New Roman" w:hAnsi="Times New Roman"/>
          <w:b w:val="0"/>
          <w:i/>
          <w:color w:val="44546A"/>
          <w:sz w:val="18"/>
        </w:rPr>
        <w:t>This report has been prepared for the internal use of the addressee. It contains findings about the security and compliance posture of the entity and should be handled accordingly. It is not an assurance report and expresses no audit opinion.</w:t>
      </w:r>
    </w:p>
    <w:p>
      <w:r>
        <w:br w:type="page"/>
      </w:r>
    </w:p>
    <w:p>
      <w:pPr>
        <w:pStyle w:val="Heading1"/>
        <w:keepNext/>
        <w:spacing w:before="280" w:after="120"/>
      </w:pPr>
      <w:r>
        <w:rPr>
          <w:rFonts w:ascii="Arial" w:hAnsi="Arial"/>
          <w:b/>
          <w:color w:val="1F3552"/>
          <w:sz w:val="32"/>
        </w:rPr>
        <w:t>Document control</w:t>
      </w:r>
    </w:p>
    <w:tbl>
      <w:tblPr>
        <w:tblStyle w:val="TableGrid"/>
        <w:tblW w:w="9746" w:type="dxa"/>
        <w:jc w:val="center"/>
        <w:tblLayout w:type="fixed"/>
        <w:tblLook w:firstColumn="1" w:firstRow="1" w:lastColumn="0" w:lastRow="0" w:noHBand="0" w:noVBand="1" w:val="04A0"/>
      </w:tblPr>
      <w:tblGrid>
        <w:gridCol w:w="1559"/>
        <w:gridCol w:w="2209"/>
        <w:gridCol w:w="3508"/>
        <w:gridCol w:w="2468"/>
      </w:tblGrid>
      <w:tr>
        <w:trPr>
          <w:tblHeader w:val="true"/>
        </w:trPr>
        <w:tc>
          <w:tcPr>
            <w:tcW w:type="dxa" w:w="1560"/>
            <w:shd w:val="clear" w:color="auto" w:fill="1F3552"/>
          </w:tcPr>
          <w:p>
            <w:pPr>
              <w:spacing w:before="20" w:after="20"/>
              <w:jc w:val="center"/>
            </w:pPr>
            <w:r/>
            <w:r>
              <w:rPr>
                <w:rFonts w:ascii="Arial" w:hAnsi="Arial"/>
                <w:b/>
                <w:i w:val="0"/>
                <w:color w:val="FFFFFF"/>
                <w:sz w:val="18"/>
              </w:rPr>
              <w:t>Version</w:t>
            </w:r>
          </w:p>
        </w:tc>
        <w:tc>
          <w:tcPr>
            <w:tcW w:type="dxa" w:w="2209"/>
            <w:shd w:val="clear" w:color="auto" w:fill="1F3552"/>
          </w:tcPr>
          <w:p>
            <w:pPr>
              <w:spacing w:before="20" w:after="20"/>
              <w:jc w:val="center"/>
            </w:pPr>
            <w:r/>
            <w:r>
              <w:rPr>
                <w:rFonts w:ascii="Arial" w:hAnsi="Arial"/>
                <w:b/>
                <w:i w:val="0"/>
                <w:color w:val="FFFFFF"/>
                <w:sz w:val="18"/>
              </w:rPr>
              <w:t>Date</w:t>
            </w:r>
          </w:p>
        </w:tc>
        <w:tc>
          <w:tcPr>
            <w:tcW w:type="dxa" w:w="3509"/>
            <w:shd w:val="clear" w:color="auto" w:fill="1F3552"/>
          </w:tcPr>
          <w:p>
            <w:pPr>
              <w:spacing w:before="20" w:after="20"/>
              <w:jc w:val="center"/>
            </w:pPr>
            <w:r/>
            <w:r>
              <w:rPr>
                <w:rFonts w:ascii="Arial" w:hAnsi="Arial"/>
                <w:b/>
                <w:i w:val="0"/>
                <w:color w:val="FFFFFF"/>
                <w:sz w:val="18"/>
              </w:rPr>
              <w:t>Description</w:t>
            </w:r>
          </w:p>
        </w:tc>
        <w:tc>
          <w:tcPr>
            <w:tcW w:type="dxa" w:w="2469"/>
            <w:shd w:val="clear" w:color="auto" w:fill="1F3552"/>
          </w:tcPr>
          <w:p>
            <w:pPr>
              <w:spacing w:before="20" w:after="20"/>
              <w:jc w:val="center"/>
            </w:pPr>
            <w:r/>
            <w:r>
              <w:rPr>
                <w:rFonts w:ascii="Arial" w:hAnsi="Arial"/>
                <w:b/>
                <w:i w:val="0"/>
                <w:color w:val="FFFFFF"/>
                <w:sz w:val="18"/>
              </w:rPr>
              <w:t>Author</w:t>
            </w:r>
          </w:p>
        </w:tc>
      </w:tr>
      <w:tr>
        <w:trPr>
          <w:cantSplit/>
        </w:trPr>
        <w:tc>
          <w:tcPr>
            <w:tcW w:type="dxa" w:w="1560"/>
          </w:tcPr>
          <w:p>
            <w:pPr>
              <w:spacing w:before="20" w:after="20"/>
            </w:pPr>
            <w:r/>
            <w:r>
              <w:rPr>
                <w:rFonts w:ascii="Arial" w:hAnsi="Arial"/>
                <w:b w:val="0"/>
                <w:i w:val="0"/>
                <w:sz w:val="18"/>
              </w:rPr>
              <w:t>1.0</w:t>
            </w:r>
          </w:p>
        </w:tc>
        <w:tc>
          <w:tcPr>
            <w:tcW w:type="dxa" w:w="2209"/>
          </w:tcPr>
          <w:p>
            <w:pPr>
              <w:spacing w:before="20" w:after="20"/>
            </w:pPr>
            <w:r/>
            <w:r>
              <w:rPr>
                <w:rFonts w:ascii="Arial" w:hAnsi="Arial"/>
                <w:b w:val="0"/>
                <w:i w:val="0"/>
                <w:sz w:val="18"/>
              </w:rPr>
              <w:t>2026-08-14</w:t>
            </w:r>
          </w:p>
        </w:tc>
        <w:tc>
          <w:tcPr>
            <w:tcW w:type="dxa" w:w="3509"/>
          </w:tcPr>
          <w:p>
            <w:pPr>
              <w:spacing w:before="20" w:after="20"/>
            </w:pPr>
            <w:r/>
            <w:r>
              <w:rPr>
                <w:rFonts w:ascii="Arial" w:hAnsi="Arial"/>
                <w:b w:val="0"/>
                <w:i w:val="0"/>
                <w:sz w:val="18"/>
              </w:rPr>
              <w:t>Final report issued to management</w:t>
            </w:r>
          </w:p>
        </w:tc>
        <w:tc>
          <w:tcPr>
            <w:tcW w:type="dxa" w:w="2469"/>
          </w:tcPr>
          <w:p>
            <w:pPr>
              <w:spacing w:before="20" w:after="20"/>
            </w:pPr>
            <w:r/>
            <w:r>
              <w:rPr>
                <w:rFonts w:ascii="Arial" w:hAnsi="Arial"/>
                <w:b w:val="0"/>
                <w:i w:val="0"/>
                <w:sz w:val="18"/>
              </w:rPr>
              <w:t>Nandita Krishnan, CIPP/E, CISA</w:t>
            </w:r>
          </w:p>
        </w:tc>
      </w:tr>
      <w:tr>
        <w:trPr>
          <w:cantSplit/>
        </w:trPr>
        <w:tc>
          <w:tcPr>
            <w:tcW w:type="dxa" w:w="1560"/>
          </w:tcPr>
          <w:p>
            <w:pPr>
              <w:spacing w:before="20" w:after="20"/>
            </w:pPr>
            <w:r/>
            <w:r>
              <w:rPr>
                <w:rFonts w:ascii="Arial" w:hAnsi="Arial"/>
                <w:b w:val="0"/>
                <w:i w:val="0"/>
                <w:sz w:val="18"/>
              </w:rPr>
              <w:t>0.2</w:t>
            </w:r>
          </w:p>
        </w:tc>
        <w:tc>
          <w:tcPr>
            <w:tcW w:type="dxa" w:w="2209"/>
          </w:tcPr>
          <w:p>
            <w:pPr>
              <w:spacing w:before="20" w:after="20"/>
            </w:pPr>
            <w:r/>
            <w:r>
              <w:rPr>
                <w:rFonts w:ascii="Arial" w:hAnsi="Arial"/>
                <w:b w:val="0"/>
                <w:i w:val="0"/>
                <w:sz w:val="18"/>
              </w:rPr>
              <w:t>2026-08-14</w:t>
            </w:r>
          </w:p>
        </w:tc>
        <w:tc>
          <w:tcPr>
            <w:tcW w:type="dxa" w:w="3509"/>
          </w:tcPr>
          <w:p>
            <w:pPr>
              <w:spacing w:before="20" w:after="20"/>
            </w:pPr>
            <w:r/>
            <w:r>
              <w:rPr>
                <w:rFonts w:ascii="Arial" w:hAnsi="Arial"/>
                <w:b w:val="0"/>
                <w:i w:val="0"/>
                <w:sz w:val="18"/>
              </w:rPr>
              <w:t>Draft for management response and factual accuracy review</w:t>
            </w:r>
          </w:p>
        </w:tc>
        <w:tc>
          <w:tcPr>
            <w:tcW w:type="dxa" w:w="2469"/>
          </w:tcPr>
          <w:p>
            <w:pPr>
              <w:spacing w:before="20" w:after="20"/>
            </w:pPr>
            <w:r/>
            <w:r>
              <w:rPr>
                <w:rFonts w:ascii="Arial" w:hAnsi="Arial"/>
                <w:b w:val="0"/>
                <w:i w:val="0"/>
                <w:sz w:val="18"/>
              </w:rPr>
              <w:t>Nandita Krishnan, CIPP/E, CISA</w:t>
            </w:r>
          </w:p>
        </w:tc>
      </w:tr>
      <w:tr>
        <w:trPr>
          <w:cantSplit/>
        </w:trPr>
        <w:tc>
          <w:tcPr>
            <w:tcW w:type="dxa" w:w="1560"/>
          </w:tcPr>
          <w:p>
            <w:pPr>
              <w:spacing w:before="20" w:after="20"/>
            </w:pPr>
            <w:r/>
            <w:r>
              <w:rPr>
                <w:rFonts w:ascii="Arial" w:hAnsi="Arial"/>
                <w:b w:val="0"/>
                <w:i w:val="0"/>
                <w:sz w:val="18"/>
              </w:rPr>
              <w:t>0.1</w:t>
            </w:r>
          </w:p>
        </w:tc>
        <w:tc>
          <w:tcPr>
            <w:tcW w:type="dxa" w:w="2209"/>
          </w:tcPr>
          <w:p>
            <w:pPr>
              <w:spacing w:before="20" w:after="20"/>
            </w:pPr>
            <w:r/>
            <w:r>
              <w:rPr>
                <w:rFonts w:ascii="Arial" w:hAnsi="Arial"/>
                <w:b w:val="0"/>
                <w:i w:val="0"/>
                <w:sz w:val="18"/>
              </w:rPr>
              <w:t>2026-08-14</w:t>
            </w:r>
          </w:p>
        </w:tc>
        <w:tc>
          <w:tcPr>
            <w:tcW w:type="dxa" w:w="3509"/>
          </w:tcPr>
          <w:p>
            <w:pPr>
              <w:spacing w:before="20" w:after="20"/>
            </w:pPr>
            <w:r/>
            <w:r>
              <w:rPr>
                <w:rFonts w:ascii="Arial" w:hAnsi="Arial"/>
                <w:b w:val="0"/>
                <w:i w:val="0"/>
                <w:sz w:val="18"/>
              </w:rPr>
              <w:t>Initial draft — fieldwork complete</w:t>
            </w:r>
          </w:p>
        </w:tc>
        <w:tc>
          <w:tcPr>
            <w:tcW w:type="dxa" w:w="2469"/>
          </w:tcPr>
          <w:p>
            <w:pPr>
              <w:spacing w:before="20" w:after="20"/>
            </w:pPr>
            <w:r/>
            <w:r>
              <w:rPr>
                <w:rFonts w:ascii="Arial" w:hAnsi="Arial"/>
                <w:b w:val="0"/>
                <w:i w:val="0"/>
                <w:sz w:val="18"/>
              </w:rPr>
              <w:t>Nandita Krishnan, CIPP/E, CISA</w:t>
            </w:r>
          </w:p>
        </w:tc>
      </w:tr>
    </w:tbl>
    <w:p>
      <w:pPr>
        <w:spacing w:before="0" w:after="200"/>
      </w:pPr>
    </w:p>
    <w:p>
      <w:pPr>
        <w:pStyle w:val="Heading2"/>
        <w:keepNext/>
        <w:spacing w:before="280" w:after="120"/>
      </w:pPr>
      <w:r>
        <w:rPr>
          <w:rFonts w:ascii="Arial" w:hAnsi="Arial"/>
          <w:b/>
          <w:color w:val="1F3552"/>
          <w:sz w:val="26"/>
        </w:rPr>
        <w:t>Distribution</w:t>
      </w:r>
    </w:p>
    <w:tbl>
      <w:tblPr>
        <w:tblStyle w:val="TableGrid"/>
        <w:tblW w:w="9745" w:type="dxa"/>
        <w:jc w:val="center"/>
        <w:tblLayout w:type="fixed"/>
        <w:tblLook w:firstColumn="1" w:firstRow="1" w:lastColumn="0" w:lastRow="0" w:noHBand="0" w:noVBand="1" w:val="04A0"/>
      </w:tblPr>
      <w:tblGrid>
        <w:gridCol w:w="4872"/>
        <w:gridCol w:w="4872"/>
      </w:tblGrid>
      <w:tr>
        <w:trPr>
          <w:tblHeader w:val="true"/>
        </w:trPr>
        <w:tc>
          <w:tcPr>
            <w:tcW w:type="dxa" w:w="4873"/>
            <w:shd w:val="clear" w:color="auto" w:fill="1F3552"/>
          </w:tcPr>
          <w:p>
            <w:pPr>
              <w:spacing w:before="20" w:after="20"/>
              <w:jc w:val="center"/>
            </w:pPr>
            <w:r/>
            <w:r>
              <w:rPr>
                <w:rFonts w:ascii="Arial" w:hAnsi="Arial"/>
                <w:b/>
                <w:i w:val="0"/>
                <w:color w:val="FFFFFF"/>
                <w:sz w:val="18"/>
              </w:rPr>
              <w:t>Recipient</w:t>
            </w:r>
          </w:p>
        </w:tc>
        <w:tc>
          <w:tcPr>
            <w:tcW w:type="dxa" w:w="4873"/>
            <w:shd w:val="clear" w:color="auto" w:fill="1F3552"/>
          </w:tcPr>
          <w:p>
            <w:pPr>
              <w:spacing w:before="20" w:after="20"/>
              <w:jc w:val="center"/>
            </w:pPr>
            <w:r/>
            <w:r>
              <w:rPr>
                <w:rFonts w:ascii="Arial" w:hAnsi="Arial"/>
                <w:b/>
                <w:i w:val="0"/>
                <w:color w:val="FFFFFF"/>
                <w:sz w:val="18"/>
              </w:rPr>
              <w:t>Basis</w:t>
            </w:r>
          </w:p>
        </w:tc>
      </w:tr>
      <w:tr>
        <w:trPr>
          <w:cantSplit/>
        </w:trPr>
        <w:tc>
          <w:tcPr>
            <w:tcW w:type="dxa" w:w="4873"/>
          </w:tcPr>
          <w:p>
            <w:pPr>
              <w:spacing w:before="20" w:after="20"/>
            </w:pPr>
            <w:r/>
            <w:r>
              <w:rPr>
                <w:rFonts w:ascii="Arial" w:hAnsi="Arial"/>
                <w:b w:val="0"/>
                <w:i w:val="0"/>
                <w:sz w:val="18"/>
              </w:rPr>
              <w:t>Board of Directors</w:t>
            </w:r>
          </w:p>
        </w:tc>
        <w:tc>
          <w:tcPr>
            <w:tcW w:type="dxa" w:w="4873"/>
          </w:tcPr>
          <w:p>
            <w:pPr>
              <w:spacing w:before="20" w:after="20"/>
            </w:pPr>
            <w:r/>
            <w:r>
              <w:rPr>
                <w:rFonts w:ascii="Arial" w:hAnsi="Arial"/>
                <w:b w:val="0"/>
                <w:i w:val="0"/>
                <w:sz w:val="18"/>
              </w:rPr>
              <w:t>Oversight of the compliance programme</w:t>
            </w:r>
          </w:p>
        </w:tc>
      </w:tr>
      <w:tr>
        <w:trPr>
          <w:cantSplit/>
        </w:trPr>
        <w:tc>
          <w:tcPr>
            <w:tcW w:type="dxa" w:w="4873"/>
          </w:tcPr>
          <w:p>
            <w:pPr>
              <w:spacing w:before="20" w:after="20"/>
            </w:pPr>
            <w:r/>
            <w:r>
              <w:rPr>
                <w:rFonts w:ascii="Arial" w:hAnsi="Arial"/>
                <w:b w:val="0"/>
                <w:i w:val="0"/>
                <w:sz w:val="18"/>
              </w:rPr>
              <w:t>Audit and Risk Committee</w:t>
            </w:r>
          </w:p>
        </w:tc>
        <w:tc>
          <w:tcPr>
            <w:tcW w:type="dxa" w:w="4873"/>
          </w:tcPr>
          <w:p>
            <w:pPr>
              <w:spacing w:before="20" w:after="20"/>
            </w:pPr>
            <w:r/>
            <w:r>
              <w:rPr>
                <w:rFonts w:ascii="Arial" w:hAnsi="Arial"/>
                <w:b w:val="0"/>
                <w:i w:val="0"/>
                <w:sz w:val="18"/>
              </w:rPr>
              <w:t>Consideration of findings and remediation plan</w:t>
            </w:r>
          </w:p>
        </w:tc>
      </w:tr>
      <w:tr>
        <w:trPr>
          <w:cantSplit/>
        </w:trPr>
        <w:tc>
          <w:tcPr>
            <w:tcW w:type="dxa" w:w="4873"/>
          </w:tcPr>
          <w:p>
            <w:pPr>
              <w:spacing w:before="20" w:after="20"/>
            </w:pPr>
            <w:r/>
            <w:r>
              <w:rPr>
                <w:rFonts w:ascii="Arial" w:hAnsi="Arial"/>
                <w:b w:val="0"/>
                <w:i w:val="0"/>
                <w:sz w:val="18"/>
              </w:rPr>
              <w:t>Chief Executive Officer</w:t>
            </w:r>
          </w:p>
        </w:tc>
        <w:tc>
          <w:tcPr>
            <w:tcW w:type="dxa" w:w="4873"/>
          </w:tcPr>
          <w:p>
            <w:pPr>
              <w:spacing w:before="20" w:after="20"/>
            </w:pPr>
            <w:r/>
            <w:r>
              <w:rPr>
                <w:rFonts w:ascii="Arial" w:hAnsi="Arial"/>
                <w:b w:val="0"/>
                <w:i w:val="0"/>
                <w:sz w:val="18"/>
              </w:rPr>
              <w:t>Accountability for the response</w:t>
            </w:r>
          </w:p>
        </w:tc>
      </w:tr>
      <w:tr>
        <w:trPr>
          <w:cantSplit/>
        </w:trPr>
        <w:tc>
          <w:tcPr>
            <w:tcW w:type="dxa" w:w="4873"/>
          </w:tcPr>
          <w:p>
            <w:pPr>
              <w:spacing w:before="20" w:after="20"/>
            </w:pPr>
            <w:r/>
            <w:r>
              <w:rPr>
                <w:rFonts w:ascii="Arial" w:hAnsi="Arial"/>
                <w:b w:val="0"/>
                <w:i w:val="0"/>
                <w:sz w:val="18"/>
              </w:rPr>
              <w:t>Head of Legal &amp; Compliance</w:t>
            </w:r>
          </w:p>
        </w:tc>
        <w:tc>
          <w:tcPr>
            <w:tcW w:type="dxa" w:w="4873"/>
          </w:tcPr>
          <w:p>
            <w:pPr>
              <w:spacing w:before="20" w:after="20"/>
            </w:pPr>
            <w:r/>
            <w:r>
              <w:rPr>
                <w:rFonts w:ascii="Arial" w:hAnsi="Arial"/>
                <w:b w:val="0"/>
                <w:i w:val="0"/>
                <w:sz w:val="18"/>
              </w:rPr>
              <w:t>Owner of the remediation plan</w:t>
            </w:r>
          </w:p>
        </w:tc>
      </w:tr>
      <w:tr>
        <w:trPr>
          <w:cantSplit/>
        </w:trPr>
        <w:tc>
          <w:tcPr>
            <w:tcW w:type="dxa" w:w="4873"/>
          </w:tcPr>
          <w:p>
            <w:pPr>
              <w:spacing w:before="20" w:after="20"/>
            </w:pPr>
            <w:r/>
            <w:r>
              <w:rPr>
                <w:rFonts w:ascii="Arial" w:hAnsi="Arial"/>
                <w:b w:val="0"/>
                <w:i w:val="0"/>
                <w:sz w:val="18"/>
              </w:rPr>
              <w:t>Chief Information Security Officer</w:t>
            </w:r>
          </w:p>
        </w:tc>
        <w:tc>
          <w:tcPr>
            <w:tcW w:type="dxa" w:w="4873"/>
          </w:tcPr>
          <w:p>
            <w:pPr>
              <w:spacing w:before="20" w:after="20"/>
            </w:pPr>
            <w:r/>
            <w:r>
              <w:rPr>
                <w:rFonts w:ascii="Arial" w:hAnsi="Arial"/>
                <w:b w:val="0"/>
                <w:i w:val="0"/>
                <w:sz w:val="18"/>
              </w:rPr>
              <w:t>Owner of the security findings</w:t>
            </w:r>
          </w:p>
        </w:tc>
      </w:tr>
    </w:tbl>
    <w:p>
      <w:pPr>
        <w:spacing w:before="0" w:after="200"/>
      </w:pPr>
    </w:p>
    <w:p>
      <w:pPr>
        <w:pStyle w:val="Heading2"/>
        <w:keepNext/>
        <w:spacing w:before="280" w:after="120"/>
      </w:pPr>
      <w:r>
        <w:rPr>
          <w:rFonts w:ascii="Arial" w:hAnsi="Arial"/>
          <w:b/>
          <w:color w:val="1F3552"/>
          <w:sz w:val="26"/>
        </w:rPr>
        <w:t>Contents</w:t>
      </w:r>
    </w:p>
    <w:p>
      <w:pPr>
        <w:spacing w:before="0" w:after="160"/>
      </w:pPr>
      <w:r>
        <w:rPr>
          <w:rFonts w:ascii="Times New Roman" w:hAnsi="Times New Roman"/>
          <w:b w:val="0"/>
          <w:i/>
          <w:color w:val="44546A"/>
          <w:sz w:val="18"/>
        </w:rPr>
        <w:t>The table of contents below is a field. If it appears empty, select it and press F9, or open the document in Word and accept the prompt to update fields.</w:t>
      </w:r>
    </w:p>
    <w:p>
      <w:r>
        <w:fldChar w:fldCharType="begin"/>
        <w:instrText xml:space="preserve">TOC \o "1-3" \h \z \u</w:instrText>
        <w:fldChar w:fldCharType="separate"/>
        <w:t>Right-click and choose Update Field.</w:t>
        <w:fldChar w:fldCharType="end"/>
      </w:r>
    </w:p>
    <w:p>
      <w:r>
        <w:br w:type="page"/>
      </w:r>
    </w:p>
    <w:p>
      <w:pPr>
        <w:pStyle w:val="Heading1"/>
        <w:keepNext/>
        <w:spacing w:before="280" w:after="120"/>
      </w:pPr>
      <w:r>
        <w:rPr>
          <w:rFonts w:ascii="Arial" w:hAnsi="Arial"/>
          <w:b/>
          <w:color w:val="1F3552"/>
          <w:sz w:val="32"/>
        </w:rPr>
        <w:t>1.  Executive summary</w:t>
      </w:r>
    </w:p>
    <w:p>
      <w:pPr>
        <w:pStyle w:val="Heading2"/>
        <w:keepNext/>
        <w:spacing w:before="280" w:after="120"/>
      </w:pPr>
      <w:r>
        <w:rPr>
          <w:rFonts w:ascii="Arial" w:hAnsi="Arial"/>
          <w:b/>
          <w:color w:val="1F3552"/>
          <w:sz w:val="26"/>
        </w:rPr>
        <w:t>1.1  Overall conclusion</w:t>
      </w:r>
    </w:p>
    <w:tbl>
      <w:tblPr>
        <w:tblStyle w:val="TableGrid"/>
        <w:tblW w:w="9746" w:type="dxa"/>
        <w:jc w:val="center"/>
        <w:tblLayout w:type="fixed"/>
        <w:tblLook w:firstColumn="1" w:firstRow="1" w:lastColumn="0" w:lastRow="0" w:noHBand="0" w:noVBand="1" w:val="04A0"/>
      </w:tblPr>
      <w:tblGrid>
        <w:gridCol w:w="3248"/>
        <w:gridCol w:w="6497"/>
      </w:tblGrid>
      <w:tr>
        <w:trPr>
          <w:cantSplit/>
        </w:trPr>
        <w:tc>
          <w:tcPr>
            <w:tcW w:type="dxa" w:w="3249"/>
            <w:shd w:val="clear" w:color="auto" w:fill="EEF2F7"/>
          </w:tcPr>
          <w:p>
            <w:pPr>
              <w:spacing w:before="20" w:after="20"/>
              <w:jc w:val="center"/>
            </w:pPr>
            <w:r/>
            <w:r>
              <w:rPr>
                <w:rFonts w:ascii="Arial" w:hAnsi="Arial"/>
                <w:b/>
                <w:i w:val="0"/>
                <w:color w:val="1F3552"/>
                <w:sz w:val="60"/>
              </w:rPr>
              <w:t>48.8%</w:t>
            </w:r>
          </w:p>
        </w:tc>
        <w:tc>
          <w:tcPr>
            <w:tcW w:type="dxa" w:w="6498"/>
          </w:tcPr>
          <w:p>
            <w:pPr>
              <w:spacing w:before="20" w:after="20"/>
            </w:pPr>
            <w:r/>
            <w:r>
              <w:rPr>
                <w:rFonts w:ascii="Arial" w:hAnsi="Arial"/>
                <w:b/>
                <w:i w:val="0"/>
                <w:sz w:val="22"/>
              </w:rPr>
              <w:t>Developing — Core obligations addressed; significant gaps remain in evidence and coverage.</w:t>
            </w:r>
          </w:p>
        </w:tc>
      </w:tr>
    </w:tbl>
    <w:p>
      <w:pPr>
        <w:spacing w:before="0" w:after="160"/>
      </w:pPr>
    </w:p>
    <w:p>
      <w:pPr>
        <w:spacing w:before="0" w:after="120"/>
        <w:jc w:val="both"/>
      </w:pPr>
      <w:r>
        <w:rPr>
          <w:rFonts w:ascii="Times New Roman" w:hAnsi="Times New Roman"/>
          <w:b w:val="0"/>
          <w:i w:val="0"/>
          <w:sz w:val="21"/>
        </w:rPr>
        <w:t>Kavach Financial Technologies Private Limited was assessed against 87 controls derived from the Digital Personal Data Protection Act, 2023 and the DPDP Rules, of which 87 were assessed (100.0% coverage). The entity achieved a weighted maturity of 48.8%, placing it in the Developing band. 60 controls fell below the substantially-compliant threshold and are reported as gaps, of which 25 attach to obligations rated critical.</w:t>
      </w:r>
    </w:p>
    <w:p>
      <w:pPr>
        <w:spacing w:before="0" w:after="120"/>
        <w:jc w:val="both"/>
      </w:pPr>
      <w:r>
        <w:rPr>
          <w:rFonts w:ascii="Times New Roman" w:hAnsi="Times New Roman"/>
          <w:b w:val="0"/>
          <w:i w:val="0"/>
          <w:sz w:val="21"/>
        </w:rPr>
        <w:t>The distribution of maturity is uneven, and that unevenness is the central finding of this assessment. Security Safeguards is the strongest area at 80.3%, reflecting investment made for other regulatory purposes. The weakest areas — Retention &amp; Erasure (21.6%), Significant Data Fiduciary Obligations (24.3%), Children &amp; Persons with Disability (34.8%) — are those where the Act imposes obligations that have no close analogue in the entity's existing regulatory obligations. The pattern indicates a programme that has inherited controls rather than one that has been designed against this statute.</w:t>
      </w:r>
    </w:p>
    <w:p>
      <w:pPr>
        <w:pStyle w:val="Heading2"/>
        <w:keepNext/>
        <w:spacing w:before="280" w:after="120"/>
      </w:pPr>
      <w:r>
        <w:rPr>
          <w:rFonts w:ascii="Arial" w:hAnsi="Arial"/>
          <w:b/>
          <w:color w:val="1F3552"/>
          <w:sz w:val="26"/>
        </w:rPr>
        <w:t>1.2  Results at a glance</w:t>
      </w:r>
    </w:p>
    <w:tbl>
      <w:tblPr>
        <w:tblStyle w:val="TableGrid"/>
        <w:tblW w:w="9746" w:type="dxa"/>
        <w:jc w:val="center"/>
        <w:tblLayout w:type="fixed"/>
        <w:tblLook w:firstColumn="1" w:firstRow="1" w:lastColumn="0" w:lastRow="0" w:noHBand="0" w:noVBand="1" w:val="04A0"/>
      </w:tblPr>
      <w:tblGrid>
        <w:gridCol w:w="2859"/>
        <w:gridCol w:w="2014"/>
        <w:gridCol w:w="2859"/>
        <w:gridCol w:w="2014"/>
      </w:tblGrid>
      <w:tr>
        <w:trPr>
          <w:cantSplit/>
        </w:trPr>
        <w:tc>
          <w:tcPr>
            <w:tcW w:type="dxa" w:w="2859"/>
            <w:shd w:val="clear" w:color="auto" w:fill="EEF2F7"/>
          </w:tcPr>
          <w:p>
            <w:pPr>
              <w:spacing w:before="20" w:after="20"/>
            </w:pPr>
            <w:r/>
            <w:r>
              <w:rPr>
                <w:rFonts w:ascii="Arial" w:hAnsi="Arial"/>
                <w:b w:val="0"/>
                <w:i w:val="0"/>
                <w:sz w:val="19"/>
              </w:rPr>
              <w:t>Controls in scope</w:t>
            </w:r>
          </w:p>
        </w:tc>
        <w:tc>
          <w:tcPr>
            <w:tcW w:type="dxa" w:w="2014"/>
          </w:tcPr>
          <w:p>
            <w:pPr>
              <w:spacing w:before="20" w:after="20"/>
              <w:jc w:val="center"/>
            </w:pPr>
            <w:r/>
            <w:r>
              <w:rPr>
                <w:rFonts w:ascii="Arial" w:hAnsi="Arial"/>
                <w:b/>
                <w:i w:val="0"/>
                <w:sz w:val="19"/>
              </w:rPr>
              <w:t>87</w:t>
            </w:r>
          </w:p>
        </w:tc>
        <w:tc>
          <w:tcPr>
            <w:tcW w:type="dxa" w:w="2859"/>
            <w:shd w:val="clear" w:color="auto" w:fill="EEF2F7"/>
          </w:tcPr>
          <w:p>
            <w:pPr>
              <w:spacing w:before="20" w:after="20"/>
            </w:pPr>
            <w:r/>
            <w:r>
              <w:rPr>
                <w:rFonts w:ascii="Arial" w:hAnsi="Arial"/>
                <w:b w:val="0"/>
                <w:i w:val="0"/>
                <w:sz w:val="19"/>
              </w:rPr>
              <w:t>Gaps identified</w:t>
            </w:r>
          </w:p>
        </w:tc>
        <w:tc>
          <w:tcPr>
            <w:tcW w:type="dxa" w:w="2014"/>
          </w:tcPr>
          <w:p>
            <w:pPr>
              <w:spacing w:before="20" w:after="20"/>
              <w:jc w:val="center"/>
            </w:pPr>
            <w:r/>
            <w:r>
              <w:rPr>
                <w:rFonts w:ascii="Arial" w:hAnsi="Arial"/>
                <w:b/>
                <w:i w:val="0"/>
                <w:sz w:val="19"/>
              </w:rPr>
              <w:t>60</w:t>
            </w:r>
          </w:p>
        </w:tc>
      </w:tr>
      <w:tr>
        <w:trPr>
          <w:cantSplit/>
        </w:trPr>
        <w:tc>
          <w:tcPr>
            <w:tcW w:type="dxa" w:w="2859"/>
            <w:shd w:val="clear" w:color="auto" w:fill="EEF2F7"/>
          </w:tcPr>
          <w:p>
            <w:pPr>
              <w:spacing w:before="20" w:after="20"/>
            </w:pPr>
            <w:r/>
            <w:r>
              <w:rPr>
                <w:rFonts w:ascii="Arial" w:hAnsi="Arial"/>
                <w:b w:val="0"/>
                <w:i w:val="0"/>
                <w:sz w:val="19"/>
              </w:rPr>
              <w:t>Controls assessed</w:t>
            </w:r>
          </w:p>
        </w:tc>
        <w:tc>
          <w:tcPr>
            <w:tcW w:type="dxa" w:w="2014"/>
          </w:tcPr>
          <w:p>
            <w:pPr>
              <w:spacing w:before="20" w:after="20"/>
              <w:jc w:val="center"/>
            </w:pPr>
            <w:r/>
            <w:r>
              <w:rPr>
                <w:rFonts w:ascii="Arial" w:hAnsi="Arial"/>
                <w:b/>
                <w:i w:val="0"/>
                <w:sz w:val="19"/>
              </w:rPr>
              <w:t>87</w:t>
            </w:r>
          </w:p>
        </w:tc>
        <w:tc>
          <w:tcPr>
            <w:tcW w:type="dxa" w:w="2859"/>
            <w:shd w:val="clear" w:color="auto" w:fill="EEF2F7"/>
          </w:tcPr>
          <w:p>
            <w:pPr>
              <w:spacing w:before="20" w:after="20"/>
            </w:pPr>
            <w:r/>
            <w:r>
              <w:rPr>
                <w:rFonts w:ascii="Arial" w:hAnsi="Arial"/>
                <w:b w:val="0"/>
                <w:i w:val="0"/>
                <w:sz w:val="19"/>
              </w:rPr>
              <w:t>— critical severity</w:t>
            </w:r>
          </w:p>
        </w:tc>
        <w:tc>
          <w:tcPr>
            <w:tcW w:type="dxa" w:w="2014"/>
          </w:tcPr>
          <w:p>
            <w:pPr>
              <w:spacing w:before="20" w:after="20"/>
              <w:jc w:val="center"/>
            </w:pPr>
            <w:r/>
            <w:r>
              <w:rPr>
                <w:rFonts w:ascii="Arial" w:hAnsi="Arial"/>
                <w:b/>
                <w:i w:val="0"/>
                <w:sz w:val="19"/>
              </w:rPr>
              <w:t>25</w:t>
            </w:r>
          </w:p>
        </w:tc>
      </w:tr>
      <w:tr>
        <w:trPr>
          <w:cantSplit/>
        </w:trPr>
        <w:tc>
          <w:tcPr>
            <w:tcW w:type="dxa" w:w="2859"/>
            <w:shd w:val="clear" w:color="auto" w:fill="EEF2F7"/>
          </w:tcPr>
          <w:p>
            <w:pPr>
              <w:spacing w:before="20" w:after="20"/>
            </w:pPr>
            <w:r/>
            <w:r>
              <w:rPr>
                <w:rFonts w:ascii="Arial" w:hAnsi="Arial"/>
                <w:b w:val="0"/>
                <w:i w:val="0"/>
                <w:sz w:val="19"/>
              </w:rPr>
              <w:t>Out of scope</w:t>
            </w:r>
          </w:p>
        </w:tc>
        <w:tc>
          <w:tcPr>
            <w:tcW w:type="dxa" w:w="2014"/>
          </w:tcPr>
          <w:p>
            <w:pPr>
              <w:spacing w:before="20" w:after="20"/>
              <w:jc w:val="center"/>
            </w:pPr>
            <w:r/>
            <w:r>
              <w:rPr>
                <w:rFonts w:ascii="Arial" w:hAnsi="Arial"/>
                <w:b/>
                <w:i w:val="0"/>
                <w:sz w:val="19"/>
              </w:rPr>
              <w:t>3</w:t>
            </w:r>
          </w:p>
        </w:tc>
        <w:tc>
          <w:tcPr>
            <w:tcW w:type="dxa" w:w="2859"/>
            <w:shd w:val="clear" w:color="auto" w:fill="EEF2F7"/>
          </w:tcPr>
          <w:p>
            <w:pPr>
              <w:spacing w:before="20" w:after="20"/>
            </w:pPr>
            <w:r/>
            <w:r>
              <w:rPr>
                <w:rFonts w:ascii="Arial" w:hAnsi="Arial"/>
                <w:b w:val="0"/>
                <w:i w:val="0"/>
                <w:sz w:val="19"/>
              </w:rPr>
              <w:t>— high severity</w:t>
            </w:r>
          </w:p>
        </w:tc>
        <w:tc>
          <w:tcPr>
            <w:tcW w:type="dxa" w:w="2014"/>
          </w:tcPr>
          <w:p>
            <w:pPr>
              <w:spacing w:before="20" w:after="20"/>
              <w:jc w:val="center"/>
            </w:pPr>
            <w:r/>
            <w:r>
              <w:rPr>
                <w:rFonts w:ascii="Arial" w:hAnsi="Arial"/>
                <w:b/>
                <w:i w:val="0"/>
                <w:sz w:val="19"/>
              </w:rPr>
              <w:t>24</w:t>
            </w:r>
          </w:p>
        </w:tc>
      </w:tr>
      <w:tr>
        <w:trPr>
          <w:cantSplit/>
        </w:trPr>
        <w:tc>
          <w:tcPr>
            <w:tcW w:type="dxa" w:w="2859"/>
            <w:shd w:val="clear" w:color="auto" w:fill="EEF2F7"/>
          </w:tcPr>
          <w:p>
            <w:pPr>
              <w:spacing w:before="20" w:after="20"/>
            </w:pPr>
            <w:r/>
            <w:r>
              <w:rPr>
                <w:rFonts w:ascii="Arial" w:hAnsi="Arial"/>
                <w:b w:val="0"/>
                <w:i w:val="0"/>
                <w:sz w:val="19"/>
              </w:rPr>
              <w:t>Not applicable</w:t>
            </w:r>
          </w:p>
        </w:tc>
        <w:tc>
          <w:tcPr>
            <w:tcW w:type="dxa" w:w="2014"/>
          </w:tcPr>
          <w:p>
            <w:pPr>
              <w:spacing w:before="20" w:after="20"/>
              <w:jc w:val="center"/>
            </w:pPr>
            <w:r/>
            <w:r>
              <w:rPr>
                <w:rFonts w:ascii="Arial" w:hAnsi="Arial"/>
                <w:b/>
                <w:i w:val="0"/>
                <w:sz w:val="19"/>
              </w:rPr>
              <w:t>0</w:t>
            </w:r>
          </w:p>
        </w:tc>
        <w:tc>
          <w:tcPr>
            <w:tcW w:type="dxa" w:w="2859"/>
            <w:shd w:val="clear" w:color="auto" w:fill="EEF2F7"/>
          </w:tcPr>
          <w:p>
            <w:pPr>
              <w:spacing w:before="20" w:after="20"/>
            </w:pPr>
            <w:r/>
            <w:r>
              <w:rPr>
                <w:rFonts w:ascii="Arial" w:hAnsi="Arial"/>
                <w:b w:val="0"/>
                <w:i w:val="0"/>
                <w:sz w:val="19"/>
              </w:rPr>
              <w:t>— medium severity</w:t>
            </w:r>
          </w:p>
        </w:tc>
        <w:tc>
          <w:tcPr>
            <w:tcW w:type="dxa" w:w="2014"/>
          </w:tcPr>
          <w:p>
            <w:pPr>
              <w:spacing w:before="20" w:after="20"/>
              <w:jc w:val="center"/>
            </w:pPr>
            <w:r/>
            <w:r>
              <w:rPr>
                <w:rFonts w:ascii="Arial" w:hAnsi="Arial"/>
                <w:b/>
                <w:i w:val="0"/>
                <w:sz w:val="19"/>
              </w:rPr>
              <w:t>9</w:t>
            </w:r>
          </w:p>
        </w:tc>
      </w:tr>
      <w:tr>
        <w:trPr>
          <w:cantSplit/>
        </w:trPr>
        <w:tc>
          <w:tcPr>
            <w:tcW w:type="dxa" w:w="2859"/>
            <w:shd w:val="clear" w:color="auto" w:fill="EEF2F7"/>
          </w:tcPr>
          <w:p>
            <w:pPr>
              <w:spacing w:before="20" w:after="20"/>
            </w:pPr>
            <w:r/>
            <w:r>
              <w:rPr>
                <w:rFonts w:ascii="Arial" w:hAnsi="Arial"/>
                <w:b w:val="0"/>
                <w:i w:val="0"/>
                <w:sz w:val="19"/>
              </w:rPr>
              <w:t>Compliant</w:t>
            </w:r>
          </w:p>
        </w:tc>
        <w:tc>
          <w:tcPr>
            <w:tcW w:type="dxa" w:w="2014"/>
          </w:tcPr>
          <w:p>
            <w:pPr>
              <w:spacing w:before="20" w:after="20"/>
              <w:jc w:val="center"/>
            </w:pPr>
            <w:r/>
            <w:r>
              <w:rPr>
                <w:rFonts w:ascii="Arial" w:hAnsi="Arial"/>
                <w:b/>
                <w:i w:val="0"/>
                <w:sz w:val="19"/>
              </w:rPr>
              <w:t>2</w:t>
            </w:r>
          </w:p>
        </w:tc>
        <w:tc>
          <w:tcPr>
            <w:tcW w:type="dxa" w:w="2859"/>
            <w:shd w:val="clear" w:color="auto" w:fill="EEF2F7"/>
          </w:tcPr>
          <w:p>
            <w:pPr>
              <w:spacing w:before="20" w:after="20"/>
            </w:pPr>
            <w:r/>
            <w:r>
              <w:rPr>
                <w:rFonts w:ascii="Arial" w:hAnsi="Arial"/>
                <w:b w:val="0"/>
                <w:i w:val="0"/>
                <w:sz w:val="19"/>
              </w:rPr>
              <w:t>— low severity</w:t>
            </w:r>
          </w:p>
        </w:tc>
        <w:tc>
          <w:tcPr>
            <w:tcW w:type="dxa" w:w="2014"/>
          </w:tcPr>
          <w:p>
            <w:pPr>
              <w:spacing w:before="20" w:after="20"/>
              <w:jc w:val="center"/>
            </w:pPr>
            <w:r/>
            <w:r>
              <w:rPr>
                <w:rFonts w:ascii="Arial" w:hAnsi="Arial"/>
                <w:b/>
                <w:i w:val="0"/>
                <w:sz w:val="19"/>
              </w:rPr>
              <w:t>2</w:t>
            </w:r>
          </w:p>
        </w:tc>
      </w:tr>
      <w:tr>
        <w:trPr>
          <w:cantSplit/>
        </w:trPr>
        <w:tc>
          <w:tcPr>
            <w:tcW w:type="dxa" w:w="2859"/>
            <w:shd w:val="clear" w:color="auto" w:fill="EEF2F7"/>
          </w:tcPr>
          <w:p>
            <w:pPr>
              <w:spacing w:before="20" w:after="20"/>
            </w:pPr>
            <w:r/>
            <w:r>
              <w:rPr>
                <w:rFonts w:ascii="Arial" w:hAnsi="Arial"/>
                <w:b w:val="0"/>
                <w:i w:val="0"/>
                <w:sz w:val="19"/>
              </w:rPr>
              <w:t>Substantially compliant</w:t>
            </w:r>
          </w:p>
        </w:tc>
        <w:tc>
          <w:tcPr>
            <w:tcW w:type="dxa" w:w="2014"/>
          </w:tcPr>
          <w:p>
            <w:pPr>
              <w:spacing w:before="20" w:after="20"/>
              <w:jc w:val="center"/>
            </w:pPr>
            <w:r/>
            <w:r>
              <w:rPr>
                <w:rFonts w:ascii="Arial" w:hAnsi="Arial"/>
                <w:b/>
                <w:i w:val="0"/>
                <w:sz w:val="19"/>
              </w:rPr>
              <w:t>25</w:t>
            </w:r>
          </w:p>
        </w:tc>
        <w:tc>
          <w:tcPr>
            <w:tcW w:type="dxa" w:w="2859"/>
            <w:shd w:val="clear" w:color="auto" w:fill="EEF2F7"/>
          </w:tcPr>
          <w:p>
            <w:pPr>
              <w:spacing w:before="20" w:after="20"/>
            </w:pPr>
            <w:r/>
            <w:r>
              <w:rPr>
                <w:rFonts w:ascii="Arial" w:hAnsi="Arial"/>
                <w:b w:val="0"/>
                <w:i w:val="0"/>
                <w:sz w:val="19"/>
              </w:rPr>
              <w:t>P1 actions (30 days)</w:t>
            </w:r>
          </w:p>
        </w:tc>
        <w:tc>
          <w:tcPr>
            <w:tcW w:type="dxa" w:w="2014"/>
          </w:tcPr>
          <w:p>
            <w:pPr>
              <w:spacing w:before="20" w:after="20"/>
              <w:jc w:val="center"/>
            </w:pPr>
            <w:r/>
            <w:r>
              <w:rPr>
                <w:rFonts w:ascii="Arial" w:hAnsi="Arial"/>
                <w:b/>
                <w:i w:val="0"/>
                <w:sz w:val="19"/>
              </w:rPr>
              <w:t>13</w:t>
            </w:r>
          </w:p>
        </w:tc>
      </w:tr>
      <w:tr>
        <w:trPr>
          <w:cantSplit/>
        </w:trPr>
        <w:tc>
          <w:tcPr>
            <w:tcW w:type="dxa" w:w="2859"/>
            <w:shd w:val="clear" w:color="auto" w:fill="EEF2F7"/>
          </w:tcPr>
          <w:p>
            <w:pPr>
              <w:spacing w:before="20" w:after="20"/>
            </w:pPr>
            <w:r/>
            <w:r>
              <w:rPr>
                <w:rFonts w:ascii="Arial" w:hAnsi="Arial"/>
                <w:b w:val="0"/>
                <w:i w:val="0"/>
                <w:sz w:val="19"/>
              </w:rPr>
              <w:t>Partially compliant</w:t>
            </w:r>
          </w:p>
        </w:tc>
        <w:tc>
          <w:tcPr>
            <w:tcW w:type="dxa" w:w="2014"/>
          </w:tcPr>
          <w:p>
            <w:pPr>
              <w:spacing w:before="20" w:after="20"/>
              <w:jc w:val="center"/>
            </w:pPr>
            <w:r/>
            <w:r>
              <w:rPr>
                <w:rFonts w:ascii="Arial" w:hAnsi="Arial"/>
                <w:b/>
                <w:i w:val="0"/>
                <w:sz w:val="19"/>
              </w:rPr>
              <w:t>34</w:t>
            </w:r>
          </w:p>
        </w:tc>
        <w:tc>
          <w:tcPr>
            <w:tcW w:type="dxa" w:w="2859"/>
            <w:shd w:val="clear" w:color="auto" w:fill="EEF2F7"/>
          </w:tcPr>
          <w:p>
            <w:pPr>
              <w:spacing w:before="20" w:after="20"/>
            </w:pPr>
            <w:r/>
            <w:r>
              <w:rPr>
                <w:rFonts w:ascii="Arial" w:hAnsi="Arial"/>
                <w:b w:val="0"/>
                <w:i w:val="0"/>
                <w:sz w:val="19"/>
              </w:rPr>
              <w:t>Schedule entries engaged</w:t>
            </w:r>
          </w:p>
        </w:tc>
        <w:tc>
          <w:tcPr>
            <w:tcW w:type="dxa" w:w="2014"/>
          </w:tcPr>
          <w:p>
            <w:pPr>
              <w:spacing w:before="20" w:after="20"/>
              <w:jc w:val="center"/>
            </w:pPr>
            <w:r/>
            <w:r>
              <w:rPr>
                <w:rFonts w:ascii="Arial" w:hAnsi="Arial"/>
                <w:b/>
                <w:i w:val="0"/>
                <w:sz w:val="19"/>
              </w:rPr>
              <w:t>5</w:t>
            </w:r>
          </w:p>
        </w:tc>
      </w:tr>
      <w:tr>
        <w:trPr>
          <w:cantSplit/>
        </w:trPr>
        <w:tc>
          <w:tcPr>
            <w:tcW w:type="dxa" w:w="2859"/>
            <w:shd w:val="clear" w:color="auto" w:fill="EEF2F7"/>
          </w:tcPr>
          <w:p>
            <w:pPr>
              <w:spacing w:before="20" w:after="20"/>
            </w:pPr>
            <w:r/>
            <w:r>
              <w:rPr>
                <w:rFonts w:ascii="Arial" w:hAnsi="Arial"/>
                <w:b w:val="0"/>
                <w:i w:val="0"/>
                <w:sz w:val="19"/>
              </w:rPr>
              <w:t>Non-compliant</w:t>
            </w:r>
          </w:p>
        </w:tc>
        <w:tc>
          <w:tcPr>
            <w:tcW w:type="dxa" w:w="2014"/>
          </w:tcPr>
          <w:p>
            <w:pPr>
              <w:spacing w:before="20" w:after="20"/>
              <w:jc w:val="center"/>
            </w:pPr>
            <w:r/>
            <w:r>
              <w:rPr>
                <w:rFonts w:ascii="Arial" w:hAnsi="Arial"/>
                <w:b/>
                <w:i w:val="0"/>
                <w:sz w:val="19"/>
              </w:rPr>
              <w:t>26</w:t>
            </w:r>
          </w:p>
        </w:tc>
        <w:tc>
          <w:tcPr>
            <w:tcW w:type="dxa" w:w="2859"/>
            <w:shd w:val="clear" w:color="auto" w:fill="EEF2F7"/>
          </w:tcPr>
          <w:p>
            <w:pPr>
              <w:spacing w:before="20" w:after="20"/>
            </w:pPr>
            <w:r/>
            <w:r>
              <w:rPr>
                <w:rFonts w:ascii="Arial" w:hAnsi="Arial"/>
                <w:b w:val="0"/>
                <w:i w:val="0"/>
                <w:sz w:val="19"/>
              </w:rPr>
              <w:t>Exposure ceiling</w:t>
            </w:r>
          </w:p>
        </w:tc>
        <w:tc>
          <w:tcPr>
            <w:tcW w:type="dxa" w:w="2014"/>
          </w:tcPr>
          <w:p>
            <w:pPr>
              <w:spacing w:before="20" w:after="20"/>
              <w:jc w:val="center"/>
            </w:pPr>
            <w:r/>
            <w:r>
              <w:rPr>
                <w:rFonts w:ascii="Arial" w:hAnsi="Arial"/>
                <w:b/>
                <w:i w:val="0"/>
                <w:sz w:val="19"/>
              </w:rPr>
              <w:t>INR 850 crore</w:t>
            </w:r>
          </w:p>
        </w:tc>
      </w:tr>
    </w:tbl>
    <w:p>
      <w:pPr>
        <w:pStyle w:val="Heading2"/>
        <w:keepNext/>
        <w:spacing w:before="280" w:after="120"/>
      </w:pPr>
      <w:r>
        <w:rPr>
          <w:rFonts w:ascii="Arial" w:hAnsi="Arial"/>
          <w:b/>
          <w:color w:val="1F3552"/>
          <w:sz w:val="26"/>
        </w:rPr>
        <w:t>1.3  Maturity by domain</w:t>
      </w:r>
    </w:p>
    <w:tbl>
      <w:tblPr>
        <w:tblStyle w:val="TableGrid"/>
        <w:tblW w:w="9746" w:type="dxa"/>
        <w:jc w:val="center"/>
        <w:tblLayout w:type="fixed"/>
        <w:tblLook w:firstColumn="1" w:firstRow="1" w:lastColumn="0" w:lastRow="0" w:noHBand="0" w:noVBand="1" w:val="04A0"/>
      </w:tblPr>
      <w:tblGrid>
        <w:gridCol w:w="779"/>
        <w:gridCol w:w="3898"/>
        <w:gridCol w:w="909"/>
        <w:gridCol w:w="1234"/>
        <w:gridCol w:w="1364"/>
        <w:gridCol w:w="1559"/>
      </w:tblGrid>
      <w:tr>
        <w:trPr>
          <w:tblHeader w:val="true"/>
        </w:trPr>
        <w:tc>
          <w:tcPr>
            <w:tcW w:type="dxa" w:w="780"/>
            <w:shd w:val="clear" w:color="auto" w:fill="1F3552"/>
          </w:tcPr>
          <w:p>
            <w:pPr>
              <w:spacing w:before="20" w:after="20"/>
              <w:jc w:val="center"/>
            </w:pPr>
            <w:r/>
            <w:r>
              <w:rPr>
                <w:rFonts w:ascii="Arial" w:hAnsi="Arial"/>
                <w:b/>
                <w:i w:val="0"/>
                <w:color w:val="FFFFFF"/>
                <w:sz w:val="18"/>
              </w:rPr>
            </w:r>
          </w:p>
        </w:tc>
        <w:tc>
          <w:tcPr>
            <w:tcW w:type="dxa" w:w="3898"/>
            <w:shd w:val="clear" w:color="auto" w:fill="1F3552"/>
          </w:tcPr>
          <w:p>
            <w:pPr>
              <w:spacing w:before="20" w:after="20"/>
              <w:jc w:val="center"/>
            </w:pPr>
            <w:r/>
            <w:r>
              <w:rPr>
                <w:rFonts w:ascii="Arial" w:hAnsi="Arial"/>
                <w:b/>
                <w:i w:val="0"/>
                <w:color w:val="FFFFFF"/>
                <w:sz w:val="18"/>
              </w:rPr>
              <w:t>Domain</w:t>
            </w:r>
          </w:p>
        </w:tc>
        <w:tc>
          <w:tcPr>
            <w:tcW w:type="dxa" w:w="909"/>
            <w:shd w:val="clear" w:color="auto" w:fill="1F3552"/>
          </w:tcPr>
          <w:p>
            <w:pPr>
              <w:spacing w:before="20" w:after="20"/>
              <w:jc w:val="center"/>
            </w:pPr>
            <w:r/>
            <w:r>
              <w:rPr>
                <w:rFonts w:ascii="Arial" w:hAnsi="Arial"/>
                <w:b/>
                <w:i w:val="0"/>
                <w:color w:val="FFFFFF"/>
                <w:sz w:val="18"/>
              </w:rPr>
              <w:t>Weight</w:t>
            </w:r>
          </w:p>
        </w:tc>
        <w:tc>
          <w:tcPr>
            <w:tcW w:type="dxa" w:w="1235"/>
            <w:shd w:val="clear" w:color="auto" w:fill="1F3552"/>
          </w:tcPr>
          <w:p>
            <w:pPr>
              <w:spacing w:before="20" w:after="20"/>
              <w:jc w:val="center"/>
            </w:pPr>
            <w:r/>
            <w:r>
              <w:rPr>
                <w:rFonts w:ascii="Arial" w:hAnsi="Arial"/>
                <w:b/>
                <w:i w:val="0"/>
                <w:color w:val="FFFFFF"/>
                <w:sz w:val="18"/>
              </w:rPr>
              <w:t>Maturity</w:t>
            </w:r>
          </w:p>
        </w:tc>
        <w:tc>
          <w:tcPr>
            <w:tcW w:type="dxa" w:w="1365"/>
            <w:shd w:val="clear" w:color="auto" w:fill="1F3552"/>
          </w:tcPr>
          <w:p>
            <w:pPr>
              <w:spacing w:before="20" w:after="20"/>
              <w:jc w:val="center"/>
            </w:pPr>
            <w:r/>
            <w:r>
              <w:rPr>
                <w:rFonts w:ascii="Arial" w:hAnsi="Arial"/>
                <w:b/>
                <w:i w:val="0"/>
                <w:color w:val="FFFFFF"/>
                <w:sz w:val="18"/>
              </w:rPr>
              <w:t>Band</w:t>
            </w:r>
          </w:p>
        </w:tc>
        <w:tc>
          <w:tcPr>
            <w:tcW w:type="dxa" w:w="1560"/>
            <w:shd w:val="clear" w:color="auto" w:fill="1F3552"/>
          </w:tcPr>
          <w:p>
            <w:pPr>
              <w:spacing w:before="20" w:after="20"/>
              <w:jc w:val="center"/>
            </w:pPr>
            <w:r/>
            <w:r>
              <w:rPr>
                <w:rFonts w:ascii="Arial" w:hAnsi="Arial"/>
                <w:b/>
                <w:i w:val="0"/>
                <w:color w:val="FFFFFF"/>
                <w:sz w:val="18"/>
              </w:rPr>
              <w:t>Gaps / in scope</w:t>
            </w:r>
          </w:p>
        </w:tc>
      </w:tr>
      <w:tr>
        <w:trPr>
          <w:cantSplit/>
        </w:trPr>
        <w:tc>
          <w:tcPr>
            <w:tcW w:type="dxa" w:w="780"/>
            <w:shd w:val="clear" w:color="auto" w:fill="EEF2F7"/>
          </w:tcPr>
          <w:p>
            <w:pPr>
              <w:spacing w:before="20" w:after="20"/>
              <w:jc w:val="center"/>
            </w:pPr>
            <w:r/>
            <w:r>
              <w:rPr>
                <w:rFonts w:ascii="Arial" w:hAnsi="Arial"/>
                <w:b/>
                <w:i w:val="0"/>
                <w:sz w:val="18"/>
              </w:rPr>
              <w:t>APP</w:t>
            </w:r>
          </w:p>
        </w:tc>
        <w:tc>
          <w:tcPr>
            <w:tcW w:type="dxa" w:w="3898"/>
          </w:tcPr>
          <w:p>
            <w:pPr>
              <w:spacing w:before="20" w:after="20"/>
            </w:pPr>
            <w:r/>
            <w:r>
              <w:rPr>
                <w:rFonts w:ascii="Arial" w:hAnsi="Arial"/>
                <w:b w:val="0"/>
                <w:i w:val="0"/>
                <w:sz w:val="18"/>
              </w:rPr>
              <w:t>Applicability &amp; Role Determination</w:t>
            </w:r>
          </w:p>
        </w:tc>
        <w:tc>
          <w:tcPr>
            <w:tcW w:type="dxa" w:w="909"/>
          </w:tcPr>
          <w:p>
            <w:pPr>
              <w:spacing w:before="20" w:after="20"/>
              <w:jc w:val="center"/>
            </w:pPr>
            <w:r/>
            <w:r>
              <w:rPr>
                <w:rFonts w:ascii="Arial" w:hAnsi="Arial"/>
                <w:b w:val="0"/>
                <w:i w:val="0"/>
                <w:sz w:val="18"/>
              </w:rPr>
              <w:t>1</w:t>
            </w:r>
          </w:p>
        </w:tc>
        <w:tc>
          <w:tcPr>
            <w:tcW w:type="dxa" w:w="1235"/>
            <w:shd w:val="clear" w:color="auto" w:fill="FDECC8"/>
          </w:tcPr>
          <w:p>
            <w:pPr>
              <w:spacing w:before="20" w:after="20"/>
              <w:jc w:val="center"/>
            </w:pPr>
            <w:r/>
            <w:r>
              <w:rPr>
                <w:rFonts w:ascii="Arial" w:hAnsi="Arial"/>
                <w:b/>
                <w:i w:val="0"/>
                <w:sz w:val="18"/>
              </w:rPr>
              <w:t>50.7%</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2 of 3</w:t>
            </w:r>
          </w:p>
        </w:tc>
      </w:tr>
      <w:tr>
        <w:trPr>
          <w:cantSplit/>
        </w:trPr>
        <w:tc>
          <w:tcPr>
            <w:tcW w:type="dxa" w:w="780"/>
            <w:shd w:val="clear" w:color="auto" w:fill="EEF2F7"/>
          </w:tcPr>
          <w:p>
            <w:pPr>
              <w:spacing w:before="20" w:after="20"/>
              <w:jc w:val="center"/>
            </w:pPr>
            <w:r/>
            <w:r>
              <w:rPr>
                <w:rFonts w:ascii="Arial" w:hAnsi="Arial"/>
                <w:b/>
                <w:i w:val="0"/>
                <w:sz w:val="18"/>
              </w:rPr>
              <w:t>GOV</w:t>
            </w:r>
          </w:p>
        </w:tc>
        <w:tc>
          <w:tcPr>
            <w:tcW w:type="dxa" w:w="3898"/>
          </w:tcPr>
          <w:p>
            <w:pPr>
              <w:spacing w:before="20" w:after="20"/>
            </w:pPr>
            <w:r/>
            <w:r>
              <w:rPr>
                <w:rFonts w:ascii="Arial" w:hAnsi="Arial"/>
                <w:b w:val="0"/>
                <w:i w:val="0"/>
                <w:sz w:val="18"/>
              </w:rPr>
              <w:t>Governance, Accountability &amp; Records</w:t>
            </w:r>
          </w:p>
        </w:tc>
        <w:tc>
          <w:tcPr>
            <w:tcW w:type="dxa" w:w="909"/>
          </w:tcPr>
          <w:p>
            <w:pPr>
              <w:spacing w:before="20" w:after="20"/>
              <w:jc w:val="center"/>
            </w:pPr>
            <w:r/>
            <w:r>
              <w:rPr>
                <w:rFonts w:ascii="Arial" w:hAnsi="Arial"/>
                <w:b w:val="0"/>
                <w:i w:val="0"/>
                <w:sz w:val="18"/>
              </w:rPr>
              <w:t>1.2</w:t>
            </w:r>
          </w:p>
        </w:tc>
        <w:tc>
          <w:tcPr>
            <w:tcW w:type="dxa" w:w="1235"/>
            <w:shd w:val="clear" w:color="auto" w:fill="FDECC8"/>
          </w:tcPr>
          <w:p>
            <w:pPr>
              <w:spacing w:before="20" w:after="20"/>
              <w:jc w:val="center"/>
            </w:pPr>
            <w:r/>
            <w:r>
              <w:rPr>
                <w:rFonts w:ascii="Arial" w:hAnsi="Arial"/>
                <w:b/>
                <w:i w:val="0"/>
                <w:sz w:val="18"/>
              </w:rPr>
              <w:t>52.6%</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5 of 7</w:t>
            </w:r>
          </w:p>
        </w:tc>
      </w:tr>
      <w:tr>
        <w:trPr>
          <w:cantSplit/>
        </w:trPr>
        <w:tc>
          <w:tcPr>
            <w:tcW w:type="dxa" w:w="780"/>
            <w:shd w:val="clear" w:color="auto" w:fill="EEF2F7"/>
          </w:tcPr>
          <w:p>
            <w:pPr>
              <w:spacing w:before="20" w:after="20"/>
              <w:jc w:val="center"/>
            </w:pPr>
            <w:r/>
            <w:r>
              <w:rPr>
                <w:rFonts w:ascii="Arial" w:hAnsi="Arial"/>
                <w:b/>
                <w:i w:val="0"/>
                <w:sz w:val="18"/>
              </w:rPr>
              <w:t>PUR</w:t>
            </w:r>
          </w:p>
        </w:tc>
        <w:tc>
          <w:tcPr>
            <w:tcW w:type="dxa" w:w="3898"/>
          </w:tcPr>
          <w:p>
            <w:pPr>
              <w:spacing w:before="20" w:after="20"/>
            </w:pPr>
            <w:r/>
            <w:r>
              <w:rPr>
                <w:rFonts w:ascii="Arial" w:hAnsi="Arial"/>
                <w:b w:val="0"/>
                <w:i w:val="0"/>
                <w:sz w:val="18"/>
              </w:rPr>
              <w:t>Lawful Purpose, Minimisation &amp; Accuracy</w:t>
            </w:r>
          </w:p>
        </w:tc>
        <w:tc>
          <w:tcPr>
            <w:tcW w:type="dxa" w:w="909"/>
          </w:tcPr>
          <w:p>
            <w:pPr>
              <w:spacing w:before="20" w:after="20"/>
              <w:jc w:val="center"/>
            </w:pPr>
            <w:r/>
            <w:r>
              <w:rPr>
                <w:rFonts w:ascii="Arial" w:hAnsi="Arial"/>
                <w:b w:val="0"/>
                <w:i w:val="0"/>
                <w:sz w:val="18"/>
              </w:rPr>
              <w:t>1</w:t>
            </w:r>
          </w:p>
        </w:tc>
        <w:tc>
          <w:tcPr>
            <w:tcW w:type="dxa" w:w="1235"/>
            <w:shd w:val="clear" w:color="auto" w:fill="FDECC8"/>
          </w:tcPr>
          <w:p>
            <w:pPr>
              <w:spacing w:before="20" w:after="20"/>
              <w:jc w:val="center"/>
            </w:pPr>
            <w:r/>
            <w:r>
              <w:rPr>
                <w:rFonts w:ascii="Arial" w:hAnsi="Arial"/>
                <w:b/>
                <w:i w:val="0"/>
                <w:sz w:val="18"/>
              </w:rPr>
              <w:t>49.6%</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4 of 5</w:t>
            </w:r>
          </w:p>
        </w:tc>
      </w:tr>
      <w:tr>
        <w:trPr>
          <w:cantSplit/>
        </w:trPr>
        <w:tc>
          <w:tcPr>
            <w:tcW w:type="dxa" w:w="780"/>
            <w:shd w:val="clear" w:color="auto" w:fill="EEF2F7"/>
          </w:tcPr>
          <w:p>
            <w:pPr>
              <w:spacing w:before="20" w:after="20"/>
              <w:jc w:val="center"/>
            </w:pPr>
            <w:r/>
            <w:r>
              <w:rPr>
                <w:rFonts w:ascii="Arial" w:hAnsi="Arial"/>
                <w:b/>
                <w:i w:val="0"/>
                <w:sz w:val="18"/>
              </w:rPr>
              <w:t>NOT</w:t>
            </w:r>
          </w:p>
        </w:tc>
        <w:tc>
          <w:tcPr>
            <w:tcW w:type="dxa" w:w="3898"/>
          </w:tcPr>
          <w:p>
            <w:pPr>
              <w:spacing w:before="20" w:after="20"/>
            </w:pPr>
            <w:r/>
            <w:r>
              <w:rPr>
                <w:rFonts w:ascii="Arial" w:hAnsi="Arial"/>
                <w:b w:val="0"/>
                <w:i w:val="0"/>
                <w:sz w:val="18"/>
              </w:rPr>
              <w:t>Notice</w:t>
            </w:r>
          </w:p>
        </w:tc>
        <w:tc>
          <w:tcPr>
            <w:tcW w:type="dxa" w:w="909"/>
          </w:tcPr>
          <w:p>
            <w:pPr>
              <w:spacing w:before="20" w:after="20"/>
              <w:jc w:val="center"/>
            </w:pPr>
            <w:r/>
            <w:r>
              <w:rPr>
                <w:rFonts w:ascii="Arial" w:hAnsi="Arial"/>
                <w:b w:val="0"/>
                <w:i w:val="0"/>
                <w:sz w:val="18"/>
              </w:rPr>
              <w:t>1.1</w:t>
            </w:r>
          </w:p>
        </w:tc>
        <w:tc>
          <w:tcPr>
            <w:tcW w:type="dxa" w:w="1235"/>
            <w:shd w:val="clear" w:color="auto" w:fill="F8D7D7"/>
          </w:tcPr>
          <w:p>
            <w:pPr>
              <w:spacing w:before="20" w:after="20"/>
              <w:jc w:val="center"/>
            </w:pPr>
            <w:r/>
            <w:r>
              <w:rPr>
                <w:rFonts w:ascii="Arial" w:hAnsi="Arial"/>
                <w:b/>
                <w:i w:val="0"/>
                <w:sz w:val="18"/>
              </w:rPr>
              <w:t>36.4%</w:t>
            </w:r>
          </w:p>
        </w:tc>
        <w:tc>
          <w:tcPr>
            <w:tcW w:type="dxa" w:w="1365"/>
          </w:tcPr>
          <w:p>
            <w:pPr>
              <w:spacing w:before="20" w:after="20"/>
              <w:jc w:val="center"/>
            </w:pPr>
            <w:r/>
            <w:r>
              <w:rPr>
                <w:rFonts w:ascii="Arial" w:hAnsi="Arial"/>
                <w:b w:val="0"/>
                <w:i w:val="0"/>
                <w:sz w:val="18"/>
              </w:rPr>
              <w:t>Initial</w:t>
            </w:r>
          </w:p>
        </w:tc>
        <w:tc>
          <w:tcPr>
            <w:tcW w:type="dxa" w:w="1560"/>
          </w:tcPr>
          <w:p>
            <w:pPr>
              <w:spacing w:before="20" w:after="20"/>
              <w:jc w:val="center"/>
            </w:pPr>
            <w:r/>
            <w:r>
              <w:rPr>
                <w:rFonts w:ascii="Arial" w:hAnsi="Arial"/>
                <w:b w:val="0"/>
                <w:i w:val="0"/>
                <w:sz w:val="18"/>
              </w:rPr>
              <w:t>4 of 5</w:t>
            </w:r>
          </w:p>
        </w:tc>
      </w:tr>
      <w:tr>
        <w:trPr>
          <w:cantSplit/>
        </w:trPr>
        <w:tc>
          <w:tcPr>
            <w:tcW w:type="dxa" w:w="780"/>
            <w:shd w:val="clear" w:color="auto" w:fill="EEF2F7"/>
          </w:tcPr>
          <w:p>
            <w:pPr>
              <w:spacing w:before="20" w:after="20"/>
              <w:jc w:val="center"/>
            </w:pPr>
            <w:r/>
            <w:r>
              <w:rPr>
                <w:rFonts w:ascii="Arial" w:hAnsi="Arial"/>
                <w:b/>
                <w:i w:val="0"/>
                <w:sz w:val="18"/>
              </w:rPr>
              <w:t>CON</w:t>
            </w:r>
          </w:p>
        </w:tc>
        <w:tc>
          <w:tcPr>
            <w:tcW w:type="dxa" w:w="3898"/>
          </w:tcPr>
          <w:p>
            <w:pPr>
              <w:spacing w:before="20" w:after="20"/>
            </w:pPr>
            <w:r/>
            <w:r>
              <w:rPr>
                <w:rFonts w:ascii="Arial" w:hAnsi="Arial"/>
                <w:b w:val="0"/>
                <w:i w:val="0"/>
                <w:sz w:val="18"/>
              </w:rPr>
              <w:t>Consent</w:t>
            </w:r>
          </w:p>
        </w:tc>
        <w:tc>
          <w:tcPr>
            <w:tcW w:type="dxa" w:w="909"/>
          </w:tcPr>
          <w:p>
            <w:pPr>
              <w:spacing w:before="20" w:after="20"/>
              <w:jc w:val="center"/>
            </w:pPr>
            <w:r/>
            <w:r>
              <w:rPr>
                <w:rFonts w:ascii="Arial" w:hAnsi="Arial"/>
                <w:b w:val="0"/>
                <w:i w:val="0"/>
                <w:sz w:val="18"/>
              </w:rPr>
              <w:t>1.3</w:t>
            </w:r>
          </w:p>
        </w:tc>
        <w:tc>
          <w:tcPr>
            <w:tcW w:type="dxa" w:w="1235"/>
            <w:shd w:val="clear" w:color="auto" w:fill="F8D7D7"/>
          </w:tcPr>
          <w:p>
            <w:pPr>
              <w:spacing w:before="20" w:after="20"/>
              <w:jc w:val="center"/>
            </w:pPr>
            <w:r/>
            <w:r>
              <w:rPr>
                <w:rFonts w:ascii="Arial" w:hAnsi="Arial"/>
                <w:b/>
                <w:i w:val="0"/>
                <w:sz w:val="18"/>
              </w:rPr>
              <w:t>39.8%</w:t>
            </w:r>
          </w:p>
        </w:tc>
        <w:tc>
          <w:tcPr>
            <w:tcW w:type="dxa" w:w="1365"/>
          </w:tcPr>
          <w:p>
            <w:pPr>
              <w:spacing w:before="20" w:after="20"/>
              <w:jc w:val="center"/>
            </w:pPr>
            <w:r/>
            <w:r>
              <w:rPr>
                <w:rFonts w:ascii="Arial" w:hAnsi="Arial"/>
                <w:b w:val="0"/>
                <w:i w:val="0"/>
                <w:sz w:val="18"/>
              </w:rPr>
              <w:t>Initial</w:t>
            </w:r>
          </w:p>
        </w:tc>
        <w:tc>
          <w:tcPr>
            <w:tcW w:type="dxa" w:w="1560"/>
          </w:tcPr>
          <w:p>
            <w:pPr>
              <w:spacing w:before="20" w:after="20"/>
              <w:jc w:val="center"/>
            </w:pPr>
            <w:r/>
            <w:r>
              <w:rPr>
                <w:rFonts w:ascii="Arial" w:hAnsi="Arial"/>
                <w:b w:val="0"/>
                <w:i w:val="0"/>
                <w:sz w:val="18"/>
              </w:rPr>
              <w:t>7 of 8</w:t>
            </w:r>
          </w:p>
        </w:tc>
      </w:tr>
      <w:tr>
        <w:trPr>
          <w:cantSplit/>
        </w:trPr>
        <w:tc>
          <w:tcPr>
            <w:tcW w:type="dxa" w:w="780"/>
            <w:shd w:val="clear" w:color="auto" w:fill="EEF2F7"/>
          </w:tcPr>
          <w:p>
            <w:pPr>
              <w:spacing w:before="20" w:after="20"/>
              <w:jc w:val="center"/>
            </w:pPr>
            <w:r/>
            <w:r>
              <w:rPr>
                <w:rFonts w:ascii="Arial" w:hAnsi="Arial"/>
                <w:b/>
                <w:i w:val="0"/>
                <w:sz w:val="18"/>
              </w:rPr>
              <w:t>CMG</w:t>
            </w:r>
          </w:p>
        </w:tc>
        <w:tc>
          <w:tcPr>
            <w:tcW w:type="dxa" w:w="3898"/>
          </w:tcPr>
          <w:p>
            <w:pPr>
              <w:spacing w:before="20" w:after="20"/>
            </w:pPr>
            <w:r/>
            <w:r>
              <w:rPr>
                <w:rFonts w:ascii="Arial" w:hAnsi="Arial"/>
                <w:b w:val="0"/>
                <w:i w:val="0"/>
                <w:sz w:val="18"/>
              </w:rPr>
              <w:t>Consent Manager</w:t>
            </w:r>
          </w:p>
        </w:tc>
        <w:tc>
          <w:tcPr>
            <w:tcW w:type="dxa" w:w="909"/>
          </w:tcPr>
          <w:p>
            <w:pPr>
              <w:spacing w:before="20" w:after="20"/>
              <w:jc w:val="center"/>
            </w:pPr>
            <w:r/>
            <w:r>
              <w:rPr>
                <w:rFonts w:ascii="Arial" w:hAnsi="Arial"/>
                <w:b w:val="0"/>
                <w:i w:val="0"/>
                <w:sz w:val="18"/>
              </w:rPr>
              <w:t>0.8</w:t>
            </w:r>
          </w:p>
        </w:tc>
        <w:tc>
          <w:tcPr>
            <w:tcW w:type="dxa" w:w="1235"/>
            <w:shd w:val="clear" w:color="auto" w:fill="E4EFDC"/>
          </w:tcPr>
          <w:p>
            <w:pPr>
              <w:spacing w:before="20" w:after="20"/>
              <w:jc w:val="center"/>
            </w:pPr>
            <w:r/>
            <w:r>
              <w:rPr>
                <w:rFonts w:ascii="Arial" w:hAnsi="Arial"/>
                <w:b/>
                <w:i w:val="0"/>
                <w:sz w:val="18"/>
              </w:rPr>
              <w:t>63.0%</w:t>
            </w:r>
          </w:p>
        </w:tc>
        <w:tc>
          <w:tcPr>
            <w:tcW w:type="dxa" w:w="1365"/>
          </w:tcPr>
          <w:p>
            <w:pPr>
              <w:spacing w:before="20" w:after="20"/>
              <w:jc w:val="center"/>
            </w:pPr>
            <w:r/>
            <w:r>
              <w:rPr>
                <w:rFonts w:ascii="Arial" w:hAnsi="Arial"/>
                <w:b w:val="0"/>
                <w:i w:val="0"/>
                <w:sz w:val="18"/>
              </w:rPr>
              <w:t>Managed</w:t>
            </w:r>
          </w:p>
        </w:tc>
        <w:tc>
          <w:tcPr>
            <w:tcW w:type="dxa" w:w="1560"/>
          </w:tcPr>
          <w:p>
            <w:pPr>
              <w:spacing w:before="20" w:after="20"/>
              <w:jc w:val="center"/>
            </w:pPr>
            <w:r/>
            <w:r>
              <w:rPr>
                <w:rFonts w:ascii="Arial" w:hAnsi="Arial"/>
                <w:b w:val="0"/>
                <w:i w:val="0"/>
                <w:sz w:val="18"/>
              </w:rPr>
              <w:t>1 of 2</w:t>
            </w:r>
          </w:p>
        </w:tc>
      </w:tr>
      <w:tr>
        <w:trPr>
          <w:cantSplit/>
        </w:trPr>
        <w:tc>
          <w:tcPr>
            <w:tcW w:type="dxa" w:w="780"/>
            <w:shd w:val="clear" w:color="auto" w:fill="EEF2F7"/>
          </w:tcPr>
          <w:p>
            <w:pPr>
              <w:spacing w:before="20" w:after="20"/>
              <w:jc w:val="center"/>
            </w:pPr>
            <w:r/>
            <w:r>
              <w:rPr>
                <w:rFonts w:ascii="Arial" w:hAnsi="Arial"/>
                <w:b/>
                <w:i w:val="0"/>
                <w:sz w:val="18"/>
              </w:rPr>
              <w:t>LGU</w:t>
            </w:r>
          </w:p>
        </w:tc>
        <w:tc>
          <w:tcPr>
            <w:tcW w:type="dxa" w:w="3898"/>
          </w:tcPr>
          <w:p>
            <w:pPr>
              <w:spacing w:before="20" w:after="20"/>
            </w:pPr>
            <w:r/>
            <w:r>
              <w:rPr>
                <w:rFonts w:ascii="Arial" w:hAnsi="Arial"/>
                <w:b w:val="0"/>
                <w:i w:val="0"/>
                <w:sz w:val="18"/>
              </w:rPr>
              <w:t>Legitimate Uses</w:t>
            </w:r>
          </w:p>
        </w:tc>
        <w:tc>
          <w:tcPr>
            <w:tcW w:type="dxa" w:w="909"/>
          </w:tcPr>
          <w:p>
            <w:pPr>
              <w:spacing w:before="20" w:after="20"/>
              <w:jc w:val="center"/>
            </w:pPr>
            <w:r/>
            <w:r>
              <w:rPr>
                <w:rFonts w:ascii="Arial" w:hAnsi="Arial"/>
                <w:b w:val="0"/>
                <w:i w:val="0"/>
                <w:sz w:val="18"/>
              </w:rPr>
              <w:t>0.9</w:t>
            </w:r>
          </w:p>
        </w:tc>
        <w:tc>
          <w:tcPr>
            <w:tcW w:type="dxa" w:w="1235"/>
            <w:shd w:val="clear" w:color="auto" w:fill="E4EFDC"/>
          </w:tcPr>
          <w:p>
            <w:pPr>
              <w:spacing w:before="20" w:after="20"/>
              <w:jc w:val="center"/>
            </w:pPr>
            <w:r/>
            <w:r>
              <w:rPr>
                <w:rFonts w:ascii="Arial" w:hAnsi="Arial"/>
                <w:b/>
                <w:i w:val="0"/>
                <w:sz w:val="18"/>
              </w:rPr>
              <w:t>65.7%</w:t>
            </w:r>
          </w:p>
        </w:tc>
        <w:tc>
          <w:tcPr>
            <w:tcW w:type="dxa" w:w="1365"/>
          </w:tcPr>
          <w:p>
            <w:pPr>
              <w:spacing w:before="20" w:after="20"/>
              <w:jc w:val="center"/>
            </w:pPr>
            <w:r/>
            <w:r>
              <w:rPr>
                <w:rFonts w:ascii="Arial" w:hAnsi="Arial"/>
                <w:b w:val="0"/>
                <w:i w:val="0"/>
                <w:sz w:val="18"/>
              </w:rPr>
              <w:t>Managed</w:t>
            </w:r>
          </w:p>
        </w:tc>
        <w:tc>
          <w:tcPr>
            <w:tcW w:type="dxa" w:w="1560"/>
          </w:tcPr>
          <w:p>
            <w:pPr>
              <w:spacing w:before="20" w:after="20"/>
              <w:jc w:val="center"/>
            </w:pPr>
            <w:r/>
            <w:r>
              <w:rPr>
                <w:rFonts w:ascii="Arial" w:hAnsi="Arial"/>
                <w:b w:val="0"/>
                <w:i w:val="0"/>
                <w:sz w:val="18"/>
              </w:rPr>
              <w:t>1 of 3</w:t>
            </w:r>
          </w:p>
        </w:tc>
      </w:tr>
      <w:tr>
        <w:trPr>
          <w:cantSplit/>
        </w:trPr>
        <w:tc>
          <w:tcPr>
            <w:tcW w:type="dxa" w:w="780"/>
            <w:shd w:val="clear" w:color="auto" w:fill="EEF2F7"/>
          </w:tcPr>
          <w:p>
            <w:pPr>
              <w:spacing w:before="20" w:after="20"/>
              <w:jc w:val="center"/>
            </w:pPr>
            <w:r/>
            <w:r>
              <w:rPr>
                <w:rFonts w:ascii="Arial" w:hAnsi="Arial"/>
                <w:b/>
                <w:i w:val="0"/>
                <w:sz w:val="18"/>
              </w:rPr>
              <w:t>RET</w:t>
            </w:r>
          </w:p>
        </w:tc>
        <w:tc>
          <w:tcPr>
            <w:tcW w:type="dxa" w:w="3898"/>
          </w:tcPr>
          <w:p>
            <w:pPr>
              <w:spacing w:before="20" w:after="20"/>
            </w:pPr>
            <w:r/>
            <w:r>
              <w:rPr>
                <w:rFonts w:ascii="Arial" w:hAnsi="Arial"/>
                <w:b w:val="0"/>
                <w:i w:val="0"/>
                <w:sz w:val="18"/>
              </w:rPr>
              <w:t>Retention &amp; Erasure</w:t>
            </w:r>
          </w:p>
        </w:tc>
        <w:tc>
          <w:tcPr>
            <w:tcW w:type="dxa" w:w="909"/>
          </w:tcPr>
          <w:p>
            <w:pPr>
              <w:spacing w:before="20" w:after="20"/>
              <w:jc w:val="center"/>
            </w:pPr>
            <w:r/>
            <w:r>
              <w:rPr>
                <w:rFonts w:ascii="Arial" w:hAnsi="Arial"/>
                <w:b w:val="0"/>
                <w:i w:val="0"/>
                <w:sz w:val="18"/>
              </w:rPr>
              <w:t>1.1</w:t>
            </w:r>
          </w:p>
        </w:tc>
        <w:tc>
          <w:tcPr>
            <w:tcW w:type="dxa" w:w="1235"/>
            <w:shd w:val="clear" w:color="auto" w:fill="F8D7D7"/>
          </w:tcPr>
          <w:p>
            <w:pPr>
              <w:spacing w:before="20" w:after="20"/>
              <w:jc w:val="center"/>
            </w:pPr>
            <w:r/>
            <w:r>
              <w:rPr>
                <w:rFonts w:ascii="Arial" w:hAnsi="Arial"/>
                <w:b/>
                <w:i w:val="0"/>
                <w:sz w:val="18"/>
              </w:rPr>
              <w:t>21.6%</w:t>
            </w:r>
          </w:p>
        </w:tc>
        <w:tc>
          <w:tcPr>
            <w:tcW w:type="dxa" w:w="1365"/>
          </w:tcPr>
          <w:p>
            <w:pPr>
              <w:spacing w:before="20" w:after="20"/>
              <w:jc w:val="center"/>
            </w:pPr>
            <w:r/>
            <w:r>
              <w:rPr>
                <w:rFonts w:ascii="Arial" w:hAnsi="Arial"/>
                <w:b w:val="0"/>
                <w:i w:val="0"/>
                <w:sz w:val="18"/>
              </w:rPr>
              <w:t>Initial</w:t>
            </w:r>
          </w:p>
        </w:tc>
        <w:tc>
          <w:tcPr>
            <w:tcW w:type="dxa" w:w="1560"/>
          </w:tcPr>
          <w:p>
            <w:pPr>
              <w:spacing w:before="20" w:after="20"/>
              <w:jc w:val="center"/>
            </w:pPr>
            <w:r/>
            <w:r>
              <w:rPr>
                <w:rFonts w:ascii="Arial" w:hAnsi="Arial"/>
                <w:b w:val="0"/>
                <w:i w:val="0"/>
                <w:sz w:val="18"/>
              </w:rPr>
              <w:t>5 of 5</w:t>
            </w:r>
          </w:p>
        </w:tc>
      </w:tr>
      <w:tr>
        <w:trPr>
          <w:cantSplit/>
        </w:trPr>
        <w:tc>
          <w:tcPr>
            <w:tcW w:type="dxa" w:w="780"/>
            <w:shd w:val="clear" w:color="auto" w:fill="EEF2F7"/>
          </w:tcPr>
          <w:p>
            <w:pPr>
              <w:spacing w:before="20" w:after="20"/>
              <w:jc w:val="center"/>
            </w:pPr>
            <w:r/>
            <w:r>
              <w:rPr>
                <w:rFonts w:ascii="Arial" w:hAnsi="Arial"/>
                <w:b/>
                <w:i w:val="0"/>
                <w:sz w:val="18"/>
              </w:rPr>
              <w:t>RGT</w:t>
            </w:r>
          </w:p>
        </w:tc>
        <w:tc>
          <w:tcPr>
            <w:tcW w:type="dxa" w:w="3898"/>
          </w:tcPr>
          <w:p>
            <w:pPr>
              <w:spacing w:before="20" w:after="20"/>
            </w:pPr>
            <w:r/>
            <w:r>
              <w:rPr>
                <w:rFonts w:ascii="Arial" w:hAnsi="Arial"/>
                <w:b w:val="0"/>
                <w:i w:val="0"/>
                <w:sz w:val="18"/>
              </w:rPr>
              <w:t>Data Principal Rights</w:t>
            </w:r>
          </w:p>
        </w:tc>
        <w:tc>
          <w:tcPr>
            <w:tcW w:type="dxa" w:w="909"/>
          </w:tcPr>
          <w:p>
            <w:pPr>
              <w:spacing w:before="20" w:after="20"/>
              <w:jc w:val="center"/>
            </w:pPr>
            <w:r/>
            <w:r>
              <w:rPr>
                <w:rFonts w:ascii="Arial" w:hAnsi="Arial"/>
                <w:b w:val="0"/>
                <w:i w:val="0"/>
                <w:sz w:val="18"/>
              </w:rPr>
              <w:t>1.1</w:t>
            </w:r>
          </w:p>
        </w:tc>
        <w:tc>
          <w:tcPr>
            <w:tcW w:type="dxa" w:w="1235"/>
            <w:shd w:val="clear" w:color="auto" w:fill="FDECC8"/>
          </w:tcPr>
          <w:p>
            <w:pPr>
              <w:spacing w:before="20" w:after="20"/>
              <w:jc w:val="center"/>
            </w:pPr>
            <w:r/>
            <w:r>
              <w:rPr>
                <w:rFonts w:ascii="Arial" w:hAnsi="Arial"/>
                <w:b/>
                <w:i w:val="0"/>
                <w:sz w:val="18"/>
              </w:rPr>
              <w:t>46.5%</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4 of 6</w:t>
            </w:r>
          </w:p>
        </w:tc>
      </w:tr>
      <w:tr>
        <w:trPr>
          <w:cantSplit/>
        </w:trPr>
        <w:tc>
          <w:tcPr>
            <w:tcW w:type="dxa" w:w="780"/>
            <w:shd w:val="clear" w:color="auto" w:fill="EEF2F7"/>
          </w:tcPr>
          <w:p>
            <w:pPr>
              <w:spacing w:before="20" w:after="20"/>
              <w:jc w:val="center"/>
            </w:pPr>
            <w:r/>
            <w:r>
              <w:rPr>
                <w:rFonts w:ascii="Arial" w:hAnsi="Arial"/>
                <w:b/>
                <w:i w:val="0"/>
                <w:sz w:val="18"/>
              </w:rPr>
              <w:t>GRV</w:t>
            </w:r>
          </w:p>
        </w:tc>
        <w:tc>
          <w:tcPr>
            <w:tcW w:type="dxa" w:w="3898"/>
          </w:tcPr>
          <w:p>
            <w:pPr>
              <w:spacing w:before="20" w:after="20"/>
            </w:pPr>
            <w:r/>
            <w:r>
              <w:rPr>
                <w:rFonts w:ascii="Arial" w:hAnsi="Arial"/>
                <w:b w:val="0"/>
                <w:i w:val="0"/>
                <w:sz w:val="18"/>
              </w:rPr>
              <w:t>Grievance Redressal</w:t>
            </w:r>
          </w:p>
        </w:tc>
        <w:tc>
          <w:tcPr>
            <w:tcW w:type="dxa" w:w="909"/>
          </w:tcPr>
          <w:p>
            <w:pPr>
              <w:spacing w:before="20" w:after="20"/>
              <w:jc w:val="center"/>
            </w:pPr>
            <w:r/>
            <w:r>
              <w:rPr>
                <w:rFonts w:ascii="Arial" w:hAnsi="Arial"/>
                <w:b w:val="0"/>
                <w:i w:val="0"/>
                <w:sz w:val="18"/>
              </w:rPr>
              <w:t>1</w:t>
            </w:r>
          </w:p>
        </w:tc>
        <w:tc>
          <w:tcPr>
            <w:tcW w:type="dxa" w:w="1235"/>
            <w:shd w:val="clear" w:color="auto" w:fill="FDECC8"/>
          </w:tcPr>
          <w:p>
            <w:pPr>
              <w:spacing w:before="20" w:after="20"/>
              <w:jc w:val="center"/>
            </w:pPr>
            <w:r/>
            <w:r>
              <w:rPr>
                <w:rFonts w:ascii="Arial" w:hAnsi="Arial"/>
                <w:b/>
                <w:i w:val="0"/>
                <w:sz w:val="18"/>
              </w:rPr>
              <w:t>44.0%</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3 of 4</w:t>
            </w:r>
          </w:p>
        </w:tc>
      </w:tr>
      <w:tr>
        <w:trPr>
          <w:cantSplit/>
        </w:trPr>
        <w:tc>
          <w:tcPr>
            <w:tcW w:type="dxa" w:w="780"/>
            <w:shd w:val="clear" w:color="auto" w:fill="EEF2F7"/>
          </w:tcPr>
          <w:p>
            <w:pPr>
              <w:spacing w:before="20" w:after="20"/>
              <w:jc w:val="center"/>
            </w:pPr>
            <w:r/>
            <w:r>
              <w:rPr>
                <w:rFonts w:ascii="Arial" w:hAnsi="Arial"/>
                <w:b/>
                <w:i w:val="0"/>
                <w:sz w:val="18"/>
              </w:rPr>
              <w:t>SEC</w:t>
            </w:r>
          </w:p>
        </w:tc>
        <w:tc>
          <w:tcPr>
            <w:tcW w:type="dxa" w:w="3898"/>
          </w:tcPr>
          <w:p>
            <w:pPr>
              <w:spacing w:before="20" w:after="20"/>
            </w:pPr>
            <w:r/>
            <w:r>
              <w:rPr>
                <w:rFonts w:ascii="Arial" w:hAnsi="Arial"/>
                <w:b w:val="0"/>
                <w:i w:val="0"/>
                <w:sz w:val="18"/>
              </w:rPr>
              <w:t>Security Safeguards</w:t>
            </w:r>
          </w:p>
        </w:tc>
        <w:tc>
          <w:tcPr>
            <w:tcW w:type="dxa" w:w="909"/>
          </w:tcPr>
          <w:p>
            <w:pPr>
              <w:spacing w:before="20" w:after="20"/>
              <w:jc w:val="center"/>
            </w:pPr>
            <w:r/>
            <w:r>
              <w:rPr>
                <w:rFonts w:ascii="Arial" w:hAnsi="Arial"/>
                <w:b w:val="0"/>
                <w:i w:val="0"/>
                <w:sz w:val="18"/>
              </w:rPr>
              <w:t>1.4</w:t>
            </w:r>
          </w:p>
        </w:tc>
        <w:tc>
          <w:tcPr>
            <w:tcW w:type="dxa" w:w="1235"/>
            <w:shd w:val="clear" w:color="auto" w:fill="E4EFDC"/>
          </w:tcPr>
          <w:p>
            <w:pPr>
              <w:spacing w:before="20" w:after="20"/>
              <w:jc w:val="center"/>
            </w:pPr>
            <w:r/>
            <w:r>
              <w:rPr>
                <w:rFonts w:ascii="Arial" w:hAnsi="Arial"/>
                <w:b/>
                <w:i w:val="0"/>
                <w:sz w:val="18"/>
              </w:rPr>
              <w:t>80.3%</w:t>
            </w:r>
          </w:p>
        </w:tc>
        <w:tc>
          <w:tcPr>
            <w:tcW w:type="dxa" w:w="1365"/>
          </w:tcPr>
          <w:p>
            <w:pPr>
              <w:spacing w:before="20" w:after="20"/>
              <w:jc w:val="center"/>
            </w:pPr>
            <w:r/>
            <w:r>
              <w:rPr>
                <w:rFonts w:ascii="Arial" w:hAnsi="Arial"/>
                <w:b w:val="0"/>
                <w:i w:val="0"/>
                <w:sz w:val="18"/>
              </w:rPr>
              <w:t>Optimised</w:t>
            </w:r>
          </w:p>
        </w:tc>
        <w:tc>
          <w:tcPr>
            <w:tcW w:type="dxa" w:w="1560"/>
          </w:tcPr>
          <w:p>
            <w:pPr>
              <w:spacing w:before="20" w:after="20"/>
              <w:jc w:val="center"/>
            </w:pPr>
            <w:r/>
            <w:r>
              <w:rPr>
                <w:rFonts w:ascii="Arial" w:hAnsi="Arial"/>
                <w:b w:val="0"/>
                <w:i w:val="0"/>
                <w:sz w:val="18"/>
              </w:rPr>
              <w:t>0 of 9</w:t>
            </w:r>
          </w:p>
        </w:tc>
      </w:tr>
      <w:tr>
        <w:trPr>
          <w:cantSplit/>
        </w:trPr>
        <w:tc>
          <w:tcPr>
            <w:tcW w:type="dxa" w:w="780"/>
            <w:shd w:val="clear" w:color="auto" w:fill="EEF2F7"/>
          </w:tcPr>
          <w:p>
            <w:pPr>
              <w:spacing w:before="20" w:after="20"/>
              <w:jc w:val="center"/>
            </w:pPr>
            <w:r/>
            <w:r>
              <w:rPr>
                <w:rFonts w:ascii="Arial" w:hAnsi="Arial"/>
                <w:b/>
                <w:i w:val="0"/>
                <w:sz w:val="18"/>
              </w:rPr>
              <w:t>BRC</w:t>
            </w:r>
          </w:p>
        </w:tc>
        <w:tc>
          <w:tcPr>
            <w:tcW w:type="dxa" w:w="3898"/>
          </w:tcPr>
          <w:p>
            <w:pPr>
              <w:spacing w:before="20" w:after="20"/>
            </w:pPr>
            <w:r/>
            <w:r>
              <w:rPr>
                <w:rFonts w:ascii="Arial" w:hAnsi="Arial"/>
                <w:b w:val="0"/>
                <w:i w:val="0"/>
                <w:sz w:val="18"/>
              </w:rPr>
              <w:t>Personal Data Breach Notification</w:t>
            </w:r>
          </w:p>
        </w:tc>
        <w:tc>
          <w:tcPr>
            <w:tcW w:type="dxa" w:w="909"/>
          </w:tcPr>
          <w:p>
            <w:pPr>
              <w:spacing w:before="20" w:after="20"/>
              <w:jc w:val="center"/>
            </w:pPr>
            <w:r/>
            <w:r>
              <w:rPr>
                <w:rFonts w:ascii="Arial" w:hAnsi="Arial"/>
                <w:b w:val="0"/>
                <w:i w:val="0"/>
                <w:sz w:val="18"/>
              </w:rPr>
              <w:t>1.3</w:t>
            </w:r>
          </w:p>
        </w:tc>
        <w:tc>
          <w:tcPr>
            <w:tcW w:type="dxa" w:w="1235"/>
            <w:shd w:val="clear" w:color="auto" w:fill="E4EFDC"/>
          </w:tcPr>
          <w:p>
            <w:pPr>
              <w:spacing w:before="20" w:after="20"/>
              <w:jc w:val="center"/>
            </w:pPr>
            <w:r/>
            <w:r>
              <w:rPr>
                <w:rFonts w:ascii="Arial" w:hAnsi="Arial"/>
                <w:b/>
                <w:i w:val="0"/>
                <w:sz w:val="18"/>
              </w:rPr>
              <w:t>62.3%</w:t>
            </w:r>
          </w:p>
        </w:tc>
        <w:tc>
          <w:tcPr>
            <w:tcW w:type="dxa" w:w="1365"/>
          </w:tcPr>
          <w:p>
            <w:pPr>
              <w:spacing w:before="20" w:after="20"/>
              <w:jc w:val="center"/>
            </w:pPr>
            <w:r/>
            <w:r>
              <w:rPr>
                <w:rFonts w:ascii="Arial" w:hAnsi="Arial"/>
                <w:b w:val="0"/>
                <w:i w:val="0"/>
                <w:sz w:val="18"/>
              </w:rPr>
              <w:t>Managed</w:t>
            </w:r>
          </w:p>
        </w:tc>
        <w:tc>
          <w:tcPr>
            <w:tcW w:type="dxa" w:w="1560"/>
          </w:tcPr>
          <w:p>
            <w:pPr>
              <w:spacing w:before="20" w:after="20"/>
              <w:jc w:val="center"/>
            </w:pPr>
            <w:r/>
            <w:r>
              <w:rPr>
                <w:rFonts w:ascii="Arial" w:hAnsi="Arial"/>
                <w:b w:val="0"/>
                <w:i w:val="0"/>
                <w:sz w:val="18"/>
              </w:rPr>
              <w:t>3 of 6</w:t>
            </w:r>
          </w:p>
        </w:tc>
      </w:tr>
      <w:tr>
        <w:trPr>
          <w:cantSplit/>
        </w:trPr>
        <w:tc>
          <w:tcPr>
            <w:tcW w:type="dxa" w:w="780"/>
            <w:shd w:val="clear" w:color="auto" w:fill="EEF2F7"/>
          </w:tcPr>
          <w:p>
            <w:pPr>
              <w:spacing w:before="20" w:after="20"/>
              <w:jc w:val="center"/>
            </w:pPr>
            <w:r/>
            <w:r>
              <w:rPr>
                <w:rFonts w:ascii="Arial" w:hAnsi="Arial"/>
                <w:b/>
                <w:i w:val="0"/>
                <w:sz w:val="18"/>
              </w:rPr>
              <w:t>CHD</w:t>
            </w:r>
          </w:p>
        </w:tc>
        <w:tc>
          <w:tcPr>
            <w:tcW w:type="dxa" w:w="3898"/>
          </w:tcPr>
          <w:p>
            <w:pPr>
              <w:spacing w:before="20" w:after="20"/>
            </w:pPr>
            <w:r/>
            <w:r>
              <w:rPr>
                <w:rFonts w:ascii="Arial" w:hAnsi="Arial"/>
                <w:b w:val="0"/>
                <w:i w:val="0"/>
                <w:sz w:val="18"/>
              </w:rPr>
              <w:t>Children &amp; Persons with Disability</w:t>
            </w:r>
          </w:p>
        </w:tc>
        <w:tc>
          <w:tcPr>
            <w:tcW w:type="dxa" w:w="909"/>
          </w:tcPr>
          <w:p>
            <w:pPr>
              <w:spacing w:before="20" w:after="20"/>
              <w:jc w:val="center"/>
            </w:pPr>
            <w:r/>
            <w:r>
              <w:rPr>
                <w:rFonts w:ascii="Arial" w:hAnsi="Arial"/>
                <w:b w:val="0"/>
                <w:i w:val="0"/>
                <w:sz w:val="18"/>
              </w:rPr>
              <w:t>1.2</w:t>
            </w:r>
          </w:p>
        </w:tc>
        <w:tc>
          <w:tcPr>
            <w:tcW w:type="dxa" w:w="1235"/>
            <w:shd w:val="clear" w:color="auto" w:fill="F8D7D7"/>
          </w:tcPr>
          <w:p>
            <w:pPr>
              <w:spacing w:before="20" w:after="20"/>
              <w:jc w:val="center"/>
            </w:pPr>
            <w:r/>
            <w:r>
              <w:rPr>
                <w:rFonts w:ascii="Arial" w:hAnsi="Arial"/>
                <w:b/>
                <w:i w:val="0"/>
                <w:sz w:val="18"/>
              </w:rPr>
              <w:t>34.8%</w:t>
            </w:r>
          </w:p>
        </w:tc>
        <w:tc>
          <w:tcPr>
            <w:tcW w:type="dxa" w:w="1365"/>
          </w:tcPr>
          <w:p>
            <w:pPr>
              <w:spacing w:before="20" w:after="20"/>
              <w:jc w:val="center"/>
            </w:pPr>
            <w:r/>
            <w:r>
              <w:rPr>
                <w:rFonts w:ascii="Arial" w:hAnsi="Arial"/>
                <w:b w:val="0"/>
                <w:i w:val="0"/>
                <w:sz w:val="18"/>
              </w:rPr>
              <w:t>Initial</w:t>
            </w:r>
          </w:p>
        </w:tc>
        <w:tc>
          <w:tcPr>
            <w:tcW w:type="dxa" w:w="1560"/>
          </w:tcPr>
          <w:p>
            <w:pPr>
              <w:spacing w:before="20" w:after="20"/>
              <w:jc w:val="center"/>
            </w:pPr>
            <w:r/>
            <w:r>
              <w:rPr>
                <w:rFonts w:ascii="Arial" w:hAnsi="Arial"/>
                <w:b w:val="0"/>
                <w:i w:val="0"/>
                <w:sz w:val="18"/>
              </w:rPr>
              <w:t>5 of 5</w:t>
            </w:r>
          </w:p>
        </w:tc>
      </w:tr>
      <w:tr>
        <w:trPr>
          <w:cantSplit/>
        </w:trPr>
        <w:tc>
          <w:tcPr>
            <w:tcW w:type="dxa" w:w="780"/>
            <w:shd w:val="clear" w:color="auto" w:fill="EEF2F7"/>
          </w:tcPr>
          <w:p>
            <w:pPr>
              <w:spacing w:before="20" w:after="20"/>
              <w:jc w:val="center"/>
            </w:pPr>
            <w:r/>
            <w:r>
              <w:rPr>
                <w:rFonts w:ascii="Arial" w:hAnsi="Arial"/>
                <w:b/>
                <w:i w:val="0"/>
                <w:sz w:val="18"/>
              </w:rPr>
              <w:t>PRO</w:t>
            </w:r>
          </w:p>
        </w:tc>
        <w:tc>
          <w:tcPr>
            <w:tcW w:type="dxa" w:w="3898"/>
          </w:tcPr>
          <w:p>
            <w:pPr>
              <w:spacing w:before="20" w:after="20"/>
            </w:pPr>
            <w:r/>
            <w:r>
              <w:rPr>
                <w:rFonts w:ascii="Arial" w:hAnsi="Arial"/>
                <w:b w:val="0"/>
                <w:i w:val="0"/>
                <w:sz w:val="18"/>
              </w:rPr>
              <w:t>Processors &amp; Vendor Contracts</w:t>
            </w:r>
          </w:p>
        </w:tc>
        <w:tc>
          <w:tcPr>
            <w:tcW w:type="dxa" w:w="909"/>
          </w:tcPr>
          <w:p>
            <w:pPr>
              <w:spacing w:before="20" w:after="20"/>
              <w:jc w:val="center"/>
            </w:pPr>
            <w:r/>
            <w:r>
              <w:rPr>
                <w:rFonts w:ascii="Arial" w:hAnsi="Arial"/>
                <w:b w:val="0"/>
                <w:i w:val="0"/>
                <w:sz w:val="18"/>
              </w:rPr>
              <w:t>1.1</w:t>
            </w:r>
          </w:p>
        </w:tc>
        <w:tc>
          <w:tcPr>
            <w:tcW w:type="dxa" w:w="1235"/>
            <w:shd w:val="clear" w:color="auto" w:fill="FDECC8"/>
          </w:tcPr>
          <w:p>
            <w:pPr>
              <w:spacing w:before="20" w:after="20"/>
              <w:jc w:val="center"/>
            </w:pPr>
            <w:r/>
            <w:r>
              <w:rPr>
                <w:rFonts w:ascii="Arial" w:hAnsi="Arial"/>
                <w:b/>
                <w:i w:val="0"/>
                <w:sz w:val="18"/>
              </w:rPr>
              <w:t>58.2%</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4 of 6</w:t>
            </w:r>
          </w:p>
        </w:tc>
      </w:tr>
      <w:tr>
        <w:trPr>
          <w:cantSplit/>
        </w:trPr>
        <w:tc>
          <w:tcPr>
            <w:tcW w:type="dxa" w:w="780"/>
            <w:shd w:val="clear" w:color="auto" w:fill="EEF2F7"/>
          </w:tcPr>
          <w:p>
            <w:pPr>
              <w:spacing w:before="20" w:after="20"/>
              <w:jc w:val="center"/>
            </w:pPr>
            <w:r/>
            <w:r>
              <w:rPr>
                <w:rFonts w:ascii="Arial" w:hAnsi="Arial"/>
                <w:b/>
                <w:i w:val="0"/>
                <w:sz w:val="18"/>
              </w:rPr>
              <w:t>XBD</w:t>
            </w:r>
          </w:p>
        </w:tc>
        <w:tc>
          <w:tcPr>
            <w:tcW w:type="dxa" w:w="3898"/>
          </w:tcPr>
          <w:p>
            <w:pPr>
              <w:spacing w:before="20" w:after="20"/>
            </w:pPr>
            <w:r/>
            <w:r>
              <w:rPr>
                <w:rFonts w:ascii="Arial" w:hAnsi="Arial"/>
                <w:b w:val="0"/>
                <w:i w:val="0"/>
                <w:sz w:val="18"/>
              </w:rPr>
              <w:t>Cross-Border Transfers</w:t>
            </w:r>
          </w:p>
        </w:tc>
        <w:tc>
          <w:tcPr>
            <w:tcW w:type="dxa" w:w="909"/>
          </w:tcPr>
          <w:p>
            <w:pPr>
              <w:spacing w:before="20" w:after="20"/>
              <w:jc w:val="center"/>
            </w:pPr>
            <w:r/>
            <w:r>
              <w:rPr>
                <w:rFonts w:ascii="Arial" w:hAnsi="Arial"/>
                <w:b w:val="0"/>
                <w:i w:val="0"/>
                <w:sz w:val="18"/>
              </w:rPr>
              <w:t>0.9</w:t>
            </w:r>
          </w:p>
        </w:tc>
        <w:tc>
          <w:tcPr>
            <w:tcW w:type="dxa" w:w="1235"/>
            <w:shd w:val="clear" w:color="auto" w:fill="FDECC8"/>
          </w:tcPr>
          <w:p>
            <w:pPr>
              <w:spacing w:before="20" w:after="20"/>
              <w:jc w:val="center"/>
            </w:pPr>
            <w:r/>
            <w:r>
              <w:rPr>
                <w:rFonts w:ascii="Arial" w:hAnsi="Arial"/>
                <w:b/>
                <w:i w:val="0"/>
                <w:sz w:val="18"/>
              </w:rPr>
              <w:t>56.5%</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3 of 4</w:t>
            </w:r>
          </w:p>
        </w:tc>
      </w:tr>
      <w:tr>
        <w:trPr>
          <w:cantSplit/>
        </w:trPr>
        <w:tc>
          <w:tcPr>
            <w:tcW w:type="dxa" w:w="780"/>
            <w:shd w:val="clear" w:color="auto" w:fill="EEF2F7"/>
          </w:tcPr>
          <w:p>
            <w:pPr>
              <w:spacing w:before="20" w:after="20"/>
              <w:jc w:val="center"/>
            </w:pPr>
            <w:r/>
            <w:r>
              <w:rPr>
                <w:rFonts w:ascii="Arial" w:hAnsi="Arial"/>
                <w:b/>
                <w:i w:val="0"/>
                <w:sz w:val="18"/>
              </w:rPr>
              <w:t>SDF</w:t>
            </w:r>
          </w:p>
        </w:tc>
        <w:tc>
          <w:tcPr>
            <w:tcW w:type="dxa" w:w="3898"/>
          </w:tcPr>
          <w:p>
            <w:pPr>
              <w:spacing w:before="20" w:after="20"/>
            </w:pPr>
            <w:r/>
            <w:r>
              <w:rPr>
                <w:rFonts w:ascii="Arial" w:hAnsi="Arial"/>
                <w:b w:val="0"/>
                <w:i w:val="0"/>
                <w:sz w:val="18"/>
              </w:rPr>
              <w:t>Significant Data Fiduciary Obligations</w:t>
            </w:r>
          </w:p>
        </w:tc>
        <w:tc>
          <w:tcPr>
            <w:tcW w:type="dxa" w:w="909"/>
          </w:tcPr>
          <w:p>
            <w:pPr>
              <w:spacing w:before="20" w:after="20"/>
              <w:jc w:val="center"/>
            </w:pPr>
            <w:r/>
            <w:r>
              <w:rPr>
                <w:rFonts w:ascii="Arial" w:hAnsi="Arial"/>
                <w:b w:val="0"/>
                <w:i w:val="0"/>
                <w:sz w:val="18"/>
              </w:rPr>
              <w:t>1.2</w:t>
            </w:r>
          </w:p>
        </w:tc>
        <w:tc>
          <w:tcPr>
            <w:tcW w:type="dxa" w:w="1235"/>
            <w:shd w:val="clear" w:color="auto" w:fill="F8D7D7"/>
          </w:tcPr>
          <w:p>
            <w:pPr>
              <w:spacing w:before="20" w:after="20"/>
              <w:jc w:val="center"/>
            </w:pPr>
            <w:r/>
            <w:r>
              <w:rPr>
                <w:rFonts w:ascii="Arial" w:hAnsi="Arial"/>
                <w:b/>
                <w:i w:val="0"/>
                <w:sz w:val="18"/>
              </w:rPr>
              <w:t>24.3%</w:t>
            </w:r>
          </w:p>
        </w:tc>
        <w:tc>
          <w:tcPr>
            <w:tcW w:type="dxa" w:w="1365"/>
          </w:tcPr>
          <w:p>
            <w:pPr>
              <w:spacing w:before="20" w:after="20"/>
              <w:jc w:val="center"/>
            </w:pPr>
            <w:r/>
            <w:r>
              <w:rPr>
                <w:rFonts w:ascii="Arial" w:hAnsi="Arial"/>
                <w:b w:val="0"/>
                <w:i w:val="0"/>
                <w:sz w:val="18"/>
              </w:rPr>
              <w:t>Initial</w:t>
            </w:r>
          </w:p>
        </w:tc>
        <w:tc>
          <w:tcPr>
            <w:tcW w:type="dxa" w:w="1560"/>
          </w:tcPr>
          <w:p>
            <w:pPr>
              <w:spacing w:before="20" w:after="20"/>
              <w:jc w:val="center"/>
            </w:pPr>
            <w:r/>
            <w:r>
              <w:rPr>
                <w:rFonts w:ascii="Arial" w:hAnsi="Arial"/>
                <w:b w:val="0"/>
                <w:i w:val="0"/>
                <w:sz w:val="18"/>
              </w:rPr>
              <w:t>6 of 6</w:t>
            </w:r>
          </w:p>
        </w:tc>
      </w:tr>
      <w:tr>
        <w:trPr>
          <w:cantSplit/>
        </w:trPr>
        <w:tc>
          <w:tcPr>
            <w:tcW w:type="dxa" w:w="780"/>
            <w:shd w:val="clear" w:color="auto" w:fill="EEF2F7"/>
          </w:tcPr>
          <w:p>
            <w:pPr>
              <w:spacing w:before="20" w:after="20"/>
              <w:jc w:val="center"/>
            </w:pPr>
            <w:r/>
            <w:r>
              <w:rPr>
                <w:rFonts w:ascii="Arial" w:hAnsi="Arial"/>
                <w:b/>
                <w:i w:val="0"/>
                <w:sz w:val="18"/>
              </w:rPr>
              <w:t>BRD</w:t>
            </w:r>
          </w:p>
        </w:tc>
        <w:tc>
          <w:tcPr>
            <w:tcW w:type="dxa" w:w="3898"/>
          </w:tcPr>
          <w:p>
            <w:pPr>
              <w:spacing w:before="20" w:after="20"/>
            </w:pPr>
            <w:r/>
            <w:r>
              <w:rPr>
                <w:rFonts w:ascii="Arial" w:hAnsi="Arial"/>
                <w:b w:val="0"/>
                <w:i w:val="0"/>
                <w:sz w:val="18"/>
              </w:rPr>
              <w:t>Enforcement Readiness &amp; Board Engagement</w:t>
            </w:r>
          </w:p>
        </w:tc>
        <w:tc>
          <w:tcPr>
            <w:tcW w:type="dxa" w:w="909"/>
          </w:tcPr>
          <w:p>
            <w:pPr>
              <w:spacing w:before="20" w:after="20"/>
              <w:jc w:val="center"/>
            </w:pPr>
            <w:r/>
            <w:r>
              <w:rPr>
                <w:rFonts w:ascii="Arial" w:hAnsi="Arial"/>
                <w:b w:val="0"/>
                <w:i w:val="0"/>
                <w:sz w:val="18"/>
              </w:rPr>
              <w:t>0.7</w:t>
            </w:r>
          </w:p>
        </w:tc>
        <w:tc>
          <w:tcPr>
            <w:tcW w:type="dxa" w:w="1235"/>
            <w:shd w:val="clear" w:color="auto" w:fill="FDECC8"/>
          </w:tcPr>
          <w:p>
            <w:pPr>
              <w:spacing w:before="20" w:after="20"/>
              <w:jc w:val="center"/>
            </w:pPr>
            <w:r/>
            <w:r>
              <w:rPr>
                <w:rFonts w:ascii="Arial" w:hAnsi="Arial"/>
                <w:b/>
                <w:i w:val="0"/>
                <w:sz w:val="18"/>
              </w:rPr>
              <w:t>43.1%</w:t>
            </w:r>
          </w:p>
        </w:tc>
        <w:tc>
          <w:tcPr>
            <w:tcW w:type="dxa" w:w="1365"/>
          </w:tcPr>
          <w:p>
            <w:pPr>
              <w:spacing w:before="20" w:after="20"/>
              <w:jc w:val="center"/>
            </w:pPr>
            <w:r/>
            <w:r>
              <w:rPr>
                <w:rFonts w:ascii="Arial" w:hAnsi="Arial"/>
                <w:b w:val="0"/>
                <w:i w:val="0"/>
                <w:sz w:val="18"/>
              </w:rPr>
              <w:t>Developing</w:t>
            </w:r>
          </w:p>
        </w:tc>
        <w:tc>
          <w:tcPr>
            <w:tcW w:type="dxa" w:w="1560"/>
          </w:tcPr>
          <w:p>
            <w:pPr>
              <w:spacing w:before="20" w:after="20"/>
              <w:jc w:val="center"/>
            </w:pPr>
            <w:r/>
            <w:r>
              <w:rPr>
                <w:rFonts w:ascii="Arial" w:hAnsi="Arial"/>
                <w:b w:val="0"/>
                <w:i w:val="0"/>
                <w:sz w:val="18"/>
              </w:rPr>
              <w:t>3 of 3</w:t>
            </w:r>
          </w:p>
        </w:tc>
      </w:tr>
      <w:tr>
        <w:trPr>
          <w:cantSplit/>
        </w:trPr>
        <w:tc>
          <w:tcPr>
            <w:tcW w:type="dxa" w:w="780"/>
            <w:shd w:val="clear" w:color="auto" w:fill="EEF2F7"/>
          </w:tcPr>
          <w:p>
            <w:pPr>
              <w:spacing w:before="20" w:after="20"/>
              <w:jc w:val="center"/>
            </w:pPr>
            <w:r/>
            <w:r>
              <w:rPr>
                <w:rFonts w:ascii="Arial" w:hAnsi="Arial"/>
                <w:b/>
                <w:i w:val="0"/>
                <w:sz w:val="18"/>
              </w:rPr>
            </w:r>
          </w:p>
        </w:tc>
        <w:tc>
          <w:tcPr>
            <w:tcW w:type="dxa" w:w="3898"/>
            <w:shd w:val="clear" w:color="auto" w:fill="EEF2F7"/>
          </w:tcPr>
          <w:p>
            <w:pPr>
              <w:spacing w:before="20" w:after="20"/>
            </w:pPr>
            <w:r/>
            <w:r>
              <w:rPr>
                <w:rFonts w:ascii="Arial" w:hAnsi="Arial"/>
                <w:b/>
                <w:i w:val="0"/>
                <w:sz w:val="18"/>
              </w:rPr>
              <w:t>Overall (domain-weighted)</w:t>
            </w:r>
          </w:p>
        </w:tc>
        <w:tc>
          <w:tcPr>
            <w:tcW w:type="dxa" w:w="909"/>
            <w:shd w:val="clear" w:color="auto" w:fill="EEF2F7"/>
          </w:tcPr>
          <w:p>
            <w:pPr>
              <w:spacing w:before="20" w:after="20"/>
              <w:jc w:val="center"/>
            </w:pPr>
            <w:r/>
            <w:r>
              <w:rPr>
                <w:rFonts w:ascii="Arial" w:hAnsi="Arial"/>
                <w:b/>
                <w:i w:val="0"/>
                <w:sz w:val="18"/>
              </w:rPr>
            </w:r>
          </w:p>
        </w:tc>
        <w:tc>
          <w:tcPr>
            <w:tcW w:type="dxa" w:w="1235"/>
            <w:shd w:val="clear" w:color="auto" w:fill="EEF2F7"/>
          </w:tcPr>
          <w:p>
            <w:pPr>
              <w:spacing w:before="20" w:after="20"/>
              <w:jc w:val="center"/>
            </w:pPr>
            <w:r/>
            <w:r>
              <w:rPr>
                <w:rFonts w:ascii="Arial" w:hAnsi="Arial"/>
                <w:b/>
                <w:i w:val="0"/>
                <w:sz w:val="18"/>
              </w:rPr>
              <w:t>48.8%</w:t>
            </w:r>
          </w:p>
        </w:tc>
        <w:tc>
          <w:tcPr>
            <w:tcW w:type="dxa" w:w="1365"/>
            <w:shd w:val="clear" w:color="auto" w:fill="EEF2F7"/>
          </w:tcPr>
          <w:p>
            <w:pPr>
              <w:spacing w:before="20" w:after="20"/>
              <w:jc w:val="center"/>
            </w:pPr>
            <w:r/>
            <w:r>
              <w:rPr>
                <w:rFonts w:ascii="Arial" w:hAnsi="Arial"/>
                <w:b/>
                <w:i w:val="0"/>
                <w:sz w:val="18"/>
              </w:rPr>
              <w:t>Developing</w:t>
            </w:r>
          </w:p>
        </w:tc>
        <w:tc>
          <w:tcPr>
            <w:tcW w:type="dxa" w:w="1560"/>
            <w:shd w:val="clear" w:color="auto" w:fill="EEF2F7"/>
          </w:tcPr>
          <w:p>
            <w:pPr>
              <w:spacing w:before="20" w:after="20"/>
              <w:jc w:val="center"/>
            </w:pPr>
            <w:r/>
            <w:r>
              <w:rPr>
                <w:rFonts w:ascii="Arial" w:hAnsi="Arial"/>
                <w:b/>
                <w:i w:val="0"/>
                <w:sz w:val="18"/>
              </w:rPr>
              <w:t>60</w:t>
            </w:r>
          </w:p>
        </w:tc>
      </w:tr>
    </w:tbl>
    <w:p>
      <w:pPr>
        <w:spacing w:before="80" w:after="120"/>
      </w:pPr>
      <w:r>
        <w:rPr>
          <w:rFonts w:ascii="Times New Roman" w:hAnsi="Times New Roman"/>
          <w:b w:val="0"/>
          <w:i/>
          <w:color w:val="44546A"/>
          <w:sz w:val="18"/>
        </w:rPr>
        <w:t>The overall figure is a weighted average of domain maturity, not a flat average of control scores. Weighting at domain level prevents a domain with many controls from mechanically dominating one with fewer but weightier obligations.</w:t>
      </w:r>
    </w:p>
    <w:p>
      <w:pPr>
        <w:pStyle w:val="Heading2"/>
        <w:keepNext/>
        <w:spacing w:before="280" w:after="120"/>
      </w:pPr>
      <w:r>
        <w:rPr>
          <w:rFonts w:ascii="Arial" w:hAnsi="Arial"/>
          <w:b/>
          <w:color w:val="1F3552"/>
          <w:sz w:val="26"/>
        </w:rPr>
        <w:t>1.4  Most significant findings</w:t>
      </w:r>
    </w:p>
    <w:p>
      <w:pPr>
        <w:spacing w:before="0" w:after="160"/>
      </w:pPr>
      <w:r>
        <w:rPr>
          <w:rFonts w:ascii="Times New Roman" w:hAnsi="Times New Roman"/>
          <w:b w:val="0"/>
          <w:i w:val="0"/>
          <w:sz w:val="21"/>
        </w:rPr>
        <w:t>Ranked by residual risk, being the severity of the obligation multiplied by the shortfall against it. Each is detailed in section 4 and carries a gap reference in section 5.</w:t>
      </w:r>
    </w:p>
    <w:tbl>
      <w:tblPr>
        <w:tblStyle w:val="TableGrid"/>
        <w:tblW w:w="9746" w:type="dxa"/>
        <w:jc w:val="center"/>
        <w:tblLayout w:type="fixed"/>
        <w:tblLook w:firstColumn="1" w:firstRow="1" w:lastColumn="0" w:lastRow="0" w:noHBand="0" w:noVBand="1" w:val="04A0"/>
      </w:tblPr>
      <w:tblGrid>
        <w:gridCol w:w="974"/>
        <w:gridCol w:w="1104"/>
        <w:gridCol w:w="3833"/>
        <w:gridCol w:w="974"/>
        <w:gridCol w:w="1169"/>
        <w:gridCol w:w="1689"/>
      </w:tblGrid>
      <w:tr>
        <w:trPr>
          <w:tblHeader w:val="true"/>
        </w:trPr>
        <w:tc>
          <w:tcPr>
            <w:tcW w:type="dxa" w:w="975"/>
            <w:shd w:val="clear" w:color="auto" w:fill="1F3552"/>
          </w:tcPr>
          <w:p>
            <w:pPr>
              <w:spacing w:before="20" w:after="20"/>
              <w:jc w:val="center"/>
            </w:pPr>
            <w:r/>
            <w:r>
              <w:rPr>
                <w:rFonts w:ascii="Arial" w:hAnsi="Arial"/>
                <w:b/>
                <w:i w:val="0"/>
                <w:color w:val="FFFFFF"/>
                <w:sz w:val="18"/>
              </w:rPr>
              <w:t>Gap</w:t>
            </w:r>
          </w:p>
        </w:tc>
        <w:tc>
          <w:tcPr>
            <w:tcW w:type="dxa" w:w="1104"/>
            <w:shd w:val="clear" w:color="auto" w:fill="1F3552"/>
          </w:tcPr>
          <w:p>
            <w:pPr>
              <w:spacing w:before="20" w:after="20"/>
              <w:jc w:val="center"/>
            </w:pPr>
            <w:r/>
            <w:r>
              <w:rPr>
                <w:rFonts w:ascii="Arial" w:hAnsi="Arial"/>
                <w:b/>
                <w:i w:val="0"/>
                <w:color w:val="FFFFFF"/>
                <w:sz w:val="18"/>
              </w:rPr>
              <w:t>Control</w:t>
            </w:r>
          </w:p>
        </w:tc>
        <w:tc>
          <w:tcPr>
            <w:tcW w:type="dxa" w:w="3834"/>
            <w:shd w:val="clear" w:color="auto" w:fill="1F3552"/>
          </w:tcPr>
          <w:p>
            <w:pPr>
              <w:spacing w:before="20" w:after="20"/>
              <w:jc w:val="center"/>
            </w:pPr>
            <w:r/>
            <w:r>
              <w:rPr>
                <w:rFonts w:ascii="Arial" w:hAnsi="Arial"/>
                <w:b/>
                <w:i w:val="0"/>
                <w:color w:val="FFFFFF"/>
                <w:sz w:val="18"/>
              </w:rPr>
              <w:t>Finding</w:t>
            </w:r>
          </w:p>
        </w:tc>
        <w:tc>
          <w:tcPr>
            <w:tcW w:type="dxa" w:w="975"/>
            <w:shd w:val="clear" w:color="auto" w:fill="1F3552"/>
          </w:tcPr>
          <w:p>
            <w:pPr>
              <w:spacing w:before="20" w:after="20"/>
              <w:jc w:val="center"/>
            </w:pPr>
            <w:r/>
            <w:r>
              <w:rPr>
                <w:rFonts w:ascii="Arial" w:hAnsi="Arial"/>
                <w:b/>
                <w:i w:val="0"/>
                <w:color w:val="FFFFFF"/>
                <w:sz w:val="18"/>
              </w:rPr>
              <w:t>Risk</w:t>
            </w:r>
          </w:p>
        </w:tc>
        <w:tc>
          <w:tcPr>
            <w:tcW w:type="dxa" w:w="1170"/>
            <w:shd w:val="clear" w:color="auto" w:fill="1F3552"/>
          </w:tcPr>
          <w:p>
            <w:pPr>
              <w:spacing w:before="20" w:after="20"/>
              <w:jc w:val="center"/>
            </w:pPr>
            <w:r/>
            <w:r>
              <w:rPr>
                <w:rFonts w:ascii="Arial" w:hAnsi="Arial"/>
                <w:b/>
                <w:i w:val="0"/>
                <w:color w:val="FFFFFF"/>
                <w:sz w:val="18"/>
              </w:rPr>
              <w:t>Priority</w:t>
            </w:r>
          </w:p>
        </w:tc>
        <w:tc>
          <w:tcPr>
            <w:tcW w:type="dxa" w:w="1689"/>
            <w:shd w:val="clear" w:color="auto" w:fill="1F3552"/>
          </w:tcPr>
          <w:p>
            <w:pPr>
              <w:spacing w:before="20" w:after="20"/>
              <w:jc w:val="center"/>
            </w:pPr>
            <w:r/>
            <w:r>
              <w:rPr>
                <w:rFonts w:ascii="Arial" w:hAnsi="Arial"/>
                <w:b/>
                <w:i w:val="0"/>
                <w:color w:val="FFFFFF"/>
                <w:sz w:val="18"/>
              </w:rPr>
              <w:t>Owner</w:t>
            </w:r>
          </w:p>
        </w:tc>
      </w:tr>
      <w:tr>
        <w:trPr>
          <w:cantSplit/>
        </w:trPr>
        <w:tc>
          <w:tcPr>
            <w:tcW w:type="dxa" w:w="975"/>
          </w:tcPr>
          <w:p>
            <w:pPr>
              <w:spacing w:before="20" w:after="20"/>
              <w:jc w:val="center"/>
            </w:pPr>
            <w:r/>
            <w:r>
              <w:rPr>
                <w:rFonts w:ascii="Arial" w:hAnsi="Arial"/>
                <w:b/>
                <w:i w:val="0"/>
                <w:sz w:val="18"/>
              </w:rPr>
              <w:t>G001</w:t>
            </w:r>
          </w:p>
        </w:tc>
        <w:tc>
          <w:tcPr>
            <w:tcW w:type="dxa" w:w="1104"/>
          </w:tcPr>
          <w:p>
            <w:pPr>
              <w:spacing w:before="20" w:after="20"/>
              <w:jc w:val="center"/>
            </w:pPr>
            <w:r/>
            <w:r>
              <w:rPr>
                <w:rFonts w:ascii="Arial" w:hAnsi="Arial"/>
                <w:b w:val="0"/>
                <w:i w:val="0"/>
                <w:sz w:val="18"/>
              </w:rPr>
              <w:t>CHD-03</w:t>
            </w:r>
          </w:p>
        </w:tc>
        <w:tc>
          <w:tcPr>
            <w:tcW w:type="dxa" w:w="3834"/>
          </w:tcPr>
          <w:p>
            <w:pPr>
              <w:spacing w:before="20" w:after="20"/>
            </w:pPr>
            <w:r/>
            <w:r>
              <w:rPr>
                <w:rFonts w:ascii="Times New Roman" w:hAnsi="Times New Roman"/>
                <w:b w:val="0"/>
                <w:i w:val="0"/>
                <w:sz w:val="17"/>
              </w:rPr>
              <w:t>The advertising and analytics SDKs embedded in the KavachPay application are active in the Kavach Junior experience.</w:t>
            </w:r>
          </w:p>
        </w:tc>
        <w:tc>
          <w:tcPr>
            <w:tcW w:type="dxa" w:w="975"/>
            <w:shd w:val="clear" w:color="auto" w:fill="F8D7D7"/>
          </w:tcPr>
          <w:p>
            <w:pPr>
              <w:spacing w:before="20" w:after="20"/>
              <w:jc w:val="center"/>
            </w:pPr>
            <w:r/>
            <w:r>
              <w:rPr>
                <w:rFonts w:ascii="Arial" w:hAnsi="Arial"/>
                <w:b/>
                <w:i w:val="0"/>
                <w:sz w:val="18"/>
              </w:rPr>
              <w:t>16</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Rohit Menon</w:t>
            </w:r>
          </w:p>
        </w:tc>
      </w:tr>
      <w:tr>
        <w:trPr>
          <w:cantSplit/>
        </w:trPr>
        <w:tc>
          <w:tcPr>
            <w:tcW w:type="dxa" w:w="975"/>
          </w:tcPr>
          <w:p>
            <w:pPr>
              <w:spacing w:before="20" w:after="20"/>
              <w:jc w:val="center"/>
            </w:pPr>
            <w:r/>
            <w:r>
              <w:rPr>
                <w:rFonts w:ascii="Arial" w:hAnsi="Arial"/>
                <w:b/>
                <w:i w:val="0"/>
                <w:sz w:val="18"/>
              </w:rPr>
              <w:t>G002</w:t>
            </w:r>
          </w:p>
        </w:tc>
        <w:tc>
          <w:tcPr>
            <w:tcW w:type="dxa" w:w="1104"/>
          </w:tcPr>
          <w:p>
            <w:pPr>
              <w:spacing w:before="20" w:after="20"/>
              <w:jc w:val="center"/>
            </w:pPr>
            <w:r/>
            <w:r>
              <w:rPr>
                <w:rFonts w:ascii="Arial" w:hAnsi="Arial"/>
                <w:b w:val="0"/>
                <w:i w:val="0"/>
                <w:sz w:val="18"/>
              </w:rPr>
              <w:t>SDF-02</w:t>
            </w:r>
          </w:p>
        </w:tc>
        <w:tc>
          <w:tcPr>
            <w:tcW w:type="dxa" w:w="3834"/>
          </w:tcPr>
          <w:p>
            <w:pPr>
              <w:spacing w:before="20" w:after="20"/>
            </w:pPr>
            <w:r/>
            <w:r>
              <w:rPr>
                <w:rFonts w:ascii="Times New Roman" w:hAnsi="Times New Roman"/>
                <w:b w:val="0"/>
                <w:i w:val="0"/>
                <w:sz w:val="17"/>
              </w:rPr>
              <w:t>No independent data auditor has been appointed.</w:t>
            </w:r>
          </w:p>
        </w:tc>
        <w:tc>
          <w:tcPr>
            <w:tcW w:type="dxa" w:w="975"/>
            <w:shd w:val="clear" w:color="auto" w:fill="F8D7D7"/>
          </w:tcPr>
          <w:p>
            <w:pPr>
              <w:spacing w:before="20" w:after="20"/>
              <w:jc w:val="center"/>
            </w:pPr>
            <w:r/>
            <w:r>
              <w:rPr>
                <w:rFonts w:ascii="Arial" w:hAnsi="Arial"/>
                <w:b/>
                <w:i w:val="0"/>
                <w:sz w:val="18"/>
              </w:rPr>
              <w:t>16</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Vikram Shetty</w:t>
            </w:r>
          </w:p>
        </w:tc>
      </w:tr>
      <w:tr>
        <w:trPr>
          <w:cantSplit/>
        </w:trPr>
        <w:tc>
          <w:tcPr>
            <w:tcW w:type="dxa" w:w="975"/>
          </w:tcPr>
          <w:p>
            <w:pPr>
              <w:spacing w:before="20" w:after="20"/>
              <w:jc w:val="center"/>
            </w:pPr>
            <w:r/>
            <w:r>
              <w:rPr>
                <w:rFonts w:ascii="Arial" w:hAnsi="Arial"/>
                <w:b/>
                <w:i w:val="0"/>
                <w:sz w:val="18"/>
              </w:rPr>
              <w:t>G003</w:t>
            </w:r>
          </w:p>
        </w:tc>
        <w:tc>
          <w:tcPr>
            <w:tcW w:type="dxa" w:w="1104"/>
          </w:tcPr>
          <w:p>
            <w:pPr>
              <w:spacing w:before="20" w:after="20"/>
              <w:jc w:val="center"/>
            </w:pPr>
            <w:r/>
            <w:r>
              <w:rPr>
                <w:rFonts w:ascii="Arial" w:hAnsi="Arial"/>
                <w:b w:val="0"/>
                <w:i w:val="0"/>
                <w:sz w:val="18"/>
              </w:rPr>
              <w:t>CON-04</w:t>
            </w:r>
          </w:p>
        </w:tc>
        <w:tc>
          <w:tcPr>
            <w:tcW w:type="dxa" w:w="3834"/>
          </w:tcPr>
          <w:p>
            <w:pPr>
              <w:spacing w:before="20" w:after="20"/>
            </w:pPr>
            <w:r/>
            <w:r>
              <w:rPr>
                <w:rFonts w:ascii="Times New Roman" w:hAnsi="Times New Roman"/>
                <w:b w:val="0"/>
                <w:i w:val="0"/>
                <w:sz w:val="17"/>
              </w:rPr>
              <w:t>Withdrawal of consent is not available in the application. Marketing preferences can be toggled, but withdrawal of consent for processing requires an email to the support address, after which an agent follows a manual runbook.</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Rohit Menon</w:t>
            </w:r>
          </w:p>
        </w:tc>
      </w:tr>
      <w:tr>
        <w:trPr>
          <w:cantSplit/>
        </w:trPr>
        <w:tc>
          <w:tcPr>
            <w:tcW w:type="dxa" w:w="975"/>
          </w:tcPr>
          <w:p>
            <w:pPr>
              <w:spacing w:before="20" w:after="20"/>
              <w:jc w:val="center"/>
            </w:pPr>
            <w:r/>
            <w:r>
              <w:rPr>
                <w:rFonts w:ascii="Arial" w:hAnsi="Arial"/>
                <w:b/>
                <w:i w:val="0"/>
                <w:sz w:val="18"/>
              </w:rPr>
              <w:t>G004</w:t>
            </w:r>
          </w:p>
        </w:tc>
        <w:tc>
          <w:tcPr>
            <w:tcW w:type="dxa" w:w="1104"/>
          </w:tcPr>
          <w:p>
            <w:pPr>
              <w:spacing w:before="20" w:after="20"/>
              <w:jc w:val="center"/>
            </w:pPr>
            <w:r/>
            <w:r>
              <w:rPr>
                <w:rFonts w:ascii="Arial" w:hAnsi="Arial"/>
                <w:b w:val="0"/>
                <w:i w:val="0"/>
                <w:sz w:val="18"/>
              </w:rPr>
              <w:t>CON-06</w:t>
            </w:r>
          </w:p>
        </w:tc>
        <w:tc>
          <w:tcPr>
            <w:tcW w:type="dxa" w:w="3834"/>
          </w:tcPr>
          <w:p>
            <w:pPr>
              <w:spacing w:before="20" w:after="20"/>
            </w:pPr>
            <w:r/>
            <w:r>
              <w:rPr>
                <w:rFonts w:ascii="Times New Roman" w:hAnsi="Times New Roman"/>
                <w:b w:val="0"/>
                <w:i w:val="0"/>
                <w:sz w:val="17"/>
              </w:rPr>
              <w:t>Testing of three withdrawal requests found processing continued after withdrawal in all three.</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Devika Iyer</w:t>
            </w:r>
          </w:p>
        </w:tc>
      </w:tr>
      <w:tr>
        <w:trPr>
          <w:cantSplit/>
        </w:trPr>
        <w:tc>
          <w:tcPr>
            <w:tcW w:type="dxa" w:w="975"/>
          </w:tcPr>
          <w:p>
            <w:pPr>
              <w:spacing w:before="20" w:after="20"/>
              <w:jc w:val="center"/>
            </w:pPr>
            <w:r/>
            <w:r>
              <w:rPr>
                <w:rFonts w:ascii="Arial" w:hAnsi="Arial"/>
                <w:b/>
                <w:i w:val="0"/>
                <w:sz w:val="18"/>
              </w:rPr>
              <w:t>G005</w:t>
            </w:r>
          </w:p>
        </w:tc>
        <w:tc>
          <w:tcPr>
            <w:tcW w:type="dxa" w:w="1104"/>
          </w:tcPr>
          <w:p>
            <w:pPr>
              <w:spacing w:before="20" w:after="20"/>
              <w:jc w:val="center"/>
            </w:pPr>
            <w:r/>
            <w:r>
              <w:rPr>
                <w:rFonts w:ascii="Arial" w:hAnsi="Arial"/>
                <w:b w:val="0"/>
                <w:i w:val="0"/>
                <w:sz w:val="18"/>
              </w:rPr>
              <w:t>CON-07</w:t>
            </w:r>
          </w:p>
        </w:tc>
        <w:tc>
          <w:tcPr>
            <w:tcW w:type="dxa" w:w="3834"/>
          </w:tcPr>
          <w:p>
            <w:pPr>
              <w:spacing w:before="20" w:after="20"/>
            </w:pPr>
            <w:r/>
            <w:r>
              <w:rPr>
                <w:rFonts w:ascii="Times New Roman" w:hAnsi="Times New Roman"/>
                <w:b w:val="0"/>
                <w:i w:val="0"/>
                <w:sz w:val="17"/>
              </w:rPr>
              <w:t>The consent table records a current state per Data Principal with a single last-updated timestamp. It does not retain the notice version, the interface, the purposes in force at the time, or any history of change.</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Devika Iyer</w:t>
            </w:r>
          </w:p>
        </w:tc>
      </w:tr>
      <w:tr>
        <w:trPr>
          <w:cantSplit/>
        </w:trPr>
        <w:tc>
          <w:tcPr>
            <w:tcW w:type="dxa" w:w="975"/>
          </w:tcPr>
          <w:p>
            <w:pPr>
              <w:spacing w:before="20" w:after="20"/>
              <w:jc w:val="center"/>
            </w:pPr>
            <w:r/>
            <w:r>
              <w:rPr>
                <w:rFonts w:ascii="Arial" w:hAnsi="Arial"/>
                <w:b/>
                <w:i w:val="0"/>
                <w:sz w:val="18"/>
              </w:rPr>
              <w:t>G006</w:t>
            </w:r>
          </w:p>
        </w:tc>
        <w:tc>
          <w:tcPr>
            <w:tcW w:type="dxa" w:w="1104"/>
          </w:tcPr>
          <w:p>
            <w:pPr>
              <w:spacing w:before="20" w:after="20"/>
              <w:jc w:val="center"/>
            </w:pPr>
            <w:r/>
            <w:r>
              <w:rPr>
                <w:rFonts w:ascii="Arial" w:hAnsi="Arial"/>
                <w:b w:val="0"/>
                <w:i w:val="0"/>
                <w:sz w:val="18"/>
              </w:rPr>
              <w:t>GOV-07</w:t>
            </w:r>
          </w:p>
        </w:tc>
        <w:tc>
          <w:tcPr>
            <w:tcW w:type="dxa" w:w="3834"/>
          </w:tcPr>
          <w:p>
            <w:pPr>
              <w:spacing w:before="20" w:after="20"/>
            </w:pPr>
            <w:r/>
            <w:r>
              <w:rPr>
                <w:rFonts w:ascii="Times New Roman" w:hAnsi="Times New Roman"/>
                <w:b w:val="0"/>
                <w:i w:val="0"/>
                <w:sz w:val="17"/>
              </w:rPr>
              <w:t>Evidence of compliance is not systematically retained.</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Devika Iyer</w:t>
            </w:r>
          </w:p>
        </w:tc>
      </w:tr>
      <w:tr>
        <w:trPr>
          <w:cantSplit/>
        </w:trPr>
        <w:tc>
          <w:tcPr>
            <w:tcW w:type="dxa" w:w="975"/>
          </w:tcPr>
          <w:p>
            <w:pPr>
              <w:spacing w:before="20" w:after="20"/>
              <w:jc w:val="center"/>
            </w:pPr>
            <w:r/>
            <w:r>
              <w:rPr>
                <w:rFonts w:ascii="Arial" w:hAnsi="Arial"/>
                <w:b/>
                <w:i w:val="0"/>
                <w:sz w:val="18"/>
              </w:rPr>
              <w:t>G007</w:t>
            </w:r>
          </w:p>
        </w:tc>
        <w:tc>
          <w:tcPr>
            <w:tcW w:type="dxa" w:w="1104"/>
          </w:tcPr>
          <w:p>
            <w:pPr>
              <w:spacing w:before="20" w:after="20"/>
              <w:jc w:val="center"/>
            </w:pPr>
            <w:r/>
            <w:r>
              <w:rPr>
                <w:rFonts w:ascii="Arial" w:hAnsi="Arial"/>
                <w:b w:val="0"/>
                <w:i w:val="0"/>
                <w:sz w:val="18"/>
              </w:rPr>
              <w:t>NOT-02</w:t>
            </w:r>
          </w:p>
        </w:tc>
        <w:tc>
          <w:tcPr>
            <w:tcW w:type="dxa" w:w="3834"/>
          </w:tcPr>
          <w:p>
            <w:pPr>
              <w:spacing w:before="20" w:after="20"/>
            </w:pPr>
            <w:r/>
            <w:r>
              <w:rPr>
                <w:rFonts w:ascii="Times New Roman" w:hAnsi="Times New Roman"/>
                <w:b w:val="0"/>
                <w:i w:val="0"/>
                <w:sz w:val="17"/>
              </w:rPr>
              <w:t>The notice describes the data collected in categories such as 'identity and contact information' and 'usage data' and states purposes as 'to provide and improve our services'.</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Meera Raghunathan</w:t>
            </w:r>
          </w:p>
        </w:tc>
      </w:tr>
      <w:tr>
        <w:trPr>
          <w:cantSplit/>
        </w:trPr>
        <w:tc>
          <w:tcPr>
            <w:tcW w:type="dxa" w:w="975"/>
          </w:tcPr>
          <w:p>
            <w:pPr>
              <w:spacing w:before="20" w:after="20"/>
              <w:jc w:val="center"/>
            </w:pPr>
            <w:r/>
            <w:r>
              <w:rPr>
                <w:rFonts w:ascii="Arial" w:hAnsi="Arial"/>
                <w:b/>
                <w:i w:val="0"/>
                <w:sz w:val="18"/>
              </w:rPr>
              <w:t>G008</w:t>
            </w:r>
          </w:p>
        </w:tc>
        <w:tc>
          <w:tcPr>
            <w:tcW w:type="dxa" w:w="1104"/>
          </w:tcPr>
          <w:p>
            <w:pPr>
              <w:spacing w:before="20" w:after="20"/>
              <w:jc w:val="center"/>
            </w:pPr>
            <w:r/>
            <w:r>
              <w:rPr>
                <w:rFonts w:ascii="Arial" w:hAnsi="Arial"/>
                <w:b w:val="0"/>
                <w:i w:val="0"/>
                <w:sz w:val="18"/>
              </w:rPr>
              <w:t>RET-02</w:t>
            </w:r>
          </w:p>
        </w:tc>
        <w:tc>
          <w:tcPr>
            <w:tcW w:type="dxa" w:w="3834"/>
          </w:tcPr>
          <w:p>
            <w:pPr>
              <w:spacing w:before="20" w:after="20"/>
            </w:pPr>
            <w:r/>
            <w:r>
              <w:rPr>
                <w:rFonts w:ascii="Times New Roman" w:hAnsi="Times New Roman"/>
                <w:b w:val="0"/>
                <w:i w:val="0"/>
                <w:sz w:val="17"/>
              </w:rPr>
              <w:t>Erasure on withdrawal or purpose completion is not implemented. The manual runbook noted at CON-04 anonymises the CRM record but leaves the warehouse, the ledger, the communications platforms and the backups untouched.</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Devika Iyer</w:t>
            </w:r>
          </w:p>
        </w:tc>
      </w:tr>
      <w:tr>
        <w:trPr>
          <w:cantSplit/>
        </w:trPr>
        <w:tc>
          <w:tcPr>
            <w:tcW w:type="dxa" w:w="975"/>
          </w:tcPr>
          <w:p>
            <w:pPr>
              <w:spacing w:before="20" w:after="20"/>
              <w:jc w:val="center"/>
            </w:pPr>
            <w:r/>
            <w:r>
              <w:rPr>
                <w:rFonts w:ascii="Arial" w:hAnsi="Arial"/>
                <w:b/>
                <w:i w:val="0"/>
                <w:sz w:val="18"/>
              </w:rPr>
              <w:t>G009</w:t>
            </w:r>
          </w:p>
        </w:tc>
        <w:tc>
          <w:tcPr>
            <w:tcW w:type="dxa" w:w="1104"/>
          </w:tcPr>
          <w:p>
            <w:pPr>
              <w:spacing w:before="20" w:after="20"/>
              <w:jc w:val="center"/>
            </w:pPr>
            <w:r/>
            <w:r>
              <w:rPr>
                <w:rFonts w:ascii="Arial" w:hAnsi="Arial"/>
                <w:b w:val="0"/>
                <w:i w:val="0"/>
                <w:sz w:val="18"/>
              </w:rPr>
              <w:t>RET-03</w:t>
            </w:r>
          </w:p>
        </w:tc>
        <w:tc>
          <w:tcPr>
            <w:tcW w:type="dxa" w:w="3834"/>
          </w:tcPr>
          <w:p>
            <w:pPr>
              <w:spacing w:before="20" w:after="20"/>
            </w:pPr>
            <w:r/>
            <w:r>
              <w:rPr>
                <w:rFonts w:ascii="Times New Roman" w:hAnsi="Times New Roman"/>
                <w:b w:val="0"/>
                <w:i w:val="0"/>
                <w:sz w:val="17"/>
              </w:rPr>
              <w:t>Erasure does not propagate. Testing confirmed that a record erased in Kavach CRM remained present in Snowflake, in the dbt derived tables, in CleverTap and in Gupshup's message logs.</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Devika Iyer</w:t>
            </w:r>
          </w:p>
        </w:tc>
      </w:tr>
      <w:tr>
        <w:trPr>
          <w:cantSplit/>
        </w:trPr>
        <w:tc>
          <w:tcPr>
            <w:tcW w:type="dxa" w:w="975"/>
          </w:tcPr>
          <w:p>
            <w:pPr>
              <w:spacing w:before="20" w:after="20"/>
              <w:jc w:val="center"/>
            </w:pPr>
            <w:r/>
            <w:r>
              <w:rPr>
                <w:rFonts w:ascii="Arial" w:hAnsi="Arial"/>
                <w:b/>
                <w:i w:val="0"/>
                <w:sz w:val="18"/>
              </w:rPr>
              <w:t>G010</w:t>
            </w:r>
          </w:p>
        </w:tc>
        <w:tc>
          <w:tcPr>
            <w:tcW w:type="dxa" w:w="1104"/>
          </w:tcPr>
          <w:p>
            <w:pPr>
              <w:spacing w:before="20" w:after="20"/>
              <w:jc w:val="center"/>
            </w:pPr>
            <w:r/>
            <w:r>
              <w:rPr>
                <w:rFonts w:ascii="Arial" w:hAnsi="Arial"/>
                <w:b w:val="0"/>
                <w:i w:val="0"/>
                <w:sz w:val="18"/>
              </w:rPr>
              <w:t>SDF-01</w:t>
            </w:r>
          </w:p>
        </w:tc>
        <w:tc>
          <w:tcPr>
            <w:tcW w:type="dxa" w:w="3834"/>
          </w:tcPr>
          <w:p>
            <w:pPr>
              <w:spacing w:before="20" w:after="20"/>
            </w:pPr>
            <w:r/>
            <w:r>
              <w:rPr>
                <w:rFonts w:ascii="Times New Roman" w:hAnsi="Times New Roman"/>
                <w:b w:val="0"/>
                <w:i w:val="0"/>
                <w:sz w:val="17"/>
              </w:rPr>
              <w:t>No Data Protection Officer has been appointed.</w:t>
            </w:r>
          </w:p>
        </w:tc>
        <w:tc>
          <w:tcPr>
            <w:tcW w:type="dxa" w:w="975"/>
            <w:shd w:val="clear" w:color="auto" w:fill="F8D7D7"/>
          </w:tcPr>
          <w:p>
            <w:pPr>
              <w:spacing w:before="20" w:after="20"/>
              <w:jc w:val="center"/>
            </w:pPr>
            <w:r/>
            <w:r>
              <w:rPr>
                <w:rFonts w:ascii="Arial" w:hAnsi="Arial"/>
                <w:b/>
                <w:i w:val="0"/>
                <w:sz w:val="18"/>
              </w:rPr>
              <w:t>12</w:t>
            </w:r>
          </w:p>
        </w:tc>
        <w:tc>
          <w:tcPr>
            <w:tcW w:type="dxa" w:w="1170"/>
          </w:tcPr>
          <w:p>
            <w:pPr>
              <w:spacing w:before="20" w:after="20"/>
              <w:jc w:val="center"/>
            </w:pPr>
            <w:r/>
            <w:r>
              <w:rPr>
                <w:rFonts w:ascii="Arial" w:hAnsi="Arial"/>
                <w:b/>
                <w:i w:val="0"/>
                <w:sz w:val="18"/>
              </w:rPr>
              <w:t>P1</w:t>
            </w:r>
          </w:p>
        </w:tc>
        <w:tc>
          <w:tcPr>
            <w:tcW w:type="dxa" w:w="1689"/>
          </w:tcPr>
          <w:p>
            <w:pPr>
              <w:spacing w:before="20" w:after="20"/>
            </w:pPr>
            <w:r/>
            <w:r>
              <w:rPr>
                <w:rFonts w:ascii="Arial" w:hAnsi="Arial"/>
                <w:b w:val="0"/>
                <w:i w:val="0"/>
                <w:sz w:val="17"/>
              </w:rPr>
              <w:t>Vikram Shetty</w:t>
            </w:r>
          </w:p>
        </w:tc>
      </w:tr>
    </w:tbl>
    <w:p>
      <w:pPr>
        <w:pStyle w:val="Heading2"/>
        <w:keepNext/>
        <w:spacing w:before="280" w:after="120"/>
      </w:pPr>
      <w:r>
        <w:rPr>
          <w:rFonts w:ascii="Arial" w:hAnsi="Arial"/>
          <w:b/>
          <w:color w:val="1F3552"/>
          <w:sz w:val="26"/>
        </w:rPr>
        <w:t>1.5  Penalty exposure</w:t>
      </w:r>
    </w:p>
    <w:p>
      <w:pPr>
        <w:spacing w:before="0" w:after="120"/>
        <w:jc w:val="both"/>
      </w:pPr>
      <w:r>
        <w:rPr>
          <w:rFonts w:ascii="Times New Roman" w:hAnsi="Times New Roman"/>
          <w:b w:val="0"/>
          <w:i w:val="0"/>
          <w:sz w:val="21"/>
        </w:rPr>
        <w:t>Aggregate of the statutory maxima under the Schedule to the DPDP Act, 2023 for those entries engaged by controls scored below 3 of 4.</w:t>
      </w:r>
    </w:p>
    <w:tbl>
      <w:tblPr>
        <w:tblStyle w:val="TableGrid"/>
        <w:tblW w:w="9746" w:type="dxa"/>
        <w:jc w:val="center"/>
        <w:tblLayout w:type="fixed"/>
        <w:tblLook w:firstColumn="1" w:firstRow="1" w:lastColumn="0" w:lastRow="0" w:noHBand="0" w:noVBand="1" w:val="04A0"/>
      </w:tblPr>
      <w:tblGrid>
        <w:gridCol w:w="1234"/>
        <w:gridCol w:w="3378"/>
        <w:gridCol w:w="1364"/>
        <w:gridCol w:w="1689"/>
        <w:gridCol w:w="2078"/>
      </w:tblGrid>
      <w:tr>
        <w:trPr>
          <w:tblHeader w:val="true"/>
        </w:trPr>
        <w:tc>
          <w:tcPr>
            <w:tcW w:type="dxa" w:w="1235"/>
            <w:shd w:val="clear" w:color="auto" w:fill="1F3552"/>
          </w:tcPr>
          <w:p>
            <w:pPr>
              <w:spacing w:before="20" w:after="20"/>
              <w:jc w:val="center"/>
            </w:pPr>
            <w:r/>
            <w:r>
              <w:rPr>
                <w:rFonts w:ascii="Arial" w:hAnsi="Arial"/>
                <w:b/>
                <w:i w:val="0"/>
                <w:color w:val="FFFFFF"/>
                <w:sz w:val="18"/>
              </w:rPr>
              <w:t>Entry</w:t>
            </w:r>
          </w:p>
        </w:tc>
        <w:tc>
          <w:tcPr>
            <w:tcW w:type="dxa" w:w="3378"/>
            <w:shd w:val="clear" w:color="auto" w:fill="1F3552"/>
          </w:tcPr>
          <w:p>
            <w:pPr>
              <w:spacing w:before="20" w:after="20"/>
              <w:jc w:val="center"/>
            </w:pPr>
            <w:r/>
            <w:r>
              <w:rPr>
                <w:rFonts w:ascii="Arial" w:hAnsi="Arial"/>
                <w:b/>
                <w:i w:val="0"/>
                <w:color w:val="FFFFFF"/>
                <w:sz w:val="18"/>
              </w:rPr>
              <w:t>Breach</w:t>
            </w:r>
          </w:p>
        </w:tc>
        <w:tc>
          <w:tcPr>
            <w:tcW w:type="dxa" w:w="1365"/>
            <w:shd w:val="clear" w:color="auto" w:fill="1F3552"/>
          </w:tcPr>
          <w:p>
            <w:pPr>
              <w:spacing w:before="20" w:after="20"/>
              <w:jc w:val="center"/>
            </w:pPr>
            <w:r/>
            <w:r>
              <w:rPr>
                <w:rFonts w:ascii="Arial" w:hAnsi="Arial"/>
                <w:b/>
                <w:i w:val="0"/>
                <w:color w:val="FFFFFF"/>
                <w:sz w:val="18"/>
              </w:rPr>
              <w:t>Provision</w:t>
            </w:r>
          </w:p>
        </w:tc>
        <w:tc>
          <w:tcPr>
            <w:tcW w:type="dxa" w:w="1689"/>
            <w:shd w:val="clear" w:color="auto" w:fill="1F3552"/>
          </w:tcPr>
          <w:p>
            <w:pPr>
              <w:spacing w:before="20" w:after="20"/>
              <w:jc w:val="center"/>
            </w:pPr>
            <w:r/>
            <w:r>
              <w:rPr>
                <w:rFonts w:ascii="Arial" w:hAnsi="Arial"/>
                <w:b/>
                <w:i w:val="0"/>
                <w:color w:val="FFFFFF"/>
                <w:sz w:val="18"/>
              </w:rPr>
              <w:t>Maximum</w:t>
            </w:r>
          </w:p>
        </w:tc>
        <w:tc>
          <w:tcPr>
            <w:tcW w:type="dxa" w:w="2079"/>
            <w:shd w:val="clear" w:color="auto" w:fill="1F3552"/>
          </w:tcPr>
          <w:p>
            <w:pPr>
              <w:spacing w:before="20" w:after="20"/>
              <w:jc w:val="center"/>
            </w:pPr>
            <w:r/>
            <w:r>
              <w:rPr>
                <w:rFonts w:ascii="Arial" w:hAnsi="Arial"/>
                <w:b/>
                <w:i w:val="0"/>
                <w:color w:val="FFFFFF"/>
                <w:sz w:val="18"/>
              </w:rPr>
              <w:t>Controls engaging it</w:t>
            </w:r>
          </w:p>
        </w:tc>
      </w:tr>
      <w:tr>
        <w:trPr>
          <w:cantSplit/>
        </w:trPr>
        <w:tc>
          <w:tcPr>
            <w:tcW w:type="dxa" w:w="1235"/>
          </w:tcPr>
          <w:p>
            <w:pPr>
              <w:spacing w:before="20" w:after="20"/>
              <w:jc w:val="center"/>
            </w:pPr>
            <w:r/>
            <w:r>
              <w:rPr>
                <w:rFonts w:ascii="Arial" w:hAnsi="Arial"/>
                <w:b/>
                <w:i w:val="0"/>
                <w:sz w:val="18"/>
              </w:rPr>
              <w:t>Entry 1</w:t>
            </w:r>
          </w:p>
        </w:tc>
        <w:tc>
          <w:tcPr>
            <w:tcW w:type="dxa" w:w="3378"/>
          </w:tcPr>
          <w:p>
            <w:pPr>
              <w:spacing w:before="20" w:after="20"/>
            </w:pPr>
            <w:r/>
            <w:r>
              <w:rPr>
                <w:rFonts w:ascii="Times New Roman" w:hAnsi="Times New Roman"/>
                <w:b w:val="0"/>
                <w:i w:val="0"/>
                <w:sz w:val="17"/>
              </w:rPr>
              <w:t>Breach of the obligation to take reasonable security safeguards to prevent personal data breach</w:t>
            </w:r>
          </w:p>
        </w:tc>
        <w:tc>
          <w:tcPr>
            <w:tcW w:type="dxa" w:w="1365"/>
          </w:tcPr>
          <w:p>
            <w:pPr>
              <w:spacing w:before="20" w:after="20"/>
              <w:jc w:val="center"/>
            </w:pPr>
            <w:r/>
            <w:r>
              <w:rPr>
                <w:rFonts w:ascii="Arial" w:hAnsi="Arial"/>
                <w:b w:val="0"/>
                <w:i w:val="0"/>
                <w:sz w:val="18"/>
              </w:rPr>
              <w:t>s.8(5)</w:t>
            </w:r>
          </w:p>
        </w:tc>
        <w:tc>
          <w:tcPr>
            <w:tcW w:type="dxa" w:w="1689"/>
            <w:shd w:val="clear" w:color="auto" w:fill="F8D7D7"/>
          </w:tcPr>
          <w:p>
            <w:pPr>
              <w:spacing w:before="20" w:after="20"/>
              <w:jc w:val="center"/>
            </w:pPr>
            <w:r/>
            <w:r>
              <w:rPr>
                <w:rFonts w:ascii="Arial" w:hAnsi="Arial"/>
                <w:b/>
                <w:i w:val="0"/>
                <w:sz w:val="18"/>
              </w:rPr>
              <w:t>Up to INR 250 crore</w:t>
            </w:r>
          </w:p>
        </w:tc>
        <w:tc>
          <w:tcPr>
            <w:tcW w:type="dxa" w:w="2079"/>
          </w:tcPr>
          <w:p>
            <w:pPr>
              <w:spacing w:before="20" w:after="20"/>
            </w:pPr>
            <w:r/>
            <w:r>
              <w:rPr>
                <w:rFonts w:ascii="Times New Roman" w:hAnsi="Times New Roman"/>
                <w:b w:val="0"/>
                <w:i w:val="0"/>
                <w:sz w:val="16"/>
              </w:rPr>
              <w:t>PRO-03</w:t>
            </w:r>
          </w:p>
        </w:tc>
      </w:tr>
      <w:tr>
        <w:trPr>
          <w:cantSplit/>
        </w:trPr>
        <w:tc>
          <w:tcPr>
            <w:tcW w:type="dxa" w:w="1235"/>
          </w:tcPr>
          <w:p>
            <w:pPr>
              <w:spacing w:before="20" w:after="20"/>
              <w:jc w:val="center"/>
            </w:pPr>
            <w:r/>
            <w:r>
              <w:rPr>
                <w:rFonts w:ascii="Arial" w:hAnsi="Arial"/>
                <w:b/>
                <w:i w:val="0"/>
                <w:sz w:val="18"/>
              </w:rPr>
              <w:t>Entry 2</w:t>
            </w:r>
          </w:p>
        </w:tc>
        <w:tc>
          <w:tcPr>
            <w:tcW w:type="dxa" w:w="3378"/>
          </w:tcPr>
          <w:p>
            <w:pPr>
              <w:spacing w:before="20" w:after="20"/>
            </w:pPr>
            <w:r/>
            <w:r>
              <w:rPr>
                <w:rFonts w:ascii="Times New Roman" w:hAnsi="Times New Roman"/>
                <w:b w:val="0"/>
                <w:i w:val="0"/>
                <w:sz w:val="17"/>
              </w:rPr>
              <w:t>Breach of the obligation to give the Board or affected Data Principal notice of a personal data breach</w:t>
            </w:r>
          </w:p>
        </w:tc>
        <w:tc>
          <w:tcPr>
            <w:tcW w:type="dxa" w:w="1365"/>
          </w:tcPr>
          <w:p>
            <w:pPr>
              <w:spacing w:before="20" w:after="20"/>
              <w:jc w:val="center"/>
            </w:pPr>
            <w:r/>
            <w:r>
              <w:rPr>
                <w:rFonts w:ascii="Arial" w:hAnsi="Arial"/>
                <w:b w:val="0"/>
                <w:i w:val="0"/>
                <w:sz w:val="18"/>
              </w:rPr>
              <w:t>s.8(6)</w:t>
            </w:r>
          </w:p>
        </w:tc>
        <w:tc>
          <w:tcPr>
            <w:tcW w:type="dxa" w:w="1689"/>
            <w:shd w:val="clear" w:color="auto" w:fill="F8D7D7"/>
          </w:tcPr>
          <w:p>
            <w:pPr>
              <w:spacing w:before="20" w:after="20"/>
              <w:jc w:val="center"/>
            </w:pPr>
            <w:r/>
            <w:r>
              <w:rPr>
                <w:rFonts w:ascii="Arial" w:hAnsi="Arial"/>
                <w:b/>
                <w:i w:val="0"/>
                <w:sz w:val="18"/>
              </w:rPr>
              <w:t>Up to INR 200 crore</w:t>
            </w:r>
          </w:p>
        </w:tc>
        <w:tc>
          <w:tcPr>
            <w:tcW w:type="dxa" w:w="2079"/>
          </w:tcPr>
          <w:p>
            <w:pPr>
              <w:spacing w:before="20" w:after="20"/>
            </w:pPr>
            <w:r/>
            <w:r>
              <w:rPr>
                <w:rFonts w:ascii="Times New Roman" w:hAnsi="Times New Roman"/>
                <w:b w:val="0"/>
                <w:i w:val="0"/>
                <w:sz w:val="16"/>
              </w:rPr>
              <w:t>BRC-03, BRC-04, BRC-06</w:t>
            </w:r>
          </w:p>
        </w:tc>
      </w:tr>
      <w:tr>
        <w:trPr>
          <w:cantSplit/>
        </w:trPr>
        <w:tc>
          <w:tcPr>
            <w:tcW w:type="dxa" w:w="1235"/>
          </w:tcPr>
          <w:p>
            <w:pPr>
              <w:spacing w:before="20" w:after="20"/>
              <w:jc w:val="center"/>
            </w:pPr>
            <w:r/>
            <w:r>
              <w:rPr>
                <w:rFonts w:ascii="Arial" w:hAnsi="Arial"/>
                <w:b/>
                <w:i w:val="0"/>
                <w:sz w:val="18"/>
              </w:rPr>
              <w:t>Entry 3</w:t>
            </w:r>
          </w:p>
        </w:tc>
        <w:tc>
          <w:tcPr>
            <w:tcW w:type="dxa" w:w="3378"/>
          </w:tcPr>
          <w:p>
            <w:pPr>
              <w:spacing w:before="20" w:after="20"/>
            </w:pPr>
            <w:r/>
            <w:r>
              <w:rPr>
                <w:rFonts w:ascii="Times New Roman" w:hAnsi="Times New Roman"/>
                <w:b w:val="0"/>
                <w:i w:val="0"/>
                <w:sz w:val="17"/>
              </w:rPr>
              <w:t>Breach of additional obligations in relation to children</w:t>
            </w:r>
          </w:p>
        </w:tc>
        <w:tc>
          <w:tcPr>
            <w:tcW w:type="dxa" w:w="1365"/>
          </w:tcPr>
          <w:p>
            <w:pPr>
              <w:spacing w:before="20" w:after="20"/>
              <w:jc w:val="center"/>
            </w:pPr>
            <w:r/>
            <w:r>
              <w:rPr>
                <w:rFonts w:ascii="Arial" w:hAnsi="Arial"/>
                <w:b w:val="0"/>
                <w:i w:val="0"/>
                <w:sz w:val="18"/>
              </w:rPr>
              <w:t>s.9</w:t>
            </w:r>
          </w:p>
        </w:tc>
        <w:tc>
          <w:tcPr>
            <w:tcW w:type="dxa" w:w="1689"/>
            <w:shd w:val="clear" w:color="auto" w:fill="F8D7D7"/>
          </w:tcPr>
          <w:p>
            <w:pPr>
              <w:spacing w:before="20" w:after="20"/>
              <w:jc w:val="center"/>
            </w:pPr>
            <w:r/>
            <w:r>
              <w:rPr>
                <w:rFonts w:ascii="Arial" w:hAnsi="Arial"/>
                <w:b/>
                <w:i w:val="0"/>
                <w:sz w:val="18"/>
              </w:rPr>
              <w:t>Up to INR 200 crore</w:t>
            </w:r>
          </w:p>
        </w:tc>
        <w:tc>
          <w:tcPr>
            <w:tcW w:type="dxa" w:w="2079"/>
          </w:tcPr>
          <w:p>
            <w:pPr>
              <w:spacing w:before="20" w:after="20"/>
            </w:pPr>
            <w:r/>
            <w:r>
              <w:rPr>
                <w:rFonts w:ascii="Times New Roman" w:hAnsi="Times New Roman"/>
                <w:b w:val="0"/>
                <w:i w:val="0"/>
                <w:sz w:val="16"/>
              </w:rPr>
              <w:t>CHD-01, CHD-02, CHD-03, CHD-04, CHD-05</w:t>
            </w:r>
          </w:p>
        </w:tc>
      </w:tr>
      <w:tr>
        <w:trPr>
          <w:cantSplit/>
        </w:trPr>
        <w:tc>
          <w:tcPr>
            <w:tcW w:type="dxa" w:w="1235"/>
          </w:tcPr>
          <w:p>
            <w:pPr>
              <w:spacing w:before="20" w:after="20"/>
              <w:jc w:val="center"/>
            </w:pPr>
            <w:r/>
            <w:r>
              <w:rPr>
                <w:rFonts w:ascii="Arial" w:hAnsi="Arial"/>
                <w:b/>
                <w:i w:val="0"/>
                <w:sz w:val="18"/>
              </w:rPr>
              <w:t>Entry 4</w:t>
            </w:r>
          </w:p>
        </w:tc>
        <w:tc>
          <w:tcPr>
            <w:tcW w:type="dxa" w:w="3378"/>
          </w:tcPr>
          <w:p>
            <w:pPr>
              <w:spacing w:before="20" w:after="20"/>
            </w:pPr>
            <w:r/>
            <w:r>
              <w:rPr>
                <w:rFonts w:ascii="Times New Roman" w:hAnsi="Times New Roman"/>
                <w:b w:val="0"/>
                <w:i w:val="0"/>
                <w:sz w:val="17"/>
              </w:rPr>
              <w:t>Breach of additional obligations of a Significant Data Fiduciary</w:t>
            </w:r>
          </w:p>
        </w:tc>
        <w:tc>
          <w:tcPr>
            <w:tcW w:type="dxa" w:w="1365"/>
          </w:tcPr>
          <w:p>
            <w:pPr>
              <w:spacing w:before="20" w:after="20"/>
              <w:jc w:val="center"/>
            </w:pPr>
            <w:r/>
            <w:r>
              <w:rPr>
                <w:rFonts w:ascii="Arial" w:hAnsi="Arial"/>
                <w:b w:val="0"/>
                <w:i w:val="0"/>
                <w:sz w:val="18"/>
              </w:rPr>
              <w:t>s.10</w:t>
            </w:r>
          </w:p>
        </w:tc>
        <w:tc>
          <w:tcPr>
            <w:tcW w:type="dxa" w:w="1689"/>
            <w:shd w:val="clear" w:color="auto" w:fill="F8D7D7"/>
          </w:tcPr>
          <w:p>
            <w:pPr>
              <w:spacing w:before="20" w:after="20"/>
              <w:jc w:val="center"/>
            </w:pPr>
            <w:r/>
            <w:r>
              <w:rPr>
                <w:rFonts w:ascii="Arial" w:hAnsi="Arial"/>
                <w:b/>
                <w:i w:val="0"/>
                <w:sz w:val="18"/>
              </w:rPr>
              <w:t>Up to INR 150 crore</w:t>
            </w:r>
          </w:p>
        </w:tc>
        <w:tc>
          <w:tcPr>
            <w:tcW w:type="dxa" w:w="2079"/>
          </w:tcPr>
          <w:p>
            <w:pPr>
              <w:spacing w:before="20" w:after="20"/>
            </w:pPr>
            <w:r/>
            <w:r>
              <w:rPr>
                <w:rFonts w:ascii="Times New Roman" w:hAnsi="Times New Roman"/>
                <w:b w:val="0"/>
                <w:i w:val="0"/>
                <w:sz w:val="16"/>
              </w:rPr>
              <w:t>SDF-01, SDF-02, SDF-03, SDF-04, SDF-05, SDF-06</w:t>
            </w:r>
          </w:p>
        </w:tc>
      </w:tr>
      <w:tr>
        <w:trPr>
          <w:cantSplit/>
        </w:trPr>
        <w:tc>
          <w:tcPr>
            <w:tcW w:type="dxa" w:w="1235"/>
          </w:tcPr>
          <w:p>
            <w:pPr>
              <w:spacing w:before="20" w:after="20"/>
              <w:jc w:val="center"/>
            </w:pPr>
            <w:r/>
            <w:r>
              <w:rPr>
                <w:rFonts w:ascii="Arial" w:hAnsi="Arial"/>
                <w:b/>
                <w:i w:val="0"/>
                <w:sz w:val="18"/>
              </w:rPr>
              <w:t>Entry 7</w:t>
            </w:r>
          </w:p>
        </w:tc>
        <w:tc>
          <w:tcPr>
            <w:tcW w:type="dxa" w:w="3378"/>
          </w:tcPr>
          <w:p>
            <w:pPr>
              <w:spacing w:before="20" w:after="20"/>
            </w:pPr>
            <w:r/>
            <w:r>
              <w:rPr>
                <w:rFonts w:ascii="Times New Roman" w:hAnsi="Times New Roman"/>
                <w:b w:val="0"/>
                <w:i w:val="0"/>
                <w:sz w:val="17"/>
              </w:rPr>
              <w:t>Breach of any other provision of the Act or rules made thereunder (residuary)</w:t>
            </w:r>
          </w:p>
        </w:tc>
        <w:tc>
          <w:tcPr>
            <w:tcW w:type="dxa" w:w="1365"/>
          </w:tcPr>
          <w:p>
            <w:pPr>
              <w:spacing w:before="20" w:after="20"/>
              <w:jc w:val="center"/>
            </w:pPr>
            <w:r/>
            <w:r>
              <w:rPr>
                <w:rFonts w:ascii="Arial" w:hAnsi="Arial"/>
                <w:b w:val="0"/>
                <w:i w:val="0"/>
                <w:sz w:val="18"/>
              </w:rPr>
              <w:t>residuary</w:t>
            </w:r>
          </w:p>
        </w:tc>
        <w:tc>
          <w:tcPr>
            <w:tcW w:type="dxa" w:w="1689"/>
            <w:shd w:val="clear" w:color="auto" w:fill="F8D7D7"/>
          </w:tcPr>
          <w:p>
            <w:pPr>
              <w:spacing w:before="20" w:after="20"/>
              <w:jc w:val="center"/>
            </w:pPr>
            <w:r/>
            <w:r>
              <w:rPr>
                <w:rFonts w:ascii="Arial" w:hAnsi="Arial"/>
                <w:b/>
                <w:i w:val="0"/>
                <w:sz w:val="18"/>
              </w:rPr>
              <w:t>Up to INR 50 crore</w:t>
            </w:r>
          </w:p>
        </w:tc>
        <w:tc>
          <w:tcPr>
            <w:tcW w:type="dxa" w:w="2079"/>
          </w:tcPr>
          <w:p>
            <w:pPr>
              <w:spacing w:before="20" w:after="20"/>
            </w:pPr>
            <w:r/>
            <w:r>
              <w:rPr>
                <w:rFonts w:ascii="Times New Roman" w:hAnsi="Times New Roman"/>
                <w:b w:val="0"/>
                <w:i w:val="0"/>
                <w:sz w:val="16"/>
              </w:rPr>
              <w:t>APP-02, GOV-01, GOV-02, GOV-07, PUR-01, PUR-02, PUR-03, NOT-02, NOT-03, NOT-04, NOT-05, CON-01, CON-02, CON-04 and 23 others</w:t>
            </w:r>
          </w:p>
        </w:tc>
      </w:tr>
      <w:tr>
        <w:trPr>
          <w:cantSplit/>
        </w:trPr>
        <w:tc>
          <w:tcPr>
            <w:tcW w:type="dxa" w:w="1235"/>
            <w:shd w:val="clear" w:color="auto" w:fill="EEF2F7"/>
          </w:tcPr>
          <w:p>
            <w:pPr>
              <w:spacing w:before="20" w:after="20"/>
              <w:jc w:val="center"/>
            </w:pPr>
            <w:r/>
            <w:r>
              <w:rPr>
                <w:rFonts w:ascii="Arial" w:hAnsi="Arial"/>
                <w:b/>
                <w:i w:val="0"/>
                <w:sz w:val="18"/>
              </w:rPr>
            </w:r>
          </w:p>
        </w:tc>
        <w:tc>
          <w:tcPr>
            <w:tcW w:type="dxa" w:w="3378"/>
            <w:shd w:val="clear" w:color="auto" w:fill="EEF2F7"/>
          </w:tcPr>
          <w:p>
            <w:pPr>
              <w:spacing w:before="20" w:after="20"/>
            </w:pPr>
            <w:r/>
            <w:r>
              <w:rPr>
                <w:rFonts w:ascii="Arial" w:hAnsi="Arial"/>
                <w:b/>
                <w:i w:val="0"/>
                <w:sz w:val="18"/>
              </w:rPr>
              <w:t>Aggregate ceiling of the entries engaged</w:t>
            </w:r>
          </w:p>
        </w:tc>
        <w:tc>
          <w:tcPr>
            <w:tcW w:type="dxa" w:w="1365"/>
            <w:shd w:val="clear" w:color="auto" w:fill="EEF2F7"/>
          </w:tcPr>
          <w:p>
            <w:pPr>
              <w:spacing w:before="20" w:after="20"/>
              <w:jc w:val="center"/>
            </w:pPr>
            <w:r/>
            <w:r>
              <w:rPr>
                <w:rFonts w:ascii="Arial" w:hAnsi="Arial"/>
                <w:b/>
                <w:i w:val="0"/>
                <w:sz w:val="18"/>
              </w:rPr>
            </w:r>
          </w:p>
        </w:tc>
        <w:tc>
          <w:tcPr>
            <w:tcW w:type="dxa" w:w="1689"/>
            <w:shd w:val="clear" w:color="auto" w:fill="EEF2F7"/>
            <w:shd w:val="clear" w:color="auto" w:fill="EEF2F7"/>
          </w:tcPr>
          <w:p>
            <w:pPr>
              <w:spacing w:before="20" w:after="20"/>
              <w:jc w:val="center"/>
            </w:pPr>
            <w:r/>
            <w:r>
              <w:rPr>
                <w:rFonts w:ascii="Arial" w:hAnsi="Arial"/>
                <w:b/>
                <w:i w:val="0"/>
                <w:color w:val="C00000"/>
                <w:sz w:val="19"/>
              </w:rPr>
              <w:t>INR 850 crore</w:t>
            </w:r>
          </w:p>
        </w:tc>
        <w:tc>
          <w:tcPr>
            <w:tcW w:type="dxa" w:w="2079"/>
            <w:shd w:val="clear" w:color="auto" w:fill="EEF2F7"/>
          </w:tcPr>
          <w:p>
            <w:pPr>
              <w:spacing w:before="20" w:after="20"/>
            </w:pPr>
            <w:r/>
            <w:r>
              <w:rPr>
                <w:rFonts w:ascii="Arial" w:hAnsi="Arial"/>
                <w:b/>
                <w:i w:val="0"/>
                <w:sz w:val="18"/>
              </w:rPr>
            </w:r>
          </w:p>
        </w:tc>
      </w:tr>
    </w:tbl>
    <w:p>
      <w:pPr>
        <w:spacing w:before="120" w:after="120"/>
        <w:jc w:val="both"/>
      </w:pPr>
      <w:r>
        <w:rPr>
          <w:rFonts w:ascii="Times New Roman" w:hAnsi="Times New Roman"/>
          <w:b w:val="0"/>
          <w:i/>
          <w:color w:val="44546A"/>
          <w:sz w:val="18"/>
        </w:rPr>
        <w:t>This is a ceiling under the Schedule, not an estimate of any penalty that would in fact be imposed. Section 33(2) requires the Board to have regard to the nature and gravity of the breach, its duration and repetitive nature, the type of personal data affected, mitigating action and its timeliness and effectiveness, and proportionality. Documented, prompt remediation is an express mitigating factor.</w:t>
      </w:r>
    </w:p>
    <w:p>
      <w:pPr>
        <w:pStyle w:val="Heading2"/>
        <w:keepNext/>
        <w:spacing w:before="280" w:after="120"/>
      </w:pPr>
      <w:r>
        <w:rPr>
          <w:rFonts w:ascii="Arial" w:hAnsi="Arial"/>
          <w:b/>
          <w:color w:val="1F3552"/>
          <w:sz w:val="26"/>
        </w:rPr>
        <w:t>1.6  Immediate priorities</w:t>
      </w:r>
    </w:p>
    <w:p>
      <w:pPr>
        <w:spacing w:before="0" w:after="120"/>
        <w:jc w:val="both"/>
      </w:pPr>
      <w:r>
        <w:rPr>
          <w:rFonts w:ascii="Times New Roman" w:hAnsi="Times New Roman"/>
          <w:b w:val="0"/>
          <w:i w:val="0"/>
          <w:sz w:val="21"/>
        </w:rPr>
        <w:t>13 findings are rated P1 and carry a 30-day remediation target. The following actions should be commissioned before the remainder of the plan is sequenced, because each either sits behind several other findings or engages one of the higher penalty entries in the Schedule.</w:t>
      </w:r>
    </w:p>
    <w:p>
      <w:pPr>
        <w:pStyle w:val="ListBullet"/>
        <w:spacing w:after="80"/>
      </w:pPr>
      <w:r>
        <w:rPr>
          <w:rFonts w:ascii="Times New Roman" w:hAnsi="Times New Roman"/>
          <w:sz w:val="20"/>
        </w:rPr>
        <w:t>G001 · CHD-03 — No tracking, behavioural monitoring or targeted advertising to children. Tracking, behavioural monitoring and targeted advertising are technically suppressed for child accounts across first and third-party components, verified by instrumented testing.</w:t>
      </w:r>
    </w:p>
    <w:p>
      <w:pPr>
        <w:pStyle w:val="ListBullet"/>
        <w:spacing w:after="80"/>
      </w:pPr>
      <w:r>
        <w:rPr>
          <w:rFonts w:ascii="Times New Roman" w:hAnsi="Times New Roman"/>
          <w:sz w:val="20"/>
        </w:rPr>
        <w:t>G002 · SDF-02 — Independent data auditor appointed. An independent auditor with documented independence is appointed on a scope covering the Act, reports are issued and considered by the board, and findings are tracked to closure.</w:t>
      </w:r>
    </w:p>
    <w:p>
      <w:pPr>
        <w:pStyle w:val="ListBullet"/>
        <w:spacing w:after="80"/>
      </w:pPr>
      <w:r>
        <w:rPr>
          <w:rFonts w:ascii="Times New Roman" w:hAnsi="Times New Roman"/>
          <w:sz w:val="20"/>
        </w:rPr>
        <w:t>G003 · CON-04 — Withdrawal of consent as easy as giving it. Withdrawal is available on the same surface with comparable effort, tested end to end, and the step-count comparison is documented.</w:t>
      </w:r>
    </w:p>
    <w:p>
      <w:pPr>
        <w:pStyle w:val="ListBullet"/>
        <w:spacing w:after="80"/>
      </w:pPr>
      <w:r>
        <w:rPr>
          <w:rFonts w:ascii="Times New Roman" w:hAnsi="Times New Roman"/>
          <w:sz w:val="20"/>
        </w:rPr>
        <w:t>G004 · CON-06 — Processing ceases within a reasonable time of withdrawal. Withdrawal propagates to every consumer including processors within a measured and documented interval, exceptions are logged and owned, and tracing a test record confirms end-to-end cessation.</w:t>
      </w:r>
    </w:p>
    <w:p>
      <w:pPr>
        <w:pStyle w:val="ListBullet"/>
        <w:spacing w:after="80"/>
      </w:pPr>
      <w:r>
        <w:rPr>
          <w:rFonts w:ascii="Times New Roman" w:hAnsi="Times New Roman"/>
          <w:sz w:val="20"/>
        </w:rPr>
        <w:t>G005 · CON-07 — Consent artefacts retained and provable. Complete, tamper-evident artefacts capture purpose set, timestamp, interface and notice version, are retrievable on demand for any individual, and testing confirms retrieval.</w:t>
      </w:r>
    </w:p>
    <w:p>
      <w:pPr>
        <w:pStyle w:val="ListBullet"/>
        <w:spacing w:after="80"/>
      </w:pPr>
      <w:r>
        <w:rPr>
          <w:rFonts w:ascii="Times New Roman" w:hAnsi="Times New Roman"/>
          <w:sz w:val="20"/>
        </w:rPr>
        <w:t>G006 · GOV-07 — Evidence retention for demonstrating compliance. Notice versions and consent artefacts are archived and jointly retrievable per Data Principal, and testing confirms the entity can reconstruct precisely what was presented and agreed to, and when.</w:t>
      </w:r>
    </w:p>
    <w:p>
      <w:pPr>
        <w:pStyle w:val="ListBullet"/>
        <w:spacing w:after="80"/>
      </w:pPr>
      <w:r>
        <w:rPr>
          <w:rFonts w:ascii="Times New Roman" w:hAnsi="Times New Roman"/>
          <w:sz w:val="20"/>
        </w:rPr>
        <w:t>G007 · NOT-02 — Notice content — itemised data and specified purpose. Notice itemises data categories and states each purpose specifically, reconciles to the register in both directions, and is updated when processing changes.</w:t>
      </w:r>
    </w:p>
    <w:p>
      <w:pPr>
        <w:pStyle w:val="ListBullet"/>
        <w:spacing w:after="80"/>
      </w:pPr>
      <w:r>
        <w:rPr>
          <w:rFonts w:ascii="Times New Roman" w:hAnsi="Times New Roman"/>
          <w:sz w:val="20"/>
        </w:rPr>
        <w:t>G008 · RET-02 — Erasure on withdrawal of consent or purpose completion. Erasure is automatically triggered, verified by direct query across stores, logged, and exceptions where law requires retention are individually documented.</w:t>
      </w:r>
    </w:p>
    <w:p>
      <w:pPr>
        <w:spacing w:before="0" w:after="120"/>
      </w:pPr>
      <w:r>
        <w:rPr>
          <w:rFonts w:ascii="Times New Roman" w:hAnsi="Times New Roman"/>
          <w:b w:val="0"/>
          <w:i/>
          <w:color w:val="44546A"/>
          <w:sz w:val="18"/>
        </w:rPr>
        <w:t>A further 5 P1 items are listed in section 6.</w:t>
      </w:r>
    </w:p>
    <w:p>
      <w:r>
        <w:br w:type="page"/>
      </w:r>
    </w:p>
    <w:p>
      <w:pPr>
        <w:pStyle w:val="Heading1"/>
        <w:keepNext/>
        <w:spacing w:before="280" w:after="120"/>
      </w:pPr>
      <w:r>
        <w:rPr>
          <w:rFonts w:ascii="Arial" w:hAnsi="Arial"/>
          <w:b/>
          <w:color w:val="1F3552"/>
          <w:sz w:val="32"/>
        </w:rPr>
        <w:t>2.  Scope, approach and basis of assessment</w:t>
      </w:r>
    </w:p>
    <w:p>
      <w:pPr>
        <w:pStyle w:val="Heading2"/>
        <w:keepNext/>
        <w:spacing w:before="280" w:after="120"/>
      </w:pPr>
      <w:r>
        <w:rPr>
          <w:rFonts w:ascii="Arial" w:hAnsi="Arial"/>
          <w:b/>
          <w:color w:val="1F3552"/>
          <w:sz w:val="26"/>
        </w:rPr>
        <w:t>2.1  Objective and scope</w:t>
      </w:r>
    </w:p>
    <w:p>
      <w:pPr>
        <w:spacing w:before="0" w:after="120"/>
        <w:jc w:val="both"/>
      </w:pPr>
      <w:r>
        <w:rPr>
          <w:rFonts w:ascii="Times New Roman" w:hAnsi="Times New Roman"/>
          <w:b w:val="0"/>
          <w:i w:val="0"/>
          <w:sz w:val="21"/>
        </w:rPr>
        <w:t>An assessment of the design and operating effectiveness of the entity's arrangements for compliance with the Digital Personal Data Protection Act, 2023 across the digital personal data processing activities of Kavach Financial Technologies Private Limited and its collections subsidiary, covering the systems and activities listed in the scope schedule. Fieldwork was performed between 27 July and 14 August 2026 and comprised document inspection, 19 process walkthroughs with control owners, inspection of system configuration, and substantive testing of consent, withdrawal, rights and erasure journeys on live and non-production environments.</w:t>
      </w:r>
    </w:p>
    <w:p>
      <w:pPr>
        <w:pStyle w:val="Heading2"/>
        <w:keepNext/>
        <w:spacing w:before="280" w:after="120"/>
      </w:pPr>
      <w:r>
        <w:rPr>
          <w:rFonts w:ascii="Arial" w:hAnsi="Arial"/>
          <w:b/>
          <w:color w:val="1F3552"/>
          <w:sz w:val="26"/>
        </w:rPr>
        <w:t>2.2  The entity</w:t>
      </w:r>
    </w:p>
    <w:p>
      <w:pPr>
        <w:spacing w:before="0" w:after="120"/>
        <w:jc w:val="both"/>
      </w:pPr>
      <w:r>
        <w:rPr>
          <w:rFonts w:ascii="Times New Roman" w:hAnsi="Times New Roman"/>
          <w:b w:val="0"/>
          <w:i w:val="0"/>
          <w:sz w:val="21"/>
        </w:rPr>
        <w:t>KavachPay operates a consumer financial services platform in India comprising a UPI payments application, an unsecured personal and consumer-durable lending business originated digitally and co-lent with two partner NBFCs, a prepaid payment instrument wallet, and 'Kavach Junior', a supervised prepaid card and savings product marketed to 13-17 year olds under a parent's account. Onboarding is fully digital and relies on third-party KYC and bureau services. The entity was notified as a Significant Data Fiduciary and participates in the account aggregator ecosystem as a Financial Information User, receiving financial information through a registered Consent Manager.</w:t>
      </w:r>
    </w:p>
    <w:tbl>
      <w:tblPr>
        <w:tblStyle w:val="TableGrid"/>
        <w:tblW w:w="9746" w:type="dxa"/>
        <w:jc w:val="center"/>
        <w:tblLayout w:type="fixed"/>
        <w:tblLook w:firstColumn="1" w:firstRow="1" w:lastColumn="0" w:lastRow="0" w:noHBand="0" w:noVBand="1" w:val="04A0"/>
      </w:tblPr>
      <w:tblGrid>
        <w:gridCol w:w="3248"/>
        <w:gridCol w:w="6497"/>
      </w:tblGrid>
      <w:tr>
        <w:trPr>
          <w:cantSplit/>
        </w:trPr>
        <w:tc>
          <w:tcPr>
            <w:tcW w:type="dxa" w:w="3249"/>
            <w:shd w:val="clear" w:color="auto" w:fill="EEF2F7"/>
          </w:tcPr>
          <w:p>
            <w:pPr>
              <w:spacing w:before="20" w:after="20"/>
            </w:pPr>
            <w:r/>
            <w:r>
              <w:rPr>
                <w:rFonts w:ascii="Arial" w:hAnsi="Arial"/>
                <w:b/>
                <w:i w:val="0"/>
                <w:sz w:val="19"/>
              </w:rPr>
              <w:t>Legal name</w:t>
            </w:r>
          </w:p>
        </w:tc>
        <w:tc>
          <w:tcPr>
            <w:tcW w:type="dxa" w:w="6498"/>
          </w:tcPr>
          <w:p>
            <w:pPr>
              <w:spacing w:before="20" w:after="20"/>
            </w:pPr>
            <w:r/>
            <w:r>
              <w:rPr>
                <w:rFonts w:ascii="Times New Roman" w:hAnsi="Times New Roman"/>
                <w:b w:val="0"/>
                <w:i w:val="0"/>
                <w:sz w:val="19"/>
              </w:rPr>
              <w:t>Kavach Financial Technologies Private Limited</w:t>
            </w:r>
          </w:p>
        </w:tc>
      </w:tr>
      <w:tr>
        <w:trPr>
          <w:cantSplit/>
        </w:trPr>
        <w:tc>
          <w:tcPr>
            <w:tcW w:type="dxa" w:w="3249"/>
            <w:shd w:val="clear" w:color="auto" w:fill="EEF2F7"/>
          </w:tcPr>
          <w:p>
            <w:pPr>
              <w:spacing w:before="20" w:after="20"/>
            </w:pPr>
            <w:r/>
            <w:r>
              <w:rPr>
                <w:rFonts w:ascii="Arial" w:hAnsi="Arial"/>
                <w:b/>
                <w:i w:val="0"/>
                <w:sz w:val="19"/>
              </w:rPr>
              <w:t>Trading name</w:t>
            </w:r>
          </w:p>
        </w:tc>
        <w:tc>
          <w:tcPr>
            <w:tcW w:type="dxa" w:w="6498"/>
          </w:tcPr>
          <w:p>
            <w:pPr>
              <w:spacing w:before="20" w:after="20"/>
            </w:pPr>
            <w:r/>
            <w:r>
              <w:rPr>
                <w:rFonts w:ascii="Times New Roman" w:hAnsi="Times New Roman"/>
                <w:b w:val="0"/>
                <w:i w:val="0"/>
                <w:sz w:val="19"/>
              </w:rPr>
              <w:t>KavachPay</w:t>
            </w:r>
          </w:p>
        </w:tc>
      </w:tr>
      <w:tr>
        <w:trPr>
          <w:cantSplit/>
        </w:trPr>
        <w:tc>
          <w:tcPr>
            <w:tcW w:type="dxa" w:w="3249"/>
            <w:shd w:val="clear" w:color="auto" w:fill="EEF2F7"/>
          </w:tcPr>
          <w:p>
            <w:pPr>
              <w:spacing w:before="20" w:after="20"/>
            </w:pPr>
            <w:r/>
            <w:r>
              <w:rPr>
                <w:rFonts w:ascii="Arial" w:hAnsi="Arial"/>
                <w:b/>
                <w:i w:val="0"/>
                <w:sz w:val="19"/>
              </w:rPr>
              <w:t>Sector</w:t>
            </w:r>
          </w:p>
        </w:tc>
        <w:tc>
          <w:tcPr>
            <w:tcW w:type="dxa" w:w="6498"/>
          </w:tcPr>
          <w:p>
            <w:pPr>
              <w:spacing w:before="20" w:after="20"/>
            </w:pPr>
            <w:r/>
            <w:r>
              <w:rPr>
                <w:rFonts w:ascii="Times New Roman" w:hAnsi="Times New Roman"/>
                <w:b w:val="0"/>
                <w:i w:val="0"/>
                <w:sz w:val="19"/>
              </w:rPr>
              <w:t>Financial services — consumer lending, UPI payments and prepaid instruments</w:t>
            </w:r>
          </w:p>
        </w:tc>
      </w:tr>
      <w:tr>
        <w:trPr>
          <w:cantSplit/>
        </w:trPr>
        <w:tc>
          <w:tcPr>
            <w:tcW w:type="dxa" w:w="3249"/>
            <w:shd w:val="clear" w:color="auto" w:fill="EEF2F7"/>
          </w:tcPr>
          <w:p>
            <w:pPr>
              <w:spacing w:before="20" w:after="20"/>
            </w:pPr>
            <w:r/>
            <w:r>
              <w:rPr>
                <w:rFonts w:ascii="Arial" w:hAnsi="Arial"/>
                <w:b/>
                <w:i w:val="0"/>
                <w:sz w:val="19"/>
              </w:rPr>
              <w:t>Registered office</w:t>
            </w:r>
          </w:p>
        </w:tc>
        <w:tc>
          <w:tcPr>
            <w:tcW w:type="dxa" w:w="6498"/>
          </w:tcPr>
          <w:p>
            <w:pPr>
              <w:spacing w:before="20" w:after="20"/>
            </w:pPr>
            <w:r/>
            <w:r>
              <w:rPr>
                <w:rFonts w:ascii="Times New Roman" w:hAnsi="Times New Roman"/>
                <w:b w:val="0"/>
                <w:i w:val="0"/>
                <w:sz w:val="19"/>
              </w:rPr>
              <w:t>Level 7, Prestige Zeta, Whitefield Main Road, Bengaluru 560066, Karnataka, India</w:t>
            </w:r>
          </w:p>
        </w:tc>
      </w:tr>
      <w:tr>
        <w:trPr>
          <w:cantSplit/>
        </w:trPr>
        <w:tc>
          <w:tcPr>
            <w:tcW w:type="dxa" w:w="3249"/>
            <w:shd w:val="clear" w:color="auto" w:fill="EEF2F7"/>
          </w:tcPr>
          <w:p>
            <w:pPr>
              <w:spacing w:before="20" w:after="20"/>
            </w:pPr>
            <w:r/>
            <w:r>
              <w:rPr>
                <w:rFonts w:ascii="Arial" w:hAnsi="Arial"/>
                <w:b/>
                <w:i w:val="0"/>
                <w:sz w:val="19"/>
              </w:rPr>
              <w:t>Headcount</w:t>
            </w:r>
          </w:p>
        </w:tc>
        <w:tc>
          <w:tcPr>
            <w:tcW w:type="dxa" w:w="6498"/>
          </w:tcPr>
          <w:p>
            <w:pPr>
              <w:spacing w:before="20" w:after="20"/>
            </w:pPr>
            <w:r/>
            <w:r>
              <w:rPr>
                <w:rFonts w:ascii="Times New Roman" w:hAnsi="Times New Roman"/>
                <w:b w:val="0"/>
                <w:i w:val="0"/>
                <w:sz w:val="19"/>
              </w:rPr>
              <w:t>1,180</w:t>
            </w:r>
          </w:p>
        </w:tc>
      </w:tr>
      <w:tr>
        <w:trPr>
          <w:cantSplit/>
        </w:trPr>
        <w:tc>
          <w:tcPr>
            <w:tcW w:type="dxa" w:w="3249"/>
            <w:shd w:val="clear" w:color="auto" w:fill="EEF2F7"/>
          </w:tcPr>
          <w:p>
            <w:pPr>
              <w:spacing w:before="20" w:after="20"/>
            </w:pPr>
            <w:r/>
            <w:r>
              <w:rPr>
                <w:rFonts w:ascii="Arial" w:hAnsi="Arial"/>
                <w:b/>
                <w:i w:val="0"/>
                <w:sz w:val="19"/>
              </w:rPr>
              <w:t>Data Principals (approx.)</w:t>
            </w:r>
          </w:p>
        </w:tc>
        <w:tc>
          <w:tcPr>
            <w:tcW w:type="dxa" w:w="6498"/>
          </w:tcPr>
          <w:p>
            <w:pPr>
              <w:spacing w:before="20" w:after="20"/>
            </w:pPr>
            <w:r/>
            <w:r>
              <w:rPr>
                <w:rFonts w:ascii="Times New Roman" w:hAnsi="Times New Roman"/>
                <w:b w:val="0"/>
                <w:i w:val="0"/>
                <w:sz w:val="19"/>
              </w:rPr>
              <w:t>14,200,000</w:t>
            </w:r>
          </w:p>
        </w:tc>
      </w:tr>
    </w:tbl>
    <w:p>
      <w:pPr>
        <w:pStyle w:val="Heading2"/>
        <w:keepNext/>
        <w:spacing w:before="280" w:after="120"/>
      </w:pPr>
      <w:r>
        <w:rPr>
          <w:rFonts w:ascii="Arial" w:hAnsi="Arial"/>
          <w:b/>
          <w:color w:val="1F3552"/>
          <w:sz w:val="26"/>
        </w:rPr>
        <w:t>2.3  Entities within scope</w:t>
      </w:r>
    </w:p>
    <w:p>
      <w:pPr>
        <w:pStyle w:val="ListBullet"/>
        <w:spacing w:after="80"/>
      </w:pPr>
      <w:r>
        <w:rPr>
          <w:rFonts w:ascii="Times New Roman" w:hAnsi="Times New Roman"/>
          <w:sz w:val="20"/>
        </w:rPr>
        <w:t>Kavach Financial Technologies Private Limited (Data Fiduciary)</w:t>
      </w:r>
    </w:p>
    <w:p>
      <w:pPr>
        <w:pStyle w:val="ListBullet"/>
        <w:spacing w:after="80"/>
      </w:pPr>
      <w:r>
        <w:rPr>
          <w:rFonts w:ascii="Times New Roman" w:hAnsi="Times New Roman"/>
          <w:sz w:val="20"/>
        </w:rPr>
        <w:t>Kavach Collections Services Private Limited (wholly-owned subsidiary, collections)</w:t>
      </w:r>
    </w:p>
    <w:p>
      <w:pPr>
        <w:pStyle w:val="Heading2"/>
        <w:keepNext/>
        <w:spacing w:before="280" w:after="120"/>
      </w:pPr>
      <w:r>
        <w:rPr>
          <w:rFonts w:ascii="Arial" w:hAnsi="Arial"/>
          <w:b/>
          <w:color w:val="1F3552"/>
          <w:sz w:val="26"/>
        </w:rPr>
        <w:t>2.4  Systems and processing environments examined</w:t>
      </w:r>
    </w:p>
    <w:p>
      <w:pPr>
        <w:pStyle w:val="ListBullet"/>
        <w:spacing w:after="80"/>
      </w:pPr>
      <w:r>
        <w:rPr>
          <w:rFonts w:ascii="Times New Roman" w:hAnsi="Times New Roman"/>
          <w:sz w:val="20"/>
        </w:rPr>
        <w:t>KavachPay consumer mobile application (Android, iOS) and web onboarding journey</w:t>
      </w:r>
    </w:p>
    <w:p>
      <w:pPr>
        <w:pStyle w:val="ListBullet"/>
        <w:spacing w:after="80"/>
      </w:pPr>
      <w:r>
        <w:rPr>
          <w:rFonts w:ascii="Times New Roman" w:hAnsi="Times New Roman"/>
          <w:sz w:val="20"/>
        </w:rPr>
        <w:t>Kavach Lend — loan origination and underwriting platform (in-house, AWS ap-south-1)</w:t>
      </w:r>
    </w:p>
    <w:p>
      <w:pPr>
        <w:pStyle w:val="ListBullet"/>
        <w:spacing w:after="80"/>
      </w:pPr>
      <w:r>
        <w:rPr>
          <w:rFonts w:ascii="Times New Roman" w:hAnsi="Times New Roman"/>
          <w:sz w:val="20"/>
        </w:rPr>
        <w:t>Kavach Junior — teen prepaid card product and parent supervision console</w:t>
      </w:r>
    </w:p>
    <w:p>
      <w:pPr>
        <w:pStyle w:val="ListBullet"/>
        <w:spacing w:after="80"/>
      </w:pPr>
      <w:r>
        <w:rPr>
          <w:rFonts w:ascii="Times New Roman" w:hAnsi="Times New Roman"/>
          <w:sz w:val="20"/>
        </w:rPr>
        <w:t>Kavach CRM — Salesforce Financial Services Cloud (customer service and collections)</w:t>
      </w:r>
    </w:p>
    <w:p>
      <w:pPr>
        <w:pStyle w:val="ListBullet"/>
        <w:spacing w:after="80"/>
      </w:pPr>
      <w:r>
        <w:rPr>
          <w:rFonts w:ascii="Times New Roman" w:hAnsi="Times New Roman"/>
          <w:sz w:val="20"/>
        </w:rPr>
        <w:t>Kavach Analytics — Snowflake data warehouse and dbt transformation layer</w:t>
      </w:r>
    </w:p>
    <w:p>
      <w:pPr>
        <w:pStyle w:val="ListBullet"/>
        <w:spacing w:after="80"/>
      </w:pPr>
      <w:r>
        <w:rPr>
          <w:rFonts w:ascii="Times New Roman" w:hAnsi="Times New Roman"/>
          <w:sz w:val="20"/>
        </w:rPr>
        <w:t>Kavach Ledger — core wallet and PPI ledger</w:t>
      </w:r>
    </w:p>
    <w:p>
      <w:pPr>
        <w:pStyle w:val="ListBullet"/>
        <w:spacing w:after="80"/>
      </w:pPr>
      <w:r>
        <w:rPr>
          <w:rFonts w:ascii="Times New Roman" w:hAnsi="Times New Roman"/>
          <w:sz w:val="20"/>
        </w:rPr>
        <w:t>Marketing stack — CleverTap (engagement), Meta and Google advertising integrations</w:t>
      </w:r>
    </w:p>
    <w:p>
      <w:pPr>
        <w:pStyle w:val="ListBullet"/>
        <w:spacing w:after="80"/>
      </w:pPr>
      <w:r>
        <w:rPr>
          <w:rFonts w:ascii="Times New Roman" w:hAnsi="Times New Roman"/>
          <w:sz w:val="20"/>
        </w:rPr>
        <w:t>Communications — Exotel (voice), Gupshup (SMS and WhatsApp), Amazon SES (email)</w:t>
      </w:r>
    </w:p>
    <w:p>
      <w:pPr>
        <w:pStyle w:val="ListBullet"/>
        <w:spacing w:after="80"/>
      </w:pPr>
      <w:r>
        <w:rPr>
          <w:rFonts w:ascii="Times New Roman" w:hAnsi="Times New Roman"/>
          <w:sz w:val="20"/>
        </w:rPr>
        <w:t>Identity and KYC — Signzy (video KYC), Karza (document verification), CIBIL and CRIF</w:t>
      </w:r>
    </w:p>
    <w:p>
      <w:pPr>
        <w:pStyle w:val="ListBullet"/>
        <w:spacing w:after="80"/>
      </w:pPr>
      <w:r>
        <w:rPr>
          <w:rFonts w:ascii="Times New Roman" w:hAnsi="Times New Roman"/>
          <w:sz w:val="20"/>
        </w:rPr>
        <w:t>Account aggregator integration via a registered Consent Manager</w:t>
      </w:r>
    </w:p>
    <w:p>
      <w:pPr>
        <w:pStyle w:val="ListBullet"/>
        <w:spacing w:after="80"/>
      </w:pPr>
      <w:r>
        <w:rPr>
          <w:rFonts w:ascii="Times New Roman" w:hAnsi="Times New Roman"/>
          <w:sz w:val="20"/>
        </w:rPr>
        <w:t>Corporate systems — Google Workspace, Darwinbox (HRMS), Freshservice (ITSM)</w:t>
      </w:r>
    </w:p>
    <w:p>
      <w:pPr>
        <w:pStyle w:val="Heading2"/>
        <w:keepNext/>
        <w:spacing w:before="280" w:after="120"/>
      </w:pPr>
      <w:r>
        <w:rPr>
          <w:rFonts w:ascii="Arial" w:hAnsi="Arial"/>
          <w:b/>
          <w:color w:val="1F3552"/>
          <w:sz w:val="26"/>
        </w:rPr>
        <w:t>2.5  Exclusions from scope</w:t>
      </w:r>
    </w:p>
    <w:p>
      <w:pPr>
        <w:spacing w:before="0" w:after="120"/>
        <w:jc w:val="both"/>
      </w:pPr>
      <w:r>
        <w:rPr>
          <w:rFonts w:ascii="Times New Roman" w:hAnsi="Times New Roman"/>
          <w:b w:val="0"/>
          <w:i w:val="0"/>
          <w:sz w:val="21"/>
        </w:rPr>
        <w:t>The following were excluded. Each exclusion narrows the conclusions that can be drawn from this report and is recorded so that the reader can judge that effect.</w:t>
      </w:r>
    </w:p>
    <w:p>
      <w:pPr>
        <w:pStyle w:val="ListBullet"/>
        <w:spacing w:after="80"/>
      </w:pPr>
      <w:r>
        <w:rPr>
          <w:rFonts w:ascii="Times New Roman" w:hAnsi="Times New Roman"/>
          <w:sz w:val="20"/>
        </w:rPr>
        <w:t>Kavach Insurance Broking Private Limited — separate legal entity and consent architecture; scheduled for assessment in the next cycle.</w:t>
      </w:r>
    </w:p>
    <w:p>
      <w:pPr>
        <w:pStyle w:val="ListBullet"/>
        <w:spacing w:after="80"/>
      </w:pPr>
      <w:r>
        <w:rPr>
          <w:rFonts w:ascii="Times New Roman" w:hAnsi="Times New Roman"/>
          <w:sz w:val="20"/>
        </w:rPr>
        <w:t>Physical branch operations of the co-lending partner NBFCs, which are the partners' own Data Fiduciary responsibility.</w:t>
      </w:r>
    </w:p>
    <w:p>
      <w:pPr>
        <w:pStyle w:val="ListBullet"/>
        <w:spacing w:after="80"/>
      </w:pPr>
      <w:r>
        <w:rPr>
          <w:rFonts w:ascii="Times New Roman" w:hAnsi="Times New Roman"/>
          <w:sz w:val="20"/>
        </w:rPr>
        <w:t>Testing of the account aggregator's own systems, which are outside the entity's control; reliance was placed on the Consent Manager's registration status only.</w:t>
      </w:r>
    </w:p>
    <w:p>
      <w:pPr>
        <w:pStyle w:val="Heading2"/>
        <w:keepNext/>
        <w:spacing w:before="280" w:after="120"/>
      </w:pPr>
      <w:r>
        <w:rPr>
          <w:rFonts w:ascii="Arial" w:hAnsi="Arial"/>
          <w:b/>
          <w:color w:val="1F3552"/>
          <w:sz w:val="26"/>
        </w:rPr>
        <w:t>2.6  Approach</w:t>
      </w:r>
    </w:p>
    <w:p>
      <w:pPr>
        <w:spacing w:before="0" w:after="120"/>
        <w:jc w:val="both"/>
      </w:pPr>
      <w:r>
        <w:rPr>
          <w:rFonts w:ascii="Times New Roman" w:hAnsi="Times New Roman"/>
          <w:b w:val="0"/>
          <w:i w:val="0"/>
          <w:sz w:val="21"/>
        </w:rPr>
        <w:t>Each control was assessed by inspection of documentation, walkthrough with the control owner, and — where the control is capable of substantive test — direct examination of system behaviour or records. A control was scored on the position that could be evidenced, not on the intent expressed or the work in progress.</w:t>
      </w:r>
    </w:p>
    <w:p>
      <w:pPr>
        <w:pStyle w:val="Heading2"/>
        <w:keepNext/>
        <w:spacing w:before="280" w:after="120"/>
      </w:pPr>
      <w:r>
        <w:rPr>
          <w:rFonts w:ascii="Arial" w:hAnsi="Arial"/>
          <w:b/>
          <w:color w:val="1F3552"/>
          <w:sz w:val="26"/>
        </w:rPr>
        <w:t>2.7  Scoring model</w:t>
      </w:r>
    </w:p>
    <w:p>
      <w:pPr>
        <w:spacing w:before="0" w:after="120"/>
        <w:jc w:val="both"/>
      </w:pPr>
      <w:r>
        <w:rPr>
          <w:rFonts w:ascii="Times New Roman" w:hAnsi="Times New Roman"/>
          <w:b w:val="0"/>
          <w:i w:val="0"/>
          <w:sz w:val="21"/>
        </w:rPr>
        <w:t>Each in-scope control was scored against a five-point anchored scale. The library defines the descriptors at 0, 2 and 4 for every control; 1 and 3 are intermediate positions between the adjacent anchors.</w:t>
      </w:r>
    </w:p>
    <w:tbl>
      <w:tblPr>
        <w:tblStyle w:val="TableGrid"/>
        <w:tblW w:w="9746" w:type="dxa"/>
        <w:jc w:val="center"/>
        <w:tblLayout w:type="fixed"/>
        <w:tblLook w:firstColumn="1" w:firstRow="1" w:lastColumn="0" w:lastRow="0" w:noHBand="0" w:noVBand="1" w:val="04A0"/>
      </w:tblPr>
      <w:tblGrid>
        <w:gridCol w:w="1689"/>
        <w:gridCol w:w="8056"/>
      </w:tblGrid>
      <w:tr>
        <w:trPr>
          <w:tblHeader w:val="true"/>
        </w:trPr>
        <w:tc>
          <w:tcPr>
            <w:tcW w:type="dxa" w:w="1689"/>
            <w:shd w:val="clear" w:color="auto" w:fill="1F3552"/>
          </w:tcPr>
          <w:p>
            <w:pPr>
              <w:spacing w:before="20" w:after="20"/>
              <w:jc w:val="center"/>
            </w:pPr>
            <w:r/>
            <w:r>
              <w:rPr>
                <w:rFonts w:ascii="Arial" w:hAnsi="Arial"/>
                <w:b/>
                <w:i w:val="0"/>
                <w:color w:val="FFFFFF"/>
                <w:sz w:val="18"/>
              </w:rPr>
              <w:t>Score</w:t>
            </w:r>
          </w:p>
        </w:tc>
        <w:tc>
          <w:tcPr>
            <w:tcW w:type="dxa" w:w="8057"/>
            <w:shd w:val="clear" w:color="auto" w:fill="1F3552"/>
          </w:tcPr>
          <w:p>
            <w:pPr>
              <w:spacing w:before="20" w:after="20"/>
              <w:jc w:val="center"/>
            </w:pPr>
            <w:r/>
            <w:r>
              <w:rPr>
                <w:rFonts w:ascii="Arial" w:hAnsi="Arial"/>
                <w:b/>
                <w:i w:val="0"/>
                <w:color w:val="FFFFFF"/>
                <w:sz w:val="18"/>
              </w:rPr>
              <w:t>Meaning</w:t>
            </w:r>
          </w:p>
        </w:tc>
      </w:tr>
      <w:tr>
        <w:trPr>
          <w:cantSplit/>
        </w:trPr>
        <w:tc>
          <w:tcPr>
            <w:tcW w:type="dxa" w:w="1689"/>
            <w:shd w:val="clear" w:color="auto" w:fill="F8D7D7"/>
          </w:tcPr>
          <w:p>
            <w:pPr>
              <w:spacing w:before="20" w:after="20"/>
              <w:jc w:val="center"/>
            </w:pPr>
            <w:r/>
            <w:r>
              <w:rPr>
                <w:rFonts w:ascii="Arial" w:hAnsi="Arial"/>
                <w:b/>
                <w:i w:val="0"/>
                <w:sz w:val="22"/>
              </w:rPr>
              <w:t>0</w:t>
            </w:r>
          </w:p>
        </w:tc>
        <w:tc>
          <w:tcPr>
            <w:tcW w:type="dxa" w:w="8057"/>
          </w:tcPr>
          <w:p>
            <w:pPr>
              <w:spacing w:before="20" w:after="20"/>
            </w:pPr>
            <w:r/>
            <w:r>
              <w:rPr>
                <w:rFonts w:ascii="Times New Roman" w:hAnsi="Times New Roman"/>
                <w:b w:val="0"/>
                <w:i w:val="0"/>
                <w:sz w:val="19"/>
              </w:rPr>
              <w:t>Absent — no capability</w:t>
            </w:r>
          </w:p>
        </w:tc>
      </w:tr>
      <w:tr>
        <w:trPr>
          <w:cantSplit/>
        </w:trPr>
        <w:tc>
          <w:tcPr>
            <w:tcW w:type="dxa" w:w="1689"/>
            <w:shd w:val="clear" w:color="auto" w:fill="F8D7D7"/>
          </w:tcPr>
          <w:p>
            <w:pPr>
              <w:spacing w:before="20" w:after="20"/>
              <w:jc w:val="center"/>
            </w:pPr>
            <w:r/>
            <w:r>
              <w:rPr>
                <w:rFonts w:ascii="Arial" w:hAnsi="Arial"/>
                <w:b/>
                <w:i w:val="0"/>
                <w:sz w:val="22"/>
              </w:rPr>
              <w:t>1</w:t>
            </w:r>
          </w:p>
        </w:tc>
        <w:tc>
          <w:tcPr>
            <w:tcW w:type="dxa" w:w="8057"/>
          </w:tcPr>
          <w:p>
            <w:pPr>
              <w:spacing w:before="20" w:after="20"/>
            </w:pPr>
            <w:r/>
            <w:r>
              <w:rPr>
                <w:rFonts w:ascii="Times New Roman" w:hAnsi="Times New Roman"/>
                <w:b w:val="0"/>
                <w:i w:val="0"/>
                <w:sz w:val="19"/>
              </w:rPr>
              <w:t>Initial — ad hoc, undocumented</w:t>
            </w:r>
          </w:p>
        </w:tc>
      </w:tr>
      <w:tr>
        <w:trPr>
          <w:cantSplit/>
        </w:trPr>
        <w:tc>
          <w:tcPr>
            <w:tcW w:type="dxa" w:w="1689"/>
            <w:shd w:val="clear" w:color="auto" w:fill="FDECC8"/>
          </w:tcPr>
          <w:p>
            <w:pPr>
              <w:spacing w:before="20" w:after="20"/>
              <w:jc w:val="center"/>
            </w:pPr>
            <w:r/>
            <w:r>
              <w:rPr>
                <w:rFonts w:ascii="Arial" w:hAnsi="Arial"/>
                <w:b/>
                <w:i w:val="0"/>
                <w:sz w:val="22"/>
              </w:rPr>
              <w:t>2</w:t>
            </w:r>
          </w:p>
        </w:tc>
        <w:tc>
          <w:tcPr>
            <w:tcW w:type="dxa" w:w="8057"/>
          </w:tcPr>
          <w:p>
            <w:pPr>
              <w:spacing w:before="20" w:after="20"/>
            </w:pPr>
            <w:r/>
            <w:r>
              <w:rPr>
                <w:rFonts w:ascii="Times New Roman" w:hAnsi="Times New Roman"/>
                <w:b w:val="0"/>
                <w:i w:val="0"/>
                <w:sz w:val="19"/>
              </w:rPr>
              <w:t>Developing — partial, inconsistent</w:t>
            </w:r>
          </w:p>
        </w:tc>
      </w:tr>
      <w:tr>
        <w:trPr>
          <w:cantSplit/>
        </w:trPr>
        <w:tc>
          <w:tcPr>
            <w:tcW w:type="dxa" w:w="1689"/>
            <w:shd w:val="clear" w:color="auto" w:fill="E4EFDC"/>
          </w:tcPr>
          <w:p>
            <w:pPr>
              <w:spacing w:before="20" w:after="20"/>
              <w:jc w:val="center"/>
            </w:pPr>
            <w:r/>
            <w:r>
              <w:rPr>
                <w:rFonts w:ascii="Arial" w:hAnsi="Arial"/>
                <w:b/>
                <w:i w:val="0"/>
                <w:sz w:val="22"/>
              </w:rPr>
              <w:t>3</w:t>
            </w:r>
          </w:p>
        </w:tc>
        <w:tc>
          <w:tcPr>
            <w:tcW w:type="dxa" w:w="8057"/>
          </w:tcPr>
          <w:p>
            <w:pPr>
              <w:spacing w:before="20" w:after="20"/>
            </w:pPr>
            <w:r/>
            <w:r>
              <w:rPr>
                <w:rFonts w:ascii="Times New Roman" w:hAnsi="Times New Roman"/>
                <w:b w:val="0"/>
                <w:i w:val="0"/>
                <w:sz w:val="19"/>
              </w:rPr>
              <w:t>Managed — substantially in place, minor gaps</w:t>
            </w:r>
          </w:p>
        </w:tc>
      </w:tr>
      <w:tr>
        <w:trPr>
          <w:cantSplit/>
        </w:trPr>
        <w:tc>
          <w:tcPr>
            <w:tcW w:type="dxa" w:w="1689"/>
            <w:shd w:val="clear" w:color="auto" w:fill="D2E7C4"/>
          </w:tcPr>
          <w:p>
            <w:pPr>
              <w:spacing w:before="20" w:after="20"/>
              <w:jc w:val="center"/>
            </w:pPr>
            <w:r/>
            <w:r>
              <w:rPr>
                <w:rFonts w:ascii="Arial" w:hAnsi="Arial"/>
                <w:b/>
                <w:i w:val="0"/>
                <w:sz w:val="22"/>
              </w:rPr>
              <w:t>4</w:t>
            </w:r>
          </w:p>
        </w:tc>
        <w:tc>
          <w:tcPr>
            <w:tcW w:type="dxa" w:w="8057"/>
          </w:tcPr>
          <w:p>
            <w:pPr>
              <w:spacing w:before="20" w:after="20"/>
            </w:pPr>
            <w:r/>
            <w:r>
              <w:rPr>
                <w:rFonts w:ascii="Times New Roman" w:hAnsi="Times New Roman"/>
                <w:b w:val="0"/>
                <w:i w:val="0"/>
                <w:sz w:val="19"/>
              </w:rPr>
              <w:t>Optimised — complete, evidenced, tested</w:t>
            </w:r>
          </w:p>
        </w:tc>
      </w:tr>
    </w:tbl>
    <w:p>
      <w:pPr>
        <w:spacing w:before="80" w:after="120"/>
        <w:jc w:val="both"/>
      </w:pPr>
      <w:r>
        <w:rPr>
          <w:rFonts w:ascii="Times New Roman" w:hAnsi="Times New Roman"/>
          <w:b w:val="0"/>
          <w:i w:val="0"/>
          <w:sz w:val="19"/>
        </w:rPr>
        <w:t>A control scoring below 3 is reported as a gap. Controls marked not applicable are removed from the denominator rather than scored zero, since scoring an inapplicable obligation zero would understate maturity and create a gap that cannot be remediated.</w:t>
      </w:r>
    </w:p>
    <w:p>
      <w:pPr>
        <w:spacing w:before="120" w:after="80"/>
      </w:pPr>
      <w:r>
        <w:rPr>
          <w:rFonts w:ascii="Times New Roman" w:hAnsi="Times New Roman"/>
          <w:b w:val="0"/>
          <w:i w:val="0"/>
          <w:sz w:val="21"/>
        </w:rPr>
        <w:t>Maturity and risk are computed as follows.</w:t>
      </w:r>
    </w:p>
    <w:tbl>
      <w:tblPr>
        <w:tblStyle w:val="TableGrid"/>
        <w:tblW w:w="9746" w:type="dxa"/>
        <w:jc w:val="center"/>
        <w:tblLayout w:type="fixed"/>
        <w:tblLook w:firstColumn="1" w:firstRow="1" w:lastColumn="0" w:lastRow="0" w:noHBand="0" w:noVBand="1" w:val="04A0"/>
      </w:tblPr>
      <w:tblGrid>
        <w:gridCol w:w="3508"/>
        <w:gridCol w:w="6237"/>
      </w:tblGrid>
      <w:tr>
        <w:trPr>
          <w:cantSplit/>
        </w:trPr>
        <w:tc>
          <w:tcPr>
            <w:tcW w:type="dxa" w:w="3509"/>
            <w:shd w:val="clear" w:color="auto" w:fill="EEF2F7"/>
          </w:tcPr>
          <w:p>
            <w:pPr>
              <w:spacing w:before="20" w:after="20"/>
            </w:pPr>
            <w:r/>
            <w:r>
              <w:rPr>
                <w:rFonts w:ascii="Arial" w:hAnsi="Arial"/>
                <w:b/>
                <w:i w:val="0"/>
                <w:sz w:val="19"/>
              </w:rPr>
              <w:t>Control maturity</w:t>
            </w:r>
          </w:p>
        </w:tc>
        <w:tc>
          <w:tcPr>
            <w:tcW w:type="dxa" w:w="6237"/>
          </w:tcPr>
          <w:p>
            <w:pPr>
              <w:spacing w:before="20" w:after="20"/>
            </w:pPr>
            <w:r/>
            <w:r>
              <w:rPr>
                <w:rFonts w:ascii="Arial" w:hAnsi="Arial"/>
                <w:b w:val="0"/>
                <w:i w:val="0"/>
                <w:sz w:val="19"/>
              </w:rPr>
              <w:t>score ÷ 4</w:t>
            </w:r>
          </w:p>
        </w:tc>
      </w:tr>
      <w:tr>
        <w:trPr>
          <w:cantSplit/>
        </w:trPr>
        <w:tc>
          <w:tcPr>
            <w:tcW w:type="dxa" w:w="3509"/>
            <w:shd w:val="clear" w:color="auto" w:fill="EEF2F7"/>
          </w:tcPr>
          <w:p>
            <w:pPr>
              <w:spacing w:before="20" w:after="20"/>
            </w:pPr>
            <w:r/>
            <w:r>
              <w:rPr>
                <w:rFonts w:ascii="Arial" w:hAnsi="Arial"/>
                <w:b/>
                <w:i w:val="0"/>
                <w:sz w:val="19"/>
              </w:rPr>
              <w:t>Domain maturity</w:t>
            </w:r>
          </w:p>
        </w:tc>
        <w:tc>
          <w:tcPr>
            <w:tcW w:type="dxa" w:w="6237"/>
          </w:tcPr>
          <w:p>
            <w:pPr>
              <w:spacing w:before="20" w:after="20"/>
            </w:pPr>
            <w:r/>
            <w:r>
              <w:rPr>
                <w:rFonts w:ascii="Arial" w:hAnsi="Arial"/>
                <w:b w:val="0"/>
                <w:i w:val="0"/>
                <w:sz w:val="19"/>
              </w:rPr>
              <w:t>Σ(score × control weight) ÷ Σ(4 × control weight)</w:t>
            </w:r>
          </w:p>
        </w:tc>
      </w:tr>
      <w:tr>
        <w:trPr>
          <w:cantSplit/>
        </w:trPr>
        <w:tc>
          <w:tcPr>
            <w:tcW w:type="dxa" w:w="3509"/>
            <w:shd w:val="clear" w:color="auto" w:fill="EEF2F7"/>
          </w:tcPr>
          <w:p>
            <w:pPr>
              <w:spacing w:before="20" w:after="20"/>
            </w:pPr>
            <w:r/>
            <w:r>
              <w:rPr>
                <w:rFonts w:ascii="Arial" w:hAnsi="Arial"/>
                <w:b/>
                <w:i w:val="0"/>
                <w:sz w:val="19"/>
              </w:rPr>
              <w:t>Overall maturity</w:t>
            </w:r>
          </w:p>
        </w:tc>
        <w:tc>
          <w:tcPr>
            <w:tcW w:type="dxa" w:w="6237"/>
          </w:tcPr>
          <w:p>
            <w:pPr>
              <w:spacing w:before="20" w:after="20"/>
            </w:pPr>
            <w:r/>
            <w:r>
              <w:rPr>
                <w:rFonts w:ascii="Arial" w:hAnsi="Arial"/>
                <w:b w:val="0"/>
                <w:i w:val="0"/>
                <w:sz w:val="19"/>
              </w:rPr>
              <w:t>Σ(domain maturity × domain weight) ÷ Σ(domain weight)</w:t>
            </w:r>
          </w:p>
        </w:tc>
      </w:tr>
      <w:tr>
        <w:trPr>
          <w:cantSplit/>
        </w:trPr>
        <w:tc>
          <w:tcPr>
            <w:tcW w:type="dxa" w:w="3509"/>
            <w:shd w:val="clear" w:color="auto" w:fill="EEF2F7"/>
          </w:tcPr>
          <w:p>
            <w:pPr>
              <w:spacing w:before="20" w:after="20"/>
            </w:pPr>
            <w:r/>
            <w:r>
              <w:rPr>
                <w:rFonts w:ascii="Arial" w:hAnsi="Arial"/>
                <w:b/>
                <w:i w:val="0"/>
                <w:sz w:val="19"/>
              </w:rPr>
              <w:t>Residual risk</w:t>
            </w:r>
          </w:p>
        </w:tc>
        <w:tc>
          <w:tcPr>
            <w:tcW w:type="dxa" w:w="6237"/>
          </w:tcPr>
          <w:p>
            <w:pPr>
              <w:spacing w:before="20" w:after="20"/>
            </w:pPr>
            <w:r/>
            <w:r>
              <w:rPr>
                <w:rFonts w:ascii="Arial" w:hAnsi="Arial"/>
                <w:b w:val="0"/>
                <w:i w:val="0"/>
                <w:sz w:val="19"/>
              </w:rPr>
              <w:t>severity rank × (4 − score), range 0 to 16</w:t>
            </w:r>
          </w:p>
        </w:tc>
      </w:tr>
      <w:tr>
        <w:trPr>
          <w:cantSplit/>
        </w:trPr>
        <w:tc>
          <w:tcPr>
            <w:tcW w:type="dxa" w:w="3509"/>
            <w:shd w:val="clear" w:color="auto" w:fill="EEF2F7"/>
          </w:tcPr>
          <w:p>
            <w:pPr>
              <w:spacing w:before="20" w:after="20"/>
            </w:pPr>
            <w:r/>
            <w:r>
              <w:rPr>
                <w:rFonts w:ascii="Arial" w:hAnsi="Arial"/>
                <w:b/>
                <w:i w:val="0"/>
                <w:sz w:val="19"/>
              </w:rPr>
              <w:t>Severity ranks</w:t>
            </w:r>
          </w:p>
        </w:tc>
        <w:tc>
          <w:tcPr>
            <w:tcW w:type="dxa" w:w="6237"/>
          </w:tcPr>
          <w:p>
            <w:pPr>
              <w:spacing w:before="20" w:after="20"/>
            </w:pPr>
            <w:r/>
            <w:r>
              <w:rPr>
                <w:rFonts w:ascii="Arial" w:hAnsi="Arial"/>
                <w:b w:val="0"/>
                <w:i w:val="0"/>
                <w:sz w:val="19"/>
              </w:rPr>
              <w:t>critical 4 · high 3 · medium 2 · low 1</w:t>
            </w:r>
          </w:p>
        </w:tc>
      </w:tr>
      <w:tr>
        <w:trPr>
          <w:cantSplit/>
        </w:trPr>
        <w:tc>
          <w:tcPr>
            <w:tcW w:type="dxa" w:w="3509"/>
            <w:shd w:val="clear" w:color="auto" w:fill="EEF2F7"/>
          </w:tcPr>
          <w:p>
            <w:pPr>
              <w:spacing w:before="20" w:after="20"/>
            </w:pPr>
            <w:r/>
            <w:r>
              <w:rPr>
                <w:rFonts w:ascii="Arial" w:hAnsi="Arial"/>
                <w:b/>
                <w:i w:val="0"/>
                <w:sz w:val="19"/>
              </w:rPr>
              <w:t>Risk bands</w:t>
            </w:r>
          </w:p>
        </w:tc>
        <w:tc>
          <w:tcPr>
            <w:tcW w:type="dxa" w:w="6237"/>
          </w:tcPr>
          <w:p>
            <w:pPr>
              <w:spacing w:before="20" w:after="20"/>
            </w:pPr>
            <w:r/>
            <w:r>
              <w:rPr>
                <w:rFonts w:ascii="Arial" w:hAnsi="Arial"/>
                <w:b w:val="0"/>
                <w:i w:val="0"/>
                <w:sz w:val="19"/>
              </w:rPr>
              <w:t>12–16 Critical · 8–11 High · 4–7 Medium · 1–3 Low</w:t>
            </w:r>
          </w:p>
        </w:tc>
      </w:tr>
    </w:tbl>
    <w:p>
      <w:pPr>
        <w:spacing w:before="120" w:after="80"/>
      </w:pPr>
      <w:r>
        <w:rPr>
          <w:rFonts w:ascii="Times New Roman" w:hAnsi="Times New Roman"/>
          <w:b w:val="0"/>
          <w:i w:val="0"/>
          <w:sz w:val="21"/>
        </w:rPr>
        <w:t>Priority and remediation targets follow directly from residual risk:</w:t>
      </w:r>
    </w:p>
    <w:tbl>
      <w:tblPr>
        <w:tblStyle w:val="TableGrid"/>
        <w:tblW w:w="9746" w:type="dxa"/>
        <w:jc w:val="center"/>
        <w:tblLayout w:type="fixed"/>
        <w:tblLook w:firstColumn="1" w:firstRow="1" w:lastColumn="0" w:lastRow="0" w:noHBand="0" w:noVBand="1" w:val="04A0"/>
      </w:tblPr>
      <w:tblGrid>
        <w:gridCol w:w="1559"/>
        <w:gridCol w:w="2209"/>
        <w:gridCol w:w="5977"/>
      </w:tblGrid>
      <w:tr>
        <w:trPr>
          <w:tblHeader w:val="true"/>
        </w:trPr>
        <w:tc>
          <w:tcPr>
            <w:tcW w:type="dxa" w:w="1560"/>
            <w:shd w:val="clear" w:color="auto" w:fill="1F3552"/>
          </w:tcPr>
          <w:p>
            <w:pPr>
              <w:spacing w:before="20" w:after="20"/>
              <w:jc w:val="center"/>
            </w:pPr>
            <w:r/>
            <w:r>
              <w:rPr>
                <w:rFonts w:ascii="Arial" w:hAnsi="Arial"/>
                <w:b/>
                <w:i w:val="0"/>
                <w:color w:val="FFFFFF"/>
                <w:sz w:val="18"/>
              </w:rPr>
              <w:t>Priority</w:t>
            </w:r>
          </w:p>
        </w:tc>
        <w:tc>
          <w:tcPr>
            <w:tcW w:type="dxa" w:w="2209"/>
            <w:shd w:val="clear" w:color="auto" w:fill="1F3552"/>
          </w:tcPr>
          <w:p>
            <w:pPr>
              <w:spacing w:before="20" w:after="20"/>
              <w:jc w:val="center"/>
            </w:pPr>
            <w:r/>
            <w:r>
              <w:rPr>
                <w:rFonts w:ascii="Arial" w:hAnsi="Arial"/>
                <w:b/>
                <w:i w:val="0"/>
                <w:color w:val="FFFFFF"/>
                <w:sz w:val="18"/>
              </w:rPr>
              <w:t>Risk score</w:t>
            </w:r>
          </w:p>
        </w:tc>
        <w:tc>
          <w:tcPr>
            <w:tcW w:type="dxa" w:w="5978"/>
            <w:shd w:val="clear" w:color="auto" w:fill="1F3552"/>
          </w:tcPr>
          <w:p>
            <w:pPr>
              <w:spacing w:before="20" w:after="20"/>
              <w:jc w:val="center"/>
            </w:pPr>
            <w:r/>
            <w:r>
              <w:rPr>
                <w:rFonts w:ascii="Arial" w:hAnsi="Arial"/>
                <w:b/>
                <w:i w:val="0"/>
                <w:color w:val="FFFFFF"/>
                <w:sz w:val="18"/>
              </w:rPr>
              <w:t>Target</w:t>
            </w:r>
          </w:p>
        </w:tc>
      </w:tr>
      <w:tr>
        <w:trPr>
          <w:cantSplit/>
        </w:trPr>
        <w:tc>
          <w:tcPr>
            <w:tcW w:type="dxa" w:w="1560"/>
          </w:tcPr>
          <w:p>
            <w:pPr>
              <w:spacing w:before="20" w:after="20"/>
              <w:jc w:val="center"/>
            </w:pPr>
            <w:r/>
            <w:r>
              <w:rPr>
                <w:rFonts w:ascii="Arial" w:hAnsi="Arial"/>
                <w:b/>
                <w:i w:val="0"/>
                <w:sz w:val="19"/>
              </w:rPr>
              <w:t>P1</w:t>
            </w:r>
          </w:p>
        </w:tc>
        <w:tc>
          <w:tcPr>
            <w:tcW w:type="dxa" w:w="2209"/>
          </w:tcPr>
          <w:p>
            <w:pPr>
              <w:spacing w:before="20" w:after="20"/>
              <w:jc w:val="center"/>
            </w:pPr>
            <w:r/>
            <w:r>
              <w:rPr>
                <w:rFonts w:ascii="Arial" w:hAnsi="Arial"/>
                <w:b w:val="0"/>
                <w:i w:val="0"/>
                <w:sz w:val="19"/>
              </w:rPr>
              <w:t>12 and above</w:t>
            </w:r>
          </w:p>
        </w:tc>
        <w:tc>
          <w:tcPr>
            <w:tcW w:type="dxa" w:w="5978"/>
          </w:tcPr>
          <w:p>
            <w:pPr>
              <w:spacing w:before="20" w:after="20"/>
            </w:pPr>
            <w:r/>
            <w:r>
              <w:rPr>
                <w:rFonts w:ascii="Times New Roman" w:hAnsi="Times New Roman"/>
                <w:b w:val="0"/>
                <w:i w:val="0"/>
                <w:sz w:val="19"/>
              </w:rPr>
              <w:t>Immediate — remediate within 30 days (30 days)</w:t>
            </w:r>
          </w:p>
        </w:tc>
      </w:tr>
      <w:tr>
        <w:trPr>
          <w:cantSplit/>
        </w:trPr>
        <w:tc>
          <w:tcPr>
            <w:tcW w:type="dxa" w:w="1560"/>
          </w:tcPr>
          <w:p>
            <w:pPr>
              <w:spacing w:before="20" w:after="20"/>
              <w:jc w:val="center"/>
            </w:pPr>
            <w:r/>
            <w:r>
              <w:rPr>
                <w:rFonts w:ascii="Arial" w:hAnsi="Arial"/>
                <w:b/>
                <w:i w:val="0"/>
                <w:sz w:val="19"/>
              </w:rPr>
              <w:t>P2</w:t>
            </w:r>
          </w:p>
        </w:tc>
        <w:tc>
          <w:tcPr>
            <w:tcW w:type="dxa" w:w="2209"/>
          </w:tcPr>
          <w:p>
            <w:pPr>
              <w:spacing w:before="20" w:after="20"/>
              <w:jc w:val="center"/>
            </w:pPr>
            <w:r/>
            <w:r>
              <w:rPr>
                <w:rFonts w:ascii="Arial" w:hAnsi="Arial"/>
                <w:b w:val="0"/>
                <w:i w:val="0"/>
                <w:sz w:val="19"/>
              </w:rPr>
              <w:t>8 and above</w:t>
            </w:r>
          </w:p>
        </w:tc>
        <w:tc>
          <w:tcPr>
            <w:tcW w:type="dxa" w:w="5978"/>
          </w:tcPr>
          <w:p>
            <w:pPr>
              <w:spacing w:before="20" w:after="20"/>
            </w:pPr>
            <w:r/>
            <w:r>
              <w:rPr>
                <w:rFonts w:ascii="Times New Roman" w:hAnsi="Times New Roman"/>
                <w:b w:val="0"/>
                <w:i w:val="0"/>
                <w:sz w:val="19"/>
              </w:rPr>
              <w:t>High — remediate within 60 days (60 days)</w:t>
            </w:r>
          </w:p>
        </w:tc>
      </w:tr>
      <w:tr>
        <w:trPr>
          <w:cantSplit/>
        </w:trPr>
        <w:tc>
          <w:tcPr>
            <w:tcW w:type="dxa" w:w="1560"/>
          </w:tcPr>
          <w:p>
            <w:pPr>
              <w:spacing w:before="20" w:after="20"/>
              <w:jc w:val="center"/>
            </w:pPr>
            <w:r/>
            <w:r>
              <w:rPr>
                <w:rFonts w:ascii="Arial" w:hAnsi="Arial"/>
                <w:b/>
                <w:i w:val="0"/>
                <w:sz w:val="19"/>
              </w:rPr>
              <w:t>P3</w:t>
            </w:r>
          </w:p>
        </w:tc>
        <w:tc>
          <w:tcPr>
            <w:tcW w:type="dxa" w:w="2209"/>
          </w:tcPr>
          <w:p>
            <w:pPr>
              <w:spacing w:before="20" w:after="20"/>
              <w:jc w:val="center"/>
            </w:pPr>
            <w:r/>
            <w:r>
              <w:rPr>
                <w:rFonts w:ascii="Arial" w:hAnsi="Arial"/>
                <w:b w:val="0"/>
                <w:i w:val="0"/>
                <w:sz w:val="19"/>
              </w:rPr>
              <w:t>4 and above</w:t>
            </w:r>
          </w:p>
        </w:tc>
        <w:tc>
          <w:tcPr>
            <w:tcW w:type="dxa" w:w="5978"/>
          </w:tcPr>
          <w:p>
            <w:pPr>
              <w:spacing w:before="20" w:after="20"/>
            </w:pPr>
            <w:r/>
            <w:r>
              <w:rPr>
                <w:rFonts w:ascii="Times New Roman" w:hAnsi="Times New Roman"/>
                <w:b w:val="0"/>
                <w:i w:val="0"/>
                <w:sz w:val="19"/>
              </w:rPr>
              <w:t>Medium — remediate within 90 days (90 days)</w:t>
            </w:r>
          </w:p>
        </w:tc>
      </w:tr>
      <w:tr>
        <w:trPr>
          <w:cantSplit/>
        </w:trPr>
        <w:tc>
          <w:tcPr>
            <w:tcW w:type="dxa" w:w="1560"/>
          </w:tcPr>
          <w:p>
            <w:pPr>
              <w:spacing w:before="20" w:after="20"/>
              <w:jc w:val="center"/>
            </w:pPr>
            <w:r/>
            <w:r>
              <w:rPr>
                <w:rFonts w:ascii="Arial" w:hAnsi="Arial"/>
                <w:b/>
                <w:i w:val="0"/>
                <w:sz w:val="19"/>
              </w:rPr>
              <w:t>P4</w:t>
            </w:r>
          </w:p>
        </w:tc>
        <w:tc>
          <w:tcPr>
            <w:tcW w:type="dxa" w:w="2209"/>
          </w:tcPr>
          <w:p>
            <w:pPr>
              <w:spacing w:before="20" w:after="20"/>
              <w:jc w:val="center"/>
            </w:pPr>
            <w:r/>
            <w:r>
              <w:rPr>
                <w:rFonts w:ascii="Arial" w:hAnsi="Arial"/>
                <w:b w:val="0"/>
                <w:i w:val="0"/>
                <w:sz w:val="19"/>
              </w:rPr>
              <w:t>below 4</w:t>
            </w:r>
          </w:p>
        </w:tc>
        <w:tc>
          <w:tcPr>
            <w:tcW w:type="dxa" w:w="5978"/>
          </w:tcPr>
          <w:p>
            <w:pPr>
              <w:spacing w:before="20" w:after="20"/>
            </w:pPr>
            <w:r/>
            <w:r>
              <w:rPr>
                <w:rFonts w:ascii="Times New Roman" w:hAnsi="Times New Roman"/>
                <w:b w:val="0"/>
                <w:i w:val="0"/>
                <w:sz w:val="19"/>
              </w:rPr>
              <w:t>Low — remediate within 180 days (180 days)</w:t>
            </w:r>
          </w:p>
        </w:tc>
      </w:tr>
    </w:tbl>
    <w:p>
      <w:pPr>
        <w:pStyle w:val="Heading2"/>
        <w:keepNext/>
        <w:spacing w:before="280" w:after="120"/>
      </w:pPr>
      <w:r>
        <w:rPr>
          <w:rFonts w:ascii="Arial" w:hAnsi="Arial"/>
          <w:b/>
          <w:color w:val="1F3552"/>
          <w:sz w:val="26"/>
        </w:rPr>
        <w:t>2.8  Citations and statutory references</w:t>
      </w:r>
    </w:p>
    <w:p>
      <w:pPr>
        <w:spacing w:before="0" w:after="120"/>
        <w:jc w:val="both"/>
      </w:pPr>
      <w:r>
        <w:rPr>
          <w:rFonts w:ascii="Times New Roman" w:hAnsi="Times New Roman"/>
          <w:b w:val="0"/>
          <w:i w:val="0"/>
          <w:sz w:val="21"/>
        </w:rPr>
        <w:t>Every control cites the provision of the Digital Personal Data Protection Act, 2023 that gives rise to the obligation. Where the operative detail of an obligation is left to the DPDP Rules, the control also carries a Rules reference.</w:t>
      </w:r>
    </w:p>
    <w:p>
      <w:pPr>
        <w:spacing w:before="0" w:after="120"/>
        <w:jc w:val="both"/>
      </w:pPr>
      <w:r>
        <w:rPr>
          <w:rFonts w:ascii="Times New Roman" w:hAnsi="Times New Roman"/>
          <w:b w:val="0"/>
          <w:i w:val="0"/>
          <w:sz w:val="21"/>
        </w:rPr>
        <w:t>21 of those Rules references could not be verified against the notified text at the time of writing and appear throughout as “[Rules citation to be verified]”. They are deliberately left blank rather than reconstructed from recollection: a plausible but wrong statutory citation in a signed report survives review and reaches the regulator, whereas a visibly blank one does not. The subject matter of each is set out in Appendix A, and the finding and the Act-level obligation in each case stand independently of the Rules reference.</w:t>
      </w:r>
    </w:p>
    <w:p>
      <w:r>
        <w:br w:type="page"/>
      </w:r>
    </w:p>
    <w:p>
      <w:pPr>
        <w:pStyle w:val="Heading1"/>
        <w:keepNext/>
        <w:spacing w:before="280" w:after="120"/>
      </w:pPr>
      <w:r>
        <w:rPr>
          <w:rFonts w:ascii="Arial" w:hAnsi="Arial"/>
          <w:b/>
          <w:color w:val="1F3552"/>
          <w:sz w:val="32"/>
        </w:rPr>
        <w:t>3.  Applicability determination</w:t>
      </w:r>
    </w:p>
    <w:p>
      <w:pPr>
        <w:spacing w:before="0" w:after="120"/>
        <w:jc w:val="both"/>
      </w:pPr>
      <w:r>
        <w:rPr>
          <w:rFonts w:ascii="Times New Roman" w:hAnsi="Times New Roman"/>
          <w:b w:val="0"/>
          <w:i w:val="0"/>
          <w:sz w:val="21"/>
        </w:rPr>
        <w:t>Scope was determined by applying the entity's characteristics to the control library. Each control declares the characteristics it requires and those that exclude it, so the composition of this audit is reproducible from the flags below.</w:t>
      </w:r>
    </w:p>
    <w:tbl>
      <w:tblPr>
        <w:tblStyle w:val="TableGrid"/>
        <w:tblW w:w="9746" w:type="dxa"/>
        <w:jc w:val="center"/>
        <w:tblLayout w:type="fixed"/>
        <w:tblLook w:firstColumn="1" w:firstRow="1" w:lastColumn="0" w:lastRow="0" w:noHBand="0" w:noVBand="1" w:val="04A0"/>
      </w:tblPr>
      <w:tblGrid>
        <w:gridCol w:w="3638"/>
        <w:gridCol w:w="1234"/>
        <w:gridCol w:w="4872"/>
      </w:tblGrid>
      <w:tr>
        <w:trPr>
          <w:tblHeader w:val="true"/>
        </w:trPr>
        <w:tc>
          <w:tcPr>
            <w:tcW w:type="dxa" w:w="3639"/>
            <w:shd w:val="clear" w:color="auto" w:fill="1F3552"/>
          </w:tcPr>
          <w:p>
            <w:pPr>
              <w:spacing w:before="20" w:after="20"/>
              <w:jc w:val="center"/>
            </w:pPr>
            <w:r/>
            <w:r>
              <w:rPr>
                <w:rFonts w:ascii="Arial" w:hAnsi="Arial"/>
                <w:b/>
                <w:i w:val="0"/>
                <w:color w:val="FFFFFF"/>
                <w:sz w:val="18"/>
              </w:rPr>
              <w:t>Characteristic</w:t>
            </w:r>
          </w:p>
        </w:tc>
        <w:tc>
          <w:tcPr>
            <w:tcW w:type="dxa" w:w="1235"/>
            <w:shd w:val="clear" w:color="auto" w:fill="1F3552"/>
          </w:tcPr>
          <w:p>
            <w:pPr>
              <w:spacing w:before="20" w:after="20"/>
              <w:jc w:val="center"/>
            </w:pPr>
            <w:r/>
            <w:r>
              <w:rPr>
                <w:rFonts w:ascii="Arial" w:hAnsi="Arial"/>
                <w:b/>
                <w:i w:val="0"/>
                <w:color w:val="FFFFFF"/>
                <w:sz w:val="18"/>
              </w:rPr>
              <w:t>Applies</w:t>
            </w:r>
          </w:p>
        </w:tc>
        <w:tc>
          <w:tcPr>
            <w:tcW w:type="dxa" w:w="4873"/>
            <w:shd w:val="clear" w:color="auto" w:fill="1F3552"/>
          </w:tcPr>
          <w:p>
            <w:pPr>
              <w:spacing w:before="20" w:after="20"/>
              <w:jc w:val="center"/>
            </w:pPr>
            <w:r/>
            <w:r>
              <w:rPr>
                <w:rFonts w:ascii="Arial" w:hAnsi="Arial"/>
                <w:b/>
                <w:i w:val="0"/>
                <w:color w:val="FFFFFF"/>
                <w:sz w:val="18"/>
              </w:rPr>
              <w:t>Basis and consequence</w:t>
            </w:r>
          </w:p>
        </w:tc>
      </w:tr>
      <w:tr>
        <w:trPr>
          <w:cantSplit/>
        </w:trPr>
        <w:tc>
          <w:tcPr>
            <w:tcW w:type="dxa" w:w="3639"/>
          </w:tcPr>
          <w:p>
            <w:pPr>
              <w:spacing w:before="20" w:after="20"/>
            </w:pPr>
            <w:r/>
            <w:r>
              <w:rPr>
                <w:rFonts w:ascii="Arial" w:hAnsi="Arial"/>
                <w:b/>
                <w:i w:val="0"/>
                <w:sz w:val="18"/>
              </w:rPr>
              <w:t>is sdf</w:t>
            </w:r>
          </w:p>
        </w:tc>
        <w:tc>
          <w:tcPr>
            <w:tcW w:type="dxa" w:w="1235"/>
            <w:shd w:val="clear" w:color="auto" w:fill="E4EFDC"/>
          </w:tcPr>
          <w:p>
            <w:pPr>
              <w:spacing w:before="20" w:after="20"/>
              <w:jc w:val="center"/>
            </w:pPr>
            <w:r/>
            <w:r>
              <w:rPr>
                <w:rFonts w:ascii="Arial" w:hAnsi="Arial"/>
                <w:b/>
                <w:i w:val="0"/>
                <w:sz w:val="18"/>
              </w:rPr>
              <w:t>Yes</w:t>
            </w:r>
          </w:p>
        </w:tc>
        <w:tc>
          <w:tcPr>
            <w:tcW w:type="dxa" w:w="4873"/>
          </w:tcPr>
          <w:p>
            <w:pPr>
              <w:spacing w:before="20" w:after="20"/>
            </w:pPr>
            <w:r/>
            <w:r>
              <w:rPr>
                <w:rFonts w:ascii="Times New Roman" w:hAnsi="Times New Roman"/>
                <w:b w:val="0"/>
                <w:i w:val="0"/>
                <w:sz w:val="17"/>
              </w:rPr>
              <w:t>Notified by the Central Government as a Significant Data Fiduciary under s.10(1). Set True only on actual notification, not on self-assessment.</w:t>
            </w:r>
          </w:p>
        </w:tc>
      </w:tr>
      <w:tr>
        <w:trPr>
          <w:cantSplit/>
        </w:trPr>
        <w:tc>
          <w:tcPr>
            <w:tcW w:type="dxa" w:w="3639"/>
          </w:tcPr>
          <w:p>
            <w:pPr>
              <w:spacing w:before="20" w:after="20"/>
            </w:pPr>
            <w:r/>
            <w:r>
              <w:rPr>
                <w:rFonts w:ascii="Arial" w:hAnsi="Arial"/>
                <w:b/>
                <w:i w:val="0"/>
                <w:sz w:val="18"/>
              </w:rPr>
              <w:t>processes children data</w:t>
            </w:r>
          </w:p>
        </w:tc>
        <w:tc>
          <w:tcPr>
            <w:tcW w:type="dxa" w:w="1235"/>
            <w:shd w:val="clear" w:color="auto" w:fill="E4EFDC"/>
          </w:tcPr>
          <w:p>
            <w:pPr>
              <w:spacing w:before="20" w:after="20"/>
              <w:jc w:val="center"/>
            </w:pPr>
            <w:r/>
            <w:r>
              <w:rPr>
                <w:rFonts w:ascii="Arial" w:hAnsi="Arial"/>
                <w:b/>
                <w:i w:val="0"/>
                <w:sz w:val="18"/>
              </w:rPr>
              <w:t>Yes</w:t>
            </w:r>
          </w:p>
        </w:tc>
        <w:tc>
          <w:tcPr>
            <w:tcW w:type="dxa" w:w="4873"/>
          </w:tcPr>
          <w:p>
            <w:pPr>
              <w:spacing w:before="20" w:after="20"/>
            </w:pPr>
            <w:r/>
            <w:r>
              <w:rPr>
                <w:rFonts w:ascii="Times New Roman" w:hAnsi="Times New Roman"/>
                <w:b w:val="0"/>
                <w:i w:val="0"/>
                <w:sz w:val="17"/>
              </w:rPr>
              <w:t>Processes personal data of individuals under 18, or of persons with a lawful guardian. Defaults True because age is rarely reliably excluded.</w:t>
            </w:r>
          </w:p>
        </w:tc>
      </w:tr>
      <w:tr>
        <w:trPr>
          <w:cantSplit/>
        </w:trPr>
        <w:tc>
          <w:tcPr>
            <w:tcW w:type="dxa" w:w="3639"/>
          </w:tcPr>
          <w:p>
            <w:pPr>
              <w:spacing w:before="20" w:after="20"/>
            </w:pPr>
            <w:r/>
            <w:r>
              <w:rPr>
                <w:rFonts w:ascii="Arial" w:hAnsi="Arial"/>
                <w:b/>
                <w:i w:val="0"/>
                <w:sz w:val="18"/>
              </w:rPr>
              <w:t>processes employee data</w:t>
            </w:r>
          </w:p>
        </w:tc>
        <w:tc>
          <w:tcPr>
            <w:tcW w:type="dxa" w:w="1235"/>
            <w:shd w:val="clear" w:color="auto" w:fill="E4EFDC"/>
          </w:tcPr>
          <w:p>
            <w:pPr>
              <w:spacing w:before="20" w:after="20"/>
              <w:jc w:val="center"/>
            </w:pPr>
            <w:r/>
            <w:r>
              <w:rPr>
                <w:rFonts w:ascii="Arial" w:hAnsi="Arial"/>
                <w:b/>
                <w:i w:val="0"/>
                <w:sz w:val="18"/>
              </w:rPr>
              <w:t>Yes</w:t>
            </w:r>
          </w:p>
        </w:tc>
        <w:tc>
          <w:tcPr>
            <w:tcW w:type="dxa" w:w="4873"/>
          </w:tcPr>
          <w:p>
            <w:pPr>
              <w:spacing w:before="20" w:after="20"/>
            </w:pPr>
            <w:r/>
            <w:r>
              <w:rPr>
                <w:rFonts w:ascii="Times New Roman" w:hAnsi="Times New Roman"/>
                <w:b w:val="0"/>
                <w:i w:val="0"/>
                <w:sz w:val="17"/>
              </w:rPr>
              <w:t>Processes personal data of employees, workers or contractors.</w:t>
            </w:r>
          </w:p>
        </w:tc>
      </w:tr>
      <w:tr>
        <w:trPr>
          <w:cantSplit/>
        </w:trPr>
        <w:tc>
          <w:tcPr>
            <w:tcW w:type="dxa" w:w="3639"/>
          </w:tcPr>
          <w:p>
            <w:pPr>
              <w:spacing w:before="20" w:after="20"/>
            </w:pPr>
            <w:r/>
            <w:r>
              <w:rPr>
                <w:rFonts w:ascii="Arial" w:hAnsi="Arial"/>
                <w:b/>
                <w:i w:val="0"/>
                <w:sz w:val="18"/>
              </w:rPr>
              <w:t>uses consent manager</w:t>
            </w:r>
          </w:p>
        </w:tc>
        <w:tc>
          <w:tcPr>
            <w:tcW w:type="dxa" w:w="1235"/>
            <w:shd w:val="clear" w:color="auto" w:fill="E4EFDC"/>
          </w:tcPr>
          <w:p>
            <w:pPr>
              <w:spacing w:before="20" w:after="20"/>
              <w:jc w:val="center"/>
            </w:pPr>
            <w:r/>
            <w:r>
              <w:rPr>
                <w:rFonts w:ascii="Arial" w:hAnsi="Arial"/>
                <w:b/>
                <w:i w:val="0"/>
                <w:sz w:val="18"/>
              </w:rPr>
              <w:t>Yes</w:t>
            </w:r>
          </w:p>
        </w:tc>
        <w:tc>
          <w:tcPr>
            <w:tcW w:type="dxa" w:w="4873"/>
          </w:tcPr>
          <w:p>
            <w:pPr>
              <w:spacing w:before="20" w:after="20"/>
            </w:pPr>
            <w:r/>
            <w:r>
              <w:rPr>
                <w:rFonts w:ascii="Times New Roman" w:hAnsi="Times New Roman"/>
                <w:b w:val="0"/>
                <w:i w:val="0"/>
                <w:sz w:val="17"/>
              </w:rPr>
              <w:t>Receives or manages consent through a registered Consent Manager under s.6(7).</w:t>
            </w:r>
          </w:p>
        </w:tc>
      </w:tr>
      <w:tr>
        <w:trPr>
          <w:cantSplit/>
        </w:trPr>
        <w:tc>
          <w:tcPr>
            <w:tcW w:type="dxa" w:w="3639"/>
          </w:tcPr>
          <w:p>
            <w:pPr>
              <w:spacing w:before="20" w:after="20"/>
            </w:pPr>
            <w:r/>
            <w:r>
              <w:rPr>
                <w:rFonts w:ascii="Arial" w:hAnsi="Arial"/>
                <w:b/>
                <w:i w:val="0"/>
                <w:sz w:val="18"/>
              </w:rPr>
              <w:t>is consent manager</w:t>
            </w:r>
          </w:p>
        </w:tc>
        <w:tc>
          <w:tcPr>
            <w:tcW w:type="dxa" w:w="1235"/>
            <w:shd w:val="clear" w:color="auto" w:fill="EDEDED"/>
          </w:tcPr>
          <w:p>
            <w:pPr>
              <w:spacing w:before="20" w:after="20"/>
              <w:jc w:val="center"/>
            </w:pPr>
            <w:r/>
            <w:r>
              <w:rPr>
                <w:rFonts w:ascii="Arial" w:hAnsi="Arial"/>
                <w:b/>
                <w:i w:val="0"/>
                <w:sz w:val="18"/>
              </w:rPr>
              <w:t>No</w:t>
            </w:r>
          </w:p>
        </w:tc>
        <w:tc>
          <w:tcPr>
            <w:tcW w:type="dxa" w:w="4873"/>
          </w:tcPr>
          <w:p>
            <w:pPr>
              <w:spacing w:before="20" w:after="20"/>
            </w:pPr>
            <w:r/>
            <w:r>
              <w:rPr>
                <w:rFonts w:ascii="Times New Roman" w:hAnsi="Times New Roman"/>
                <w:b w:val="0"/>
                <w:i w:val="0"/>
                <w:sz w:val="17"/>
              </w:rPr>
              <w:t>The entity itself acts as a Consent Manager and requires registration under s.6(8).</w:t>
            </w:r>
          </w:p>
        </w:tc>
      </w:tr>
      <w:tr>
        <w:trPr>
          <w:cantSplit/>
        </w:trPr>
        <w:tc>
          <w:tcPr>
            <w:tcW w:type="dxa" w:w="3639"/>
          </w:tcPr>
          <w:p>
            <w:pPr>
              <w:spacing w:before="20" w:after="20"/>
            </w:pPr>
            <w:r/>
            <w:r>
              <w:rPr>
                <w:rFonts w:ascii="Arial" w:hAnsi="Arial"/>
                <w:b/>
                <w:i w:val="0"/>
                <w:sz w:val="18"/>
              </w:rPr>
              <w:t>has pre commencement data</w:t>
            </w:r>
          </w:p>
        </w:tc>
        <w:tc>
          <w:tcPr>
            <w:tcW w:type="dxa" w:w="1235"/>
            <w:shd w:val="clear" w:color="auto" w:fill="E4EFDC"/>
          </w:tcPr>
          <w:p>
            <w:pPr>
              <w:spacing w:before="20" w:after="20"/>
              <w:jc w:val="center"/>
            </w:pPr>
            <w:r/>
            <w:r>
              <w:rPr>
                <w:rFonts w:ascii="Arial" w:hAnsi="Arial"/>
                <w:b/>
                <w:i w:val="0"/>
                <w:sz w:val="18"/>
              </w:rPr>
              <w:t>Yes</w:t>
            </w:r>
          </w:p>
        </w:tc>
        <w:tc>
          <w:tcPr>
            <w:tcW w:type="dxa" w:w="4873"/>
          </w:tcPr>
          <w:p>
            <w:pPr>
              <w:spacing w:before="20" w:after="20"/>
            </w:pPr>
            <w:r/>
            <w:r>
              <w:rPr>
                <w:rFonts w:ascii="Times New Roman" w:hAnsi="Times New Roman"/>
                <w:b w:val="0"/>
                <w:i w:val="0"/>
                <w:sz w:val="17"/>
              </w:rPr>
              <w:t>Holds personal data processed on the basis of consent given before commencement, engaging the retrospective notice duty under s.5(2).</w:t>
            </w:r>
          </w:p>
        </w:tc>
      </w:tr>
      <w:tr>
        <w:trPr>
          <w:cantSplit/>
        </w:trPr>
        <w:tc>
          <w:tcPr>
            <w:tcW w:type="dxa" w:w="3639"/>
          </w:tcPr>
          <w:p>
            <w:pPr>
              <w:spacing w:before="20" w:after="20"/>
            </w:pPr>
            <w:r/>
            <w:r>
              <w:rPr>
                <w:rFonts w:ascii="Arial" w:hAnsi="Arial"/>
                <w:b/>
                <w:i w:val="0"/>
                <w:sz w:val="18"/>
              </w:rPr>
              <w:t>regulated sector</w:t>
            </w:r>
          </w:p>
        </w:tc>
        <w:tc>
          <w:tcPr>
            <w:tcW w:type="dxa" w:w="1235"/>
            <w:shd w:val="clear" w:color="auto" w:fill="E4EFDC"/>
          </w:tcPr>
          <w:p>
            <w:pPr>
              <w:spacing w:before="20" w:after="20"/>
              <w:jc w:val="center"/>
            </w:pPr>
            <w:r/>
            <w:r>
              <w:rPr>
                <w:rFonts w:ascii="Arial" w:hAnsi="Arial"/>
                <w:b/>
                <w:i w:val="0"/>
                <w:sz w:val="18"/>
              </w:rPr>
              <w:t>Yes</w:t>
            </w:r>
          </w:p>
        </w:tc>
        <w:tc>
          <w:tcPr>
            <w:tcW w:type="dxa" w:w="4873"/>
          </w:tcPr>
          <w:p>
            <w:pPr>
              <w:spacing w:before="20" w:after="20"/>
            </w:pPr>
            <w:r/>
            <w:r>
              <w:rPr>
                <w:rFonts w:ascii="Times New Roman" w:hAnsi="Times New Roman"/>
                <w:b w:val="0"/>
                <w:i w:val="0"/>
                <w:sz w:val="17"/>
              </w:rPr>
              <w:t>Subject to sectoral regulation that may impose stricter localisation or transfer requirements preserved by s.16(2) — banking, payments, insurance, telecom, securities, health.</w:t>
            </w:r>
          </w:p>
        </w:tc>
      </w:tr>
      <w:tr>
        <w:trPr>
          <w:cantSplit/>
        </w:trPr>
        <w:tc>
          <w:tcPr>
            <w:tcW w:type="dxa" w:w="3639"/>
          </w:tcPr>
          <w:p>
            <w:pPr>
              <w:spacing w:before="20" w:after="20"/>
            </w:pPr>
            <w:r/>
            <w:r>
              <w:rPr>
                <w:rFonts w:ascii="Arial" w:hAnsi="Arial"/>
                <w:b/>
                <w:i w:val="0"/>
                <w:sz w:val="18"/>
              </w:rPr>
              <w:t>claims exemption</w:t>
            </w:r>
          </w:p>
        </w:tc>
        <w:tc>
          <w:tcPr>
            <w:tcW w:type="dxa" w:w="1235"/>
            <w:shd w:val="clear" w:color="auto" w:fill="EDEDED"/>
          </w:tcPr>
          <w:p>
            <w:pPr>
              <w:spacing w:before="20" w:after="20"/>
              <w:jc w:val="center"/>
            </w:pPr>
            <w:r/>
            <w:r>
              <w:rPr>
                <w:rFonts w:ascii="Arial" w:hAnsi="Arial"/>
                <w:b/>
                <w:i w:val="0"/>
                <w:sz w:val="18"/>
              </w:rPr>
              <w:t>No</w:t>
            </w:r>
          </w:p>
        </w:tc>
        <w:tc>
          <w:tcPr>
            <w:tcW w:type="dxa" w:w="4873"/>
          </w:tcPr>
          <w:p>
            <w:pPr>
              <w:spacing w:before="20" w:after="20"/>
            </w:pPr>
            <w:r/>
            <w:r>
              <w:rPr>
                <w:rFonts w:ascii="Times New Roman" w:hAnsi="Times New Roman"/>
                <w:b w:val="0"/>
                <w:i w:val="0"/>
                <w:sz w:val="17"/>
              </w:rPr>
              <w:t>Claims any exemption under s.17, including the class-based route in s.17(3).</w:t>
            </w:r>
          </w:p>
        </w:tc>
      </w:tr>
      <w:tr>
        <w:trPr>
          <w:cantSplit/>
        </w:trPr>
        <w:tc>
          <w:tcPr>
            <w:tcW w:type="dxa" w:w="3639"/>
          </w:tcPr>
          <w:p>
            <w:pPr>
              <w:spacing w:before="20" w:after="20"/>
            </w:pPr>
            <w:r/>
            <w:r>
              <w:rPr>
                <w:rFonts w:ascii="Arial" w:hAnsi="Arial"/>
                <w:b/>
                <w:i w:val="0"/>
                <w:sz w:val="18"/>
              </w:rPr>
              <w:t>startup exempt s8 3</w:t>
            </w:r>
          </w:p>
        </w:tc>
        <w:tc>
          <w:tcPr>
            <w:tcW w:type="dxa" w:w="1235"/>
            <w:shd w:val="clear" w:color="auto" w:fill="EDEDED"/>
          </w:tcPr>
          <w:p>
            <w:pPr>
              <w:spacing w:before="20" w:after="20"/>
              <w:jc w:val="center"/>
            </w:pPr>
            <w:r/>
            <w:r>
              <w:rPr>
                <w:rFonts w:ascii="Arial" w:hAnsi="Arial"/>
                <w:b/>
                <w:i w:val="0"/>
                <w:sz w:val="18"/>
              </w:rPr>
              <w:t>No</w:t>
            </w:r>
          </w:p>
        </w:tc>
        <w:tc>
          <w:tcPr>
            <w:tcW w:type="dxa" w:w="4873"/>
          </w:tcPr>
          <w:p>
            <w:pPr>
              <w:spacing w:before="20" w:after="20"/>
            </w:pPr>
            <w:r/>
            <w:r>
              <w:rPr>
                <w:rFonts w:ascii="Times New Roman" w:hAnsi="Times New Roman"/>
                <w:b w:val="0"/>
                <w:i w:val="0"/>
                <w:sz w:val="17"/>
              </w:rPr>
              <w:t>Exempt from s.8(3) as a notified class under s.17(3). Requires actual notification.</w:t>
            </w:r>
          </w:p>
        </w:tc>
      </w:tr>
      <w:tr>
        <w:trPr>
          <w:cantSplit/>
        </w:trPr>
        <w:tc>
          <w:tcPr>
            <w:tcW w:type="dxa" w:w="3639"/>
          </w:tcPr>
          <w:p>
            <w:pPr>
              <w:spacing w:before="20" w:after="20"/>
            </w:pPr>
            <w:r/>
            <w:r>
              <w:rPr>
                <w:rFonts w:ascii="Arial" w:hAnsi="Arial"/>
                <w:b/>
                <w:i w:val="0"/>
                <w:sz w:val="18"/>
              </w:rPr>
              <w:t>startup exempt s8 7</w:t>
            </w:r>
          </w:p>
        </w:tc>
        <w:tc>
          <w:tcPr>
            <w:tcW w:type="dxa" w:w="1235"/>
            <w:shd w:val="clear" w:color="auto" w:fill="EDEDED"/>
          </w:tcPr>
          <w:p>
            <w:pPr>
              <w:spacing w:before="20" w:after="20"/>
              <w:jc w:val="center"/>
            </w:pPr>
            <w:r/>
            <w:r>
              <w:rPr>
                <w:rFonts w:ascii="Arial" w:hAnsi="Arial"/>
                <w:b/>
                <w:i w:val="0"/>
                <w:sz w:val="18"/>
              </w:rPr>
              <w:t>No</w:t>
            </w:r>
          </w:p>
        </w:tc>
        <w:tc>
          <w:tcPr>
            <w:tcW w:type="dxa" w:w="4873"/>
          </w:tcPr>
          <w:p>
            <w:pPr>
              <w:spacing w:before="20" w:after="20"/>
            </w:pPr>
            <w:r/>
            <w:r>
              <w:rPr>
                <w:rFonts w:ascii="Times New Roman" w:hAnsi="Times New Roman"/>
                <w:b w:val="0"/>
                <w:i w:val="0"/>
                <w:sz w:val="17"/>
              </w:rPr>
              <w:t>Exempt from s.8(7) as a notified class under s.17(3). Requires actual notification.</w:t>
            </w:r>
          </w:p>
        </w:tc>
      </w:tr>
      <w:tr>
        <w:trPr>
          <w:cantSplit/>
        </w:trPr>
        <w:tc>
          <w:tcPr>
            <w:tcW w:type="dxa" w:w="3639"/>
          </w:tcPr>
          <w:p>
            <w:pPr>
              <w:spacing w:before="20" w:after="20"/>
            </w:pPr>
            <w:r/>
            <w:r>
              <w:rPr>
                <w:rFonts w:ascii="Arial" w:hAnsi="Arial"/>
                <w:b/>
                <w:i w:val="0"/>
                <w:sz w:val="18"/>
              </w:rPr>
              <w:t>startup exempt s11</w:t>
            </w:r>
          </w:p>
        </w:tc>
        <w:tc>
          <w:tcPr>
            <w:tcW w:type="dxa" w:w="1235"/>
            <w:shd w:val="clear" w:color="auto" w:fill="EDEDED"/>
          </w:tcPr>
          <w:p>
            <w:pPr>
              <w:spacing w:before="20" w:after="20"/>
              <w:jc w:val="center"/>
            </w:pPr>
            <w:r/>
            <w:r>
              <w:rPr>
                <w:rFonts w:ascii="Arial" w:hAnsi="Arial"/>
                <w:b/>
                <w:i w:val="0"/>
                <w:sz w:val="18"/>
              </w:rPr>
              <w:t>No</w:t>
            </w:r>
          </w:p>
        </w:tc>
        <w:tc>
          <w:tcPr>
            <w:tcW w:type="dxa" w:w="4873"/>
          </w:tcPr>
          <w:p>
            <w:pPr>
              <w:spacing w:before="20" w:after="20"/>
            </w:pPr>
            <w:r/>
            <w:r>
              <w:rPr>
                <w:rFonts w:ascii="Times New Roman" w:hAnsi="Times New Roman"/>
                <w:b w:val="0"/>
                <w:i w:val="0"/>
                <w:sz w:val="17"/>
              </w:rPr>
              <w:t>Exempt from s.11 as a notified class under s.17(3). Requires actual notification.</w:t>
            </w:r>
          </w:p>
        </w:tc>
      </w:tr>
    </w:tbl>
    <w:p>
      <w:pPr>
        <w:pStyle w:val="Heading2"/>
        <w:keepNext/>
        <w:spacing w:before="280" w:after="120"/>
      </w:pPr>
      <w:r>
        <w:rPr>
          <w:rFonts w:ascii="Arial" w:hAnsi="Arial"/>
          <w:b/>
          <w:color w:val="1F3552"/>
          <w:sz w:val="26"/>
        </w:rPr>
        <w:t>3.1  Controls excluded from scope</w:t>
      </w:r>
    </w:p>
    <w:p>
      <w:pPr>
        <w:spacing w:before="0" w:after="120"/>
        <w:jc w:val="both"/>
      </w:pPr>
      <w:r>
        <w:rPr>
          <w:rFonts w:ascii="Times New Roman" w:hAnsi="Times New Roman"/>
          <w:b w:val="0"/>
          <w:i w:val="0"/>
          <w:sz w:val="21"/>
        </w:rPr>
        <w:t>3 of 90 controls were excluded on the basis of the characteristics above. Exclusions are stated so that a reader can see what was not examined and why.</w:t>
      </w:r>
    </w:p>
    <w:tbl>
      <w:tblPr>
        <w:tblStyle w:val="TableGrid"/>
        <w:tblW w:w="9745" w:type="dxa"/>
        <w:jc w:val="center"/>
        <w:tblLayout w:type="fixed"/>
        <w:tblLook w:firstColumn="1" w:firstRow="1" w:lastColumn="0" w:lastRow="0" w:noHBand="0" w:noVBand="1" w:val="04A0"/>
      </w:tblPr>
      <w:tblGrid>
        <w:gridCol w:w="1429"/>
        <w:gridCol w:w="4418"/>
        <w:gridCol w:w="3898"/>
      </w:tblGrid>
      <w:tr>
        <w:trPr>
          <w:tblHeader w:val="true"/>
        </w:trPr>
        <w:tc>
          <w:tcPr>
            <w:tcW w:type="dxa" w:w="1429"/>
            <w:shd w:val="clear" w:color="auto" w:fill="1F3552"/>
          </w:tcPr>
          <w:p>
            <w:pPr>
              <w:spacing w:before="20" w:after="20"/>
              <w:jc w:val="center"/>
            </w:pPr>
            <w:r/>
            <w:r>
              <w:rPr>
                <w:rFonts w:ascii="Arial" w:hAnsi="Arial"/>
                <w:b/>
                <w:i w:val="0"/>
                <w:color w:val="FFFFFF"/>
                <w:sz w:val="18"/>
              </w:rPr>
              <w:t>Control</w:t>
            </w:r>
          </w:p>
        </w:tc>
        <w:tc>
          <w:tcPr>
            <w:tcW w:type="dxa" w:w="4418"/>
            <w:shd w:val="clear" w:color="auto" w:fill="1F3552"/>
          </w:tcPr>
          <w:p>
            <w:pPr>
              <w:spacing w:before="20" w:after="20"/>
              <w:jc w:val="center"/>
            </w:pPr>
            <w:r/>
            <w:r>
              <w:rPr>
                <w:rFonts w:ascii="Arial" w:hAnsi="Arial"/>
                <w:b/>
                <w:i w:val="0"/>
                <w:color w:val="FFFFFF"/>
                <w:sz w:val="18"/>
              </w:rPr>
              <w:t>Title</w:t>
            </w:r>
          </w:p>
        </w:tc>
        <w:tc>
          <w:tcPr>
            <w:tcW w:type="dxa" w:w="3898"/>
            <w:shd w:val="clear" w:color="auto" w:fill="1F3552"/>
          </w:tcPr>
          <w:p>
            <w:pPr>
              <w:spacing w:before="20" w:after="20"/>
              <w:jc w:val="center"/>
            </w:pPr>
            <w:r/>
            <w:r>
              <w:rPr>
                <w:rFonts w:ascii="Arial" w:hAnsi="Arial"/>
                <w:b/>
                <w:i w:val="0"/>
                <w:color w:val="FFFFFF"/>
                <w:sz w:val="18"/>
              </w:rPr>
              <w:t>Reason for exclusion</w:t>
            </w:r>
          </w:p>
        </w:tc>
      </w:tr>
      <w:tr>
        <w:trPr>
          <w:cantSplit/>
        </w:trPr>
        <w:tc>
          <w:tcPr>
            <w:tcW w:type="dxa" w:w="1429"/>
          </w:tcPr>
          <w:p>
            <w:pPr>
              <w:spacing w:before="20" w:after="20"/>
              <w:jc w:val="center"/>
            </w:pPr>
            <w:r/>
            <w:r>
              <w:rPr>
                <w:rFonts w:ascii="Arial" w:hAnsi="Arial"/>
                <w:b/>
                <w:i w:val="0"/>
                <w:sz w:val="18"/>
              </w:rPr>
              <w:t>APP-03</w:t>
            </w:r>
          </w:p>
        </w:tc>
        <w:tc>
          <w:tcPr>
            <w:tcW w:type="dxa" w:w="4418"/>
          </w:tcPr>
          <w:p>
            <w:pPr>
              <w:spacing w:before="20" w:after="20"/>
            </w:pPr>
            <w:r/>
            <w:r>
              <w:rPr>
                <w:rFonts w:ascii="Times New Roman" w:hAnsi="Times New Roman"/>
                <w:b w:val="0"/>
                <w:i w:val="0"/>
                <w:sz w:val="18"/>
              </w:rPr>
              <w:t>Exemptions claimed are valid and evidenced</w:t>
            </w:r>
          </w:p>
        </w:tc>
        <w:tc>
          <w:tcPr>
            <w:tcW w:type="dxa" w:w="3898"/>
          </w:tcPr>
          <w:p>
            <w:pPr>
              <w:spacing w:before="20" w:after="20"/>
            </w:pPr>
            <w:r/>
            <w:r>
              <w:rPr>
                <w:rFonts w:ascii="Arial" w:hAnsi="Arial"/>
                <w:b w:val="0"/>
                <w:i/>
                <w:sz w:val="17"/>
              </w:rPr>
              <w:t>requires claims exemption</w:t>
            </w:r>
          </w:p>
        </w:tc>
      </w:tr>
      <w:tr>
        <w:trPr>
          <w:cantSplit/>
        </w:trPr>
        <w:tc>
          <w:tcPr>
            <w:tcW w:type="dxa" w:w="1429"/>
          </w:tcPr>
          <w:p>
            <w:pPr>
              <w:spacing w:before="20" w:after="20"/>
              <w:jc w:val="center"/>
            </w:pPr>
            <w:r/>
            <w:r>
              <w:rPr>
                <w:rFonts w:ascii="Arial" w:hAnsi="Arial"/>
                <w:b/>
                <w:i w:val="0"/>
                <w:sz w:val="18"/>
              </w:rPr>
              <w:t>APP-04</w:t>
            </w:r>
          </w:p>
        </w:tc>
        <w:tc>
          <w:tcPr>
            <w:tcW w:type="dxa" w:w="4418"/>
          </w:tcPr>
          <w:p>
            <w:pPr>
              <w:spacing w:before="20" w:after="20"/>
            </w:pPr>
            <w:r/>
            <w:r>
              <w:rPr>
                <w:rFonts w:ascii="Times New Roman" w:hAnsi="Times New Roman"/>
                <w:b w:val="0"/>
                <w:i w:val="0"/>
                <w:sz w:val="18"/>
              </w:rPr>
              <w:t>Significant Data Fiduciary exposure assessed</w:t>
            </w:r>
          </w:p>
        </w:tc>
        <w:tc>
          <w:tcPr>
            <w:tcW w:type="dxa" w:w="3898"/>
          </w:tcPr>
          <w:p>
            <w:pPr>
              <w:spacing w:before="20" w:after="20"/>
            </w:pPr>
            <w:r/>
            <w:r>
              <w:rPr>
                <w:rFonts w:ascii="Arial" w:hAnsi="Arial"/>
                <w:b w:val="0"/>
                <w:i/>
                <w:sz w:val="17"/>
              </w:rPr>
              <w:t>excluded by is sdf</w:t>
            </w:r>
          </w:p>
        </w:tc>
      </w:tr>
      <w:tr>
        <w:trPr>
          <w:cantSplit/>
        </w:trPr>
        <w:tc>
          <w:tcPr>
            <w:tcW w:type="dxa" w:w="1429"/>
          </w:tcPr>
          <w:p>
            <w:pPr>
              <w:spacing w:before="20" w:after="20"/>
              <w:jc w:val="center"/>
            </w:pPr>
            <w:r/>
            <w:r>
              <w:rPr>
                <w:rFonts w:ascii="Arial" w:hAnsi="Arial"/>
                <w:b/>
                <w:i w:val="0"/>
                <w:sz w:val="18"/>
              </w:rPr>
              <w:t>CMG-03</w:t>
            </w:r>
          </w:p>
        </w:tc>
        <w:tc>
          <w:tcPr>
            <w:tcW w:type="dxa" w:w="4418"/>
          </w:tcPr>
          <w:p>
            <w:pPr>
              <w:spacing w:before="20" w:after="20"/>
            </w:pPr>
            <w:r/>
            <w:r>
              <w:rPr>
                <w:rFonts w:ascii="Times New Roman" w:hAnsi="Times New Roman"/>
                <w:b w:val="0"/>
                <w:i w:val="0"/>
                <w:sz w:val="18"/>
              </w:rPr>
              <w:t>Own registration and obligations where acting as a Consent Manager</w:t>
            </w:r>
          </w:p>
        </w:tc>
        <w:tc>
          <w:tcPr>
            <w:tcW w:type="dxa" w:w="3898"/>
          </w:tcPr>
          <w:p>
            <w:pPr>
              <w:spacing w:before="20" w:after="20"/>
            </w:pPr>
            <w:r/>
            <w:r>
              <w:rPr>
                <w:rFonts w:ascii="Arial" w:hAnsi="Arial"/>
                <w:b w:val="0"/>
                <w:i/>
                <w:sz w:val="17"/>
              </w:rPr>
              <w:t>requires is consent manager</w:t>
            </w:r>
          </w:p>
        </w:tc>
      </w:tr>
    </w:tbl>
    <w:p>
      <w:pPr>
        <w:pStyle w:val="Heading2"/>
        <w:keepNext/>
        <w:spacing w:before="280" w:after="120"/>
      </w:pPr>
      <w:r>
        <w:rPr>
          <w:rFonts w:ascii="Arial" w:hAnsi="Arial"/>
          <w:b/>
          <w:color w:val="1F3552"/>
          <w:sz w:val="26"/>
        </w:rPr>
        <w:t>3.3  Scoping assumptions</w:t>
      </w:r>
    </w:p>
    <w:p>
      <w:pPr>
        <w:pStyle w:val="ListBullet"/>
        <w:spacing w:after="80"/>
      </w:pPr>
      <w:r>
        <w:rPr>
          <w:rFonts w:ascii="Times New Roman" w:hAnsi="Times New Roman"/>
          <w:sz w:val="20"/>
        </w:rPr>
        <w:t>The commencement position of individual provisions of the DPDP Act, 2023 and the DPDP Rules has not been confirmed. Findings are expressed as compliance gaps against the framework as a whole and should not be characterised as contraventions of provisions that are not yet in force.</w:t>
      </w:r>
    </w:p>
    <w:p>
      <w:pPr>
        <w:pStyle w:val="ListBullet"/>
        <w:spacing w:after="80"/>
      </w:pPr>
      <w:r>
        <w:rPr>
          <w:rFonts w:ascii="Times New Roman" w:hAnsi="Times New Roman"/>
          <w:sz w:val="20"/>
        </w:rPr>
        <w:t>DPDP Rules citations recorded as '[Rules citation to be verified]' were not verifiable at the time of the assessment. See the Unverified Citations appendix.</w:t>
      </w:r>
    </w:p>
    <w:p>
      <w:r>
        <w:br w:type="page"/>
      </w:r>
    </w:p>
    <w:p>
      <w:pPr>
        <w:pStyle w:val="Heading1"/>
        <w:keepNext/>
        <w:spacing w:before="280" w:after="120"/>
      </w:pPr>
      <w:r>
        <w:rPr>
          <w:rFonts w:ascii="Arial" w:hAnsi="Arial"/>
          <w:b/>
          <w:color w:val="1F3552"/>
          <w:sz w:val="32"/>
        </w:rPr>
        <w:t>4.  Detailed findings by obligation</w:t>
      </w:r>
    </w:p>
    <w:p>
      <w:pPr>
        <w:spacing w:before="0" w:after="120"/>
        <w:jc w:val="both"/>
      </w:pPr>
      <w:r>
        <w:rPr>
          <w:rFonts w:ascii="Times New Roman" w:hAnsi="Times New Roman"/>
          <w:b w:val="0"/>
          <w:i w:val="0"/>
          <w:sz w:val="21"/>
        </w:rPr>
        <w:t>Findings are presented in the order of the control library. Each control records the obligation, its statutory basis, what was tested, the score awarded, the finding, and — where a gap arises — the target state the control defines and the gap reference under which it is tracked in section 5.</w:t>
      </w:r>
    </w:p>
    <w:p>
      <w:pPr>
        <w:pStyle w:val="Heading2"/>
        <w:keepNext/>
        <w:spacing w:before="280" w:after="120"/>
      </w:pPr>
      <w:r>
        <w:rPr>
          <w:rFonts w:ascii="Arial" w:hAnsi="Arial"/>
          <w:b/>
          <w:color w:val="1F3552"/>
          <w:sz w:val="26"/>
        </w:rPr>
        <w:t>4.1  APP — Applicability &amp; Role Determination</w:t>
      </w:r>
    </w:p>
    <w:p>
      <w:pPr>
        <w:spacing w:before="0" w:after="120"/>
        <w:jc w:val="both"/>
      </w:pPr>
      <w:r>
        <w:rPr>
          <w:rFonts w:ascii="Times New Roman" w:hAnsi="Times New Roman"/>
          <w:b w:val="0"/>
          <w:i/>
          <w:color w:val="44546A"/>
          <w:sz w:val="20"/>
        </w:rPr>
        <w:t>Every downstream obligation depends on this determination. An entity that has mis-scoped itself as a Data Processor, or has assumed an exemption it does not hold, will have built its entire programme on the wrong footing. This domain is audited first and its findings gate the rest of the report.</w:t>
      </w:r>
    </w:p>
    <w:p>
      <w:pPr>
        <w:spacing w:before="40" w:after="80"/>
        <w:ind w:left="0"/>
      </w:pPr>
      <w:r>
        <w:rPr>
          <w:rFonts w:ascii="Arial" w:hAnsi="Arial"/>
          <w:b/>
          <w:color w:val="44546A"/>
          <w:sz w:val="17"/>
        </w:rPr>
        <w:t xml:space="preserve">SCOPE QUESTION  </w:t>
      </w:r>
      <w:r>
        <w:rPr>
          <w:rFonts w:ascii="Times New Roman" w:hAnsi="Times New Roman"/>
          <w:sz w:val="20"/>
        </w:rPr>
        <w:t>Does the entity correctly understand whether the Act applies to it, in what capacity, and with what exemptions?</w:t>
      </w:r>
    </w:p>
    <w:p>
      <w:pPr>
        <w:spacing w:before="40" w:after="80"/>
        <w:ind w:left="0"/>
      </w:pPr>
      <w:r>
        <w:rPr>
          <w:rFonts w:ascii="Arial" w:hAnsi="Arial"/>
          <w:b/>
          <w:color w:val="44546A"/>
          <w:sz w:val="17"/>
        </w:rPr>
        <w:t xml:space="preserve">RESULT  </w:t>
      </w:r>
      <w:r>
        <w:rPr>
          <w:rFonts w:ascii="Times New Roman" w:hAnsi="Times New Roman"/>
          <w:sz w:val="20"/>
        </w:rPr>
        <w:t>Domain maturity 50.7% (Developing). 3 controls in scope, 3 assessed, 2 gaps of which 1 attach to critical obligations. Highest residual risk in the domain is 9 of 16.</w:t>
      </w:r>
    </w:p>
    <w:p>
      <w:pPr>
        <w:spacing w:before="40" w:after="120"/>
        <w:pBdr>
          <w:bottom w:val="single" w:sz="6" w:space="1" w:color="BFBFBF"/>
        </w:pBdr>
      </w:pPr>
    </w:p>
    <w:p>
      <w:pPr>
        <w:pStyle w:val="Heading3"/>
        <w:keepNext/>
        <w:spacing w:before="200" w:after="80"/>
      </w:pPr>
      <w:r>
        <w:rPr>
          <w:rFonts w:ascii="Arial" w:hAnsi="Arial"/>
          <w:b/>
          <w:color w:val="1F3552"/>
          <w:sz w:val="22"/>
        </w:rPr>
        <w:t>APP-01   Territorial and material applicability assessed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WP-001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Act applies to processing of digital personal data within India, and to processing outside India where it is in connection with any activity related to offering goods or services to Data Principals within India. The entity must have determined, and be able to explain, why the Act applies to it and to which processing activities.</w:t>
      </w:r>
    </w:p>
    <w:p>
      <w:pPr>
        <w:spacing w:before="40" w:after="80"/>
        <w:ind w:left="0"/>
      </w:pPr>
      <w:r>
        <w:rPr>
          <w:rFonts w:ascii="Arial" w:hAnsi="Arial"/>
          <w:b/>
          <w:color w:val="44546A"/>
          <w:sz w:val="17"/>
        </w:rPr>
        <w:t xml:space="preserve">STATUTORY BASIS  </w:t>
      </w:r>
      <w:r>
        <w:rPr>
          <w:rFonts w:ascii="Times New Roman" w:hAnsi="Times New Roman"/>
          <w:sz w:val="20"/>
        </w:rPr>
        <w:t>s.3(a), s.3(b),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applicability assessment; enquire of legal/privacy owner; corroborate against the entity's actual product footprint and entity structure.</w:t>
      </w:r>
    </w:p>
    <w:p>
      <w:pPr>
        <w:spacing w:before="40" w:after="80"/>
        <w:ind w:left="0"/>
      </w:pPr>
      <w:r>
        <w:rPr>
          <w:rFonts w:ascii="Arial" w:hAnsi="Arial"/>
          <w:b/>
          <w:color w:val="44546A"/>
          <w:sz w:val="17"/>
        </w:rPr>
        <w:t xml:space="preserve">FINDING  </w:t>
      </w:r>
      <w:r>
        <w:rPr>
          <w:rFonts w:ascii="Times New Roman" w:hAnsi="Times New Roman"/>
          <w:sz w:val="20"/>
        </w:rPr>
        <w:t>A written applicability analysis dated 12 February 2026 concludes that the entity processes digital personal data within India as a Data Fiduciary and additionally offers goods and services to Data Principals in India from a Singapore-incorporated affiliate. The analysis is sound but has not been revisited since the Kavach Junior launch in April 2026.</w:t>
      </w:r>
    </w:p>
    <w:p>
      <w:pPr>
        <w:spacing w:before="80" w:after="120"/>
        <w:pBdr>
          <w:bottom w:val="single" w:sz="6" w:space="1" w:color="BFBFBF"/>
        </w:pBdr>
      </w:pPr>
    </w:p>
    <w:p>
      <w:pPr>
        <w:pStyle w:val="Heading3"/>
        <w:keepNext/>
        <w:spacing w:before="200" w:after="80"/>
      </w:pPr>
      <w:r>
        <w:rPr>
          <w:rFonts w:ascii="Arial" w:hAnsi="Arial"/>
          <w:b/>
          <w:color w:val="1F3552"/>
          <w:sz w:val="22"/>
        </w:rPr>
        <w:t>APP-02   Role determination — Data Fiduciary versus Data Processor</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WP-002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entity must correctly determine, for each processing activity, whether it acts as a Data Fiduciary (alone or jointly), determining the purpose and means of processing, or as a Data Processor acting on another's behalf.</w:t>
      </w:r>
    </w:p>
    <w:p>
      <w:pPr>
        <w:spacing w:before="40" w:after="80"/>
        <w:ind w:left="0"/>
      </w:pPr>
      <w:r>
        <w:rPr>
          <w:rFonts w:ascii="Arial" w:hAnsi="Arial"/>
          <w:b/>
          <w:color w:val="44546A"/>
          <w:sz w:val="17"/>
        </w:rPr>
        <w:t xml:space="preserve">STATUTORY BASIS  </w:t>
      </w:r>
      <w:r>
        <w:rPr>
          <w:rFonts w:ascii="Times New Roman" w:hAnsi="Times New Roman"/>
          <w:sz w:val="20"/>
        </w:rPr>
        <w:t>s.2(i), s.2(k), s.2(j),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role mapping; re-perform the determination for a sample of three activities, testing the claim against contracts and actual data use.</w:t>
      </w:r>
    </w:p>
    <w:p>
      <w:pPr>
        <w:spacing w:before="40" w:after="80"/>
        <w:ind w:left="0"/>
      </w:pPr>
      <w:r>
        <w:rPr>
          <w:rFonts w:ascii="Arial" w:hAnsi="Arial"/>
          <w:b/>
          <w:color w:val="44546A"/>
          <w:sz w:val="17"/>
        </w:rPr>
        <w:t xml:space="preserve">FINDING  </w:t>
      </w:r>
      <w:r>
        <w:rPr>
          <w:rFonts w:ascii="Times New Roman" w:hAnsi="Times New Roman"/>
          <w:sz w:val="20"/>
        </w:rPr>
        <w:t>Role determination has been performed for the co-lending arrangements and for the KYC vendors, but not for the marketing stack. CleverTap and the Meta Custom Audiences integration are treated as processors in the vendor register while the contractual terms and the practical control over onward use point to an independent fiduciary role for the advertising platforms. The mischaracterisation understates the notice and consent obligations attaching to those disclosures.</w:t>
      </w:r>
    </w:p>
    <w:p>
      <w:pPr>
        <w:spacing w:before="40" w:after="80"/>
        <w:ind w:left="0"/>
      </w:pPr>
      <w:r>
        <w:rPr>
          <w:rFonts w:ascii="Arial" w:hAnsi="Arial"/>
          <w:b/>
          <w:color w:val="44546A"/>
          <w:sz w:val="17"/>
        </w:rPr>
        <w:t xml:space="preserve">TARGET STATE  </w:t>
      </w:r>
      <w:r>
        <w:rPr>
          <w:rFonts w:ascii="Times New Roman" w:hAnsi="Times New Roman"/>
          <w:sz w:val="20"/>
        </w:rPr>
        <w:t>Roles are determined per activity, documented with reasoning, consistent with contracts and observed data flows, and re-tested when new uses such as model training are introduced.</w:t>
      </w:r>
    </w:p>
    <w:p>
      <w:pPr>
        <w:spacing w:before="40" w:after="80"/>
        <w:ind w:left="0"/>
      </w:pPr>
      <w:r>
        <w:rPr>
          <w:rFonts w:ascii="Arial" w:hAnsi="Arial"/>
          <w:b/>
          <w:color w:val="44546A"/>
          <w:sz w:val="17"/>
        </w:rPr>
        <w:t xml:space="preserve">TRACKED AS  </w:t>
      </w:r>
      <w:r>
        <w:rPr>
          <w:rFonts w:ascii="Times New Roman" w:hAnsi="Times New Roman"/>
          <w:sz w:val="20"/>
        </w:rPr>
        <w:t>G022 · priority P2 · target date 2026-10-13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APP-03   Exemptions claimed are valid and evidenced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DEDED"/>
          </w:tcPr>
          <w:p>
            <w:pPr>
              <w:spacing w:before="20" w:after="20"/>
              <w:jc w:val="center"/>
            </w:pPr>
            <w:r/>
            <w:r>
              <w:rPr>
                <w:rFonts w:ascii="Arial" w:hAnsi="Arial"/>
                <w:b/>
                <w:i w:val="0"/>
                <w:sz w:val="18"/>
              </w:rPr>
              <w:t>—</w:t>
            </w:r>
          </w:p>
        </w:tc>
        <w:tc>
          <w:tcPr>
            <w:tcW w:type="dxa" w:w="2499"/>
          </w:tcPr>
          <w:p>
            <w:pPr>
              <w:spacing w:before="20" w:after="20"/>
              <w:jc w:val="center"/>
            </w:pPr>
            <w:r/>
            <w:r>
              <w:rPr>
                <w:rFonts w:ascii="Arial" w:hAnsi="Arial"/>
                <w:b/>
                <w:i w:val="0"/>
                <w:sz w:val="18"/>
              </w:rPr>
              <w:t>Out of scope</w:t>
            </w:r>
          </w:p>
        </w:tc>
        <w:tc>
          <w:tcPr>
            <w:tcW w:type="dxa" w:w="1062"/>
          </w:tcPr>
          <w:p>
            <w:pPr>
              <w:spacing w:before="20" w:after="20"/>
              <w:jc w:val="center"/>
            </w:pPr>
            <w:r/>
            <w:r>
              <w:rPr>
                <w:rFonts w:ascii="Arial" w:hAnsi="Arial"/>
                <w:b/>
                <w:i w:val="0"/>
                <w:sz w:val="18"/>
              </w:rPr>
              <w:t>—</w:t>
            </w:r>
          </w:p>
        </w:tc>
        <w:tc>
          <w:tcPr>
            <w:tcW w:type="dxa" w:w="1125"/>
          </w:tcPr>
          <w:p>
            <w:pPr>
              <w:spacing w:before="20" w:after="20"/>
              <w:jc w:val="center"/>
            </w:pPr>
            <w:r/>
            <w:r>
              <w:rPr>
                <w:rFonts w:ascii="Arial" w:hAnsi="Arial"/>
                <w:b w:val="0"/>
                <w:i w:val="0"/>
                <w:sz w:val="18"/>
              </w:rPr>
              <w:t>—</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Exemptions under section 17 apply only in the circumstances specified. The startup and class-based exemption under section 17(3) operates only in favour of classes of Data Fiduciary actually notified by the Central Government, and covers only the specified provisions.</w:t>
      </w:r>
    </w:p>
    <w:p>
      <w:pPr>
        <w:spacing w:before="40" w:after="80"/>
        <w:ind w:left="0"/>
      </w:pPr>
      <w:r>
        <w:rPr>
          <w:rFonts w:ascii="Arial" w:hAnsi="Arial"/>
          <w:b/>
          <w:color w:val="44546A"/>
          <w:sz w:val="17"/>
        </w:rPr>
        <w:t xml:space="preserve">STATUTORY BASIS  </w:t>
      </w:r>
      <w:r>
        <w:rPr>
          <w:rFonts w:ascii="Times New Roman" w:hAnsi="Times New Roman"/>
          <w:sz w:val="20"/>
        </w:rPr>
        <w:t>s.17(1), s.17(2), s.17(3), s.17(4),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exemption claim and supporting notification; test the scope claimed against the provisions the exemption covers.</w:t>
      </w:r>
    </w:p>
    <w:p>
      <w:pPr>
        <w:spacing w:before="40" w:after="80"/>
        <w:ind w:left="0"/>
      </w:pPr>
      <w:r>
        <w:rPr>
          <w:rFonts w:ascii="Arial" w:hAnsi="Arial"/>
          <w:b/>
          <w:color w:val="44546A"/>
          <w:sz w:val="17"/>
        </w:rPr>
        <w:t xml:space="preserve">SCOPE  </w:t>
      </w:r>
      <w:r>
        <w:rPr>
          <w:rFonts w:ascii="Times New Roman" w:hAnsi="Times New Roman"/>
          <w:sz w:val="20"/>
        </w:rPr>
        <w:t>Out of scope — requires claims exemption. Not assessed and excluded from all scoring.</w:t>
      </w:r>
    </w:p>
    <w:p>
      <w:pPr>
        <w:spacing w:before="80" w:after="120"/>
        <w:pBdr>
          <w:bottom w:val="single" w:sz="6" w:space="1" w:color="BFBFBF"/>
        </w:pBdr>
      </w:pPr>
    </w:p>
    <w:p>
      <w:pPr>
        <w:pStyle w:val="Heading3"/>
        <w:keepNext/>
        <w:spacing w:before="200" w:after="80"/>
      </w:pPr>
      <w:r>
        <w:rPr>
          <w:rFonts w:ascii="Arial" w:hAnsi="Arial"/>
          <w:b/>
          <w:color w:val="1F3552"/>
          <w:sz w:val="22"/>
        </w:rPr>
        <w:t>APP-04   Significant Data Fiduciary exposure assessed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DEDED"/>
          </w:tcPr>
          <w:p>
            <w:pPr>
              <w:spacing w:before="20" w:after="20"/>
              <w:jc w:val="center"/>
            </w:pPr>
            <w:r/>
            <w:r>
              <w:rPr>
                <w:rFonts w:ascii="Arial" w:hAnsi="Arial"/>
                <w:b/>
                <w:i w:val="0"/>
                <w:sz w:val="18"/>
              </w:rPr>
              <w:t>—</w:t>
            </w:r>
          </w:p>
        </w:tc>
        <w:tc>
          <w:tcPr>
            <w:tcW w:type="dxa" w:w="2499"/>
          </w:tcPr>
          <w:p>
            <w:pPr>
              <w:spacing w:before="20" w:after="20"/>
              <w:jc w:val="center"/>
            </w:pPr>
            <w:r/>
            <w:r>
              <w:rPr>
                <w:rFonts w:ascii="Arial" w:hAnsi="Arial"/>
                <w:b/>
                <w:i w:val="0"/>
                <w:sz w:val="18"/>
              </w:rPr>
              <w:t>Out of scope</w:t>
            </w:r>
          </w:p>
        </w:tc>
        <w:tc>
          <w:tcPr>
            <w:tcW w:type="dxa" w:w="1062"/>
          </w:tcPr>
          <w:p>
            <w:pPr>
              <w:spacing w:before="20" w:after="20"/>
              <w:jc w:val="center"/>
            </w:pPr>
            <w:r/>
            <w:r>
              <w:rPr>
                <w:rFonts w:ascii="Arial" w:hAnsi="Arial"/>
                <w:b/>
                <w:i w:val="0"/>
                <w:sz w:val="18"/>
              </w:rPr>
              <w:t>—</w:t>
            </w:r>
          </w:p>
        </w:tc>
        <w:tc>
          <w:tcPr>
            <w:tcW w:type="dxa" w:w="1125"/>
          </w:tcPr>
          <w:p>
            <w:pPr>
              <w:spacing w:before="20" w:after="20"/>
              <w:jc w:val="center"/>
            </w:pPr>
            <w:r/>
            <w:r>
              <w:rPr>
                <w:rFonts w:ascii="Arial" w:hAnsi="Arial"/>
                <w:b w:val="0"/>
                <w:i w:val="0"/>
                <w:sz w:val="18"/>
              </w:rPr>
              <w:t>—</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0.9</w:t>
            </w:r>
          </w:p>
        </w:tc>
        <w:tc>
          <w:tcPr>
            <w:tcW w:type="dxa" w:w="1999"/>
          </w:tcPr>
          <w:p>
            <w:pPr>
              <w:spacing w:before="20" w:after="20"/>
              <w:jc w:val="center"/>
            </w:pPr>
            <w:r/>
            <w:r>
              <w:rPr>
                <w:rFonts w:ascii="Arial" w:hAnsi="Arial"/>
                <w:b w:val="0"/>
                <w:i w:val="0"/>
                <w:sz w:val="18"/>
              </w:rPr>
              <w:t>—</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Central Government may notify a Data Fiduciary or class of Data Fiduciaries as Significant, having regard to the volume and sensitivity of personal data processed, risk to the rights of Data Principals, potential effects on the sovereignty and integrity of India, risk to electoral democracy, security of the State and public order.</w:t>
      </w:r>
    </w:p>
    <w:p>
      <w:pPr>
        <w:spacing w:before="40" w:after="80"/>
        <w:ind w:left="0"/>
      </w:pPr>
      <w:r>
        <w:rPr>
          <w:rFonts w:ascii="Arial" w:hAnsi="Arial"/>
          <w:b/>
          <w:color w:val="44546A"/>
          <w:sz w:val="17"/>
        </w:rPr>
        <w:t xml:space="preserve">STATUTORY BASIS  </w:t>
      </w:r>
      <w:r>
        <w:rPr>
          <w:rFonts w:ascii="Times New Roman" w:hAnsi="Times New Roman"/>
          <w:sz w:val="20"/>
        </w:rPr>
        <w:t>s.10(1), DPDP Act, 2023</w:t>
      </w:r>
    </w:p>
    <w:p>
      <w:pPr>
        <w:spacing w:before="40" w:after="80"/>
        <w:ind w:left="0"/>
      </w:pPr>
      <w:r>
        <w:rPr>
          <w:rFonts w:ascii="Arial" w:hAnsi="Arial"/>
          <w:b/>
          <w:color w:val="44546A"/>
          <w:sz w:val="17"/>
        </w:rPr>
        <w:t xml:space="preserve">TESTED BY  </w:t>
      </w:r>
      <w:r>
        <w:rPr>
          <w:rFonts w:ascii="Times New Roman" w:hAnsi="Times New Roman"/>
          <w:sz w:val="20"/>
        </w:rPr>
        <w:t>Inspect the self-assessment against each statutory factor; enquire as to readiness planning.</w:t>
      </w:r>
    </w:p>
    <w:p>
      <w:pPr>
        <w:spacing w:before="40" w:after="80"/>
        <w:ind w:left="0"/>
      </w:pPr>
      <w:r>
        <w:rPr>
          <w:rFonts w:ascii="Arial" w:hAnsi="Arial"/>
          <w:b/>
          <w:color w:val="44546A"/>
          <w:sz w:val="17"/>
        </w:rPr>
        <w:t xml:space="preserve">SCOPE  </w:t>
      </w:r>
      <w:r>
        <w:rPr>
          <w:rFonts w:ascii="Times New Roman" w:hAnsi="Times New Roman"/>
          <w:sz w:val="20"/>
        </w:rPr>
        <w:t>Out of scope — excluded by is sdf. Not assessed and excluded from all scoring.</w:t>
      </w:r>
    </w:p>
    <w:p>
      <w:pPr>
        <w:spacing w:before="80" w:after="120"/>
        <w:pBdr>
          <w:bottom w:val="single" w:sz="6" w:space="1" w:color="BFBFBF"/>
        </w:pBdr>
      </w:pPr>
    </w:p>
    <w:p>
      <w:pPr>
        <w:pStyle w:val="Heading3"/>
        <w:keepNext/>
        <w:spacing w:before="200" w:after="80"/>
      </w:pPr>
      <w:r>
        <w:rPr>
          <w:rFonts w:ascii="Arial" w:hAnsi="Arial"/>
          <w:b/>
          <w:color w:val="1F3552"/>
          <w:sz w:val="22"/>
        </w:rPr>
        <w:t>APP-05   Commencement and phasing tracked against the compliance plan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WP-003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Provisions of the Act and the Rules come into force on such dates as are appointed, which may differ across provisions. The entity must know which obligations are presently enforceable and which are forthcoming.</w:t>
      </w:r>
    </w:p>
    <w:p>
      <w:pPr>
        <w:spacing w:before="40" w:after="80"/>
        <w:ind w:left="0"/>
      </w:pPr>
      <w:r>
        <w:rPr>
          <w:rFonts w:ascii="Arial" w:hAnsi="Arial"/>
          <w:b/>
          <w:color w:val="44546A"/>
          <w:sz w:val="17"/>
        </w:rPr>
        <w:t xml:space="preserve">STATUTORY BASIS  </w:t>
      </w:r>
      <w:r>
        <w:rPr>
          <w:rFonts w:ascii="Times New Roman" w:hAnsi="Times New Roman"/>
          <w:sz w:val="20"/>
        </w:rPr>
        <w:t>s.1(2), DPDP Act, 2023  ·  Rules: [Rules citation to be verified]</w:t>
      </w:r>
    </w:p>
    <w:p>
      <w:pPr>
        <w:spacing w:before="40" w:after="80"/>
        <w:ind w:left="0"/>
      </w:pPr>
      <w:r>
        <w:rPr>
          <w:rFonts w:ascii="Arial" w:hAnsi="Arial"/>
          <w:b/>
          <w:color w:val="44546A"/>
          <w:sz w:val="17"/>
        </w:rPr>
        <w:t xml:space="preserve">TESTED BY  </w:t>
      </w:r>
      <w:r>
        <w:rPr>
          <w:rFonts w:ascii="Times New Roman" w:hAnsi="Times New Roman"/>
          <w:sz w:val="20"/>
        </w:rPr>
        <w:t>Inspect the compliance calendar; corroborate the dates recorded against the commencement notification.</w:t>
      </w:r>
    </w:p>
    <w:p>
      <w:pPr>
        <w:spacing w:before="40" w:after="80"/>
        <w:ind w:left="0"/>
      </w:pPr>
      <w:r>
        <w:rPr>
          <w:rFonts w:ascii="Arial" w:hAnsi="Arial"/>
          <w:b/>
          <w:color w:val="44546A"/>
          <w:sz w:val="17"/>
        </w:rPr>
        <w:t xml:space="preserve">FINDING  </w:t>
      </w:r>
      <w:r>
        <w:rPr>
          <w:rFonts w:ascii="Times New Roman" w:hAnsi="Times New Roman"/>
          <w:sz w:val="20"/>
        </w:rPr>
        <w:t>The compliance plan carries a single milestone described as 'DPDP readiness' with no linkage to the commencement of individual provisions or to the phasing of the Rules. Management could not demonstrate a mechanism for tracking notifications, so a provision coming into force would not automatically trigger a change in the plan.</w:t>
      </w:r>
    </w:p>
    <w:p>
      <w:pPr>
        <w:spacing w:before="40" w:after="80"/>
        <w:ind w:left="0"/>
      </w:pPr>
      <w:r>
        <w:rPr>
          <w:rFonts w:ascii="Arial" w:hAnsi="Arial"/>
          <w:b/>
          <w:color w:val="44546A"/>
          <w:sz w:val="17"/>
        </w:rPr>
        <w:t xml:space="preserve">TARGET STATE  </w:t>
      </w:r>
      <w:r>
        <w:rPr>
          <w:rFonts w:ascii="Times New Roman" w:hAnsi="Times New Roman"/>
          <w:sz w:val="20"/>
        </w:rPr>
        <w:t>A maintained calendar tracks each tranche, remediation is sequenced against it, and a named owner monitors for further notifications and Board guidance.</w:t>
      </w:r>
    </w:p>
    <w:p>
      <w:pPr>
        <w:spacing w:before="40" w:after="80"/>
        <w:ind w:left="0"/>
      </w:pPr>
      <w:r>
        <w:rPr>
          <w:rFonts w:ascii="Arial" w:hAnsi="Arial"/>
          <w:b/>
          <w:color w:val="44546A"/>
          <w:sz w:val="17"/>
        </w:rPr>
        <w:t xml:space="preserve">TRACKED AS  </w:t>
      </w:r>
      <w:r>
        <w:rPr>
          <w:rFonts w:ascii="Times New Roman" w:hAnsi="Times New Roman"/>
          <w:sz w:val="20"/>
        </w:rPr>
        <w:t>G014 · priority P2 · target date 2026-10-13 · owner Meera Raghunathan, Head of Legal &amp; Compliance</w:t>
      </w:r>
    </w:p>
    <w:p>
      <w:pPr>
        <w:spacing w:before="80" w:after="120"/>
        <w:pBdr>
          <w:bottom w:val="single" w:sz="6" w:space="1" w:color="BFBFBF"/>
        </w:pBdr>
      </w:pPr>
    </w:p>
    <w:p>
      <w:pPr>
        <w:pStyle w:val="Heading2"/>
        <w:keepNext/>
        <w:spacing w:before="280" w:after="120"/>
      </w:pPr>
      <w:r>
        <w:rPr>
          <w:rFonts w:ascii="Arial" w:hAnsi="Arial"/>
          <w:b/>
          <w:color w:val="1F3552"/>
          <w:sz w:val="26"/>
        </w:rPr>
        <w:t>4.2  GOV — Governance, Accountability &amp; Records</w:t>
      </w:r>
    </w:p>
    <w:p>
      <w:pPr>
        <w:spacing w:before="0" w:after="120"/>
        <w:jc w:val="both"/>
      </w:pPr>
      <w:r>
        <w:rPr>
          <w:rFonts w:ascii="Times New Roman" w:hAnsi="Times New Roman"/>
          <w:b w:val="0"/>
          <w:i/>
          <w:color w:val="44546A"/>
          <w:sz w:val="20"/>
        </w:rPr>
        <w:t>Section 8(1) makes the Data Fiduciary responsible for compliance including for processing carried out by a Data Processor on its behalf. Section 6(10) places the burden of proving valid consent on the Data Fiduciary. Both are evidential burdens — an entity that is compliant in practice but cannot demonstrate it will fail an inquiry.</w:t>
      </w:r>
    </w:p>
    <w:p>
      <w:pPr>
        <w:spacing w:before="40" w:after="80"/>
        <w:ind w:left="0"/>
      </w:pPr>
      <w:r>
        <w:rPr>
          <w:rFonts w:ascii="Arial" w:hAnsi="Arial"/>
          <w:b/>
          <w:color w:val="44546A"/>
          <w:sz w:val="17"/>
        </w:rPr>
        <w:t xml:space="preserve">SCOPE QUESTION  </w:t>
      </w:r>
      <w:r>
        <w:rPr>
          <w:rFonts w:ascii="Times New Roman" w:hAnsi="Times New Roman"/>
          <w:sz w:val="20"/>
        </w:rPr>
        <w:t>Is there an accountable owner, a documented programme, and a record of processing sufficient to demonstrate compliance to the Board?</w:t>
      </w:r>
    </w:p>
    <w:p>
      <w:pPr>
        <w:spacing w:before="40" w:after="80"/>
        <w:ind w:left="0"/>
      </w:pPr>
      <w:r>
        <w:rPr>
          <w:rFonts w:ascii="Arial" w:hAnsi="Arial"/>
          <w:b/>
          <w:color w:val="44546A"/>
          <w:sz w:val="17"/>
        </w:rPr>
        <w:t xml:space="preserve">RESULT  </w:t>
      </w:r>
      <w:r>
        <w:rPr>
          <w:rFonts w:ascii="Times New Roman" w:hAnsi="Times New Roman"/>
          <w:sz w:val="20"/>
        </w:rPr>
        <w:t>Domain maturity 52.6% (Developing). 7 controls in scope, 7 assessed, 5 gaps of which 3 attach to critical obligations. Highest residual risk in the domain is 12 of 16.</w:t>
      </w:r>
    </w:p>
    <w:p>
      <w:pPr>
        <w:spacing w:before="40" w:after="120"/>
        <w:pBdr>
          <w:bottom w:val="single" w:sz="6" w:space="1" w:color="BFBFBF"/>
        </w:pBdr>
      </w:pPr>
    </w:p>
    <w:p>
      <w:pPr>
        <w:pStyle w:val="Heading3"/>
        <w:keepNext/>
        <w:spacing w:before="200" w:after="80"/>
      </w:pPr>
      <w:r>
        <w:rPr>
          <w:rFonts w:ascii="Arial" w:hAnsi="Arial"/>
          <w:b/>
          <w:color w:val="1F3552"/>
          <w:sz w:val="22"/>
        </w:rPr>
        <w:t>GOV-01   Accountability for compliance, including processor activity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WP-010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is responsible for complying with the Act in respect of any processing undertaken by it or on its behalf by a Data Processor, notwithstanding any agreement to the contrary or the Data Principal's failure to carry out their duties.</w:t>
      </w:r>
    </w:p>
    <w:p>
      <w:pPr>
        <w:spacing w:before="40" w:after="80"/>
        <w:ind w:left="0"/>
      </w:pPr>
      <w:r>
        <w:rPr>
          <w:rFonts w:ascii="Arial" w:hAnsi="Arial"/>
          <w:b/>
          <w:color w:val="44546A"/>
          <w:sz w:val="17"/>
        </w:rPr>
        <w:t xml:space="preserve">STATUTORY BASIS  </w:t>
      </w:r>
      <w:r>
        <w:rPr>
          <w:rFonts w:ascii="Times New Roman" w:hAnsi="Times New Roman"/>
          <w:sz w:val="20"/>
        </w:rPr>
        <w:t>s.8(1),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appointment and remit; enquire of the owner as to authority, budget and escalation path; corroborate with governance minutes.</w:t>
      </w:r>
    </w:p>
    <w:p>
      <w:pPr>
        <w:spacing w:before="40" w:after="80"/>
        <w:ind w:left="0"/>
      </w:pPr>
      <w:r>
        <w:rPr>
          <w:rFonts w:ascii="Arial" w:hAnsi="Arial"/>
          <w:b/>
          <w:color w:val="44546A"/>
          <w:sz w:val="17"/>
        </w:rPr>
        <w:t xml:space="preserve">FINDING  </w:t>
      </w:r>
      <w:r>
        <w:rPr>
          <w:rFonts w:ascii="Times New Roman" w:hAnsi="Times New Roman"/>
          <w:sz w:val="20"/>
        </w:rPr>
        <w:t>Accountability is asserted in the Information Privacy Policy v2.1 and the Head of Legal &amp; Compliance is named as owner. However the policy is silent on the entity's responsibility for processing carried out by processors on its behalf, and the collections subsidiary operates its own dialler and call recording estate without the parent's oversight of that processing.</w:t>
      </w:r>
    </w:p>
    <w:p>
      <w:pPr>
        <w:spacing w:before="40" w:after="80"/>
        <w:ind w:left="0"/>
      </w:pPr>
      <w:r>
        <w:rPr>
          <w:rFonts w:ascii="Arial" w:hAnsi="Arial"/>
          <w:b/>
          <w:color w:val="44546A"/>
          <w:sz w:val="17"/>
        </w:rPr>
        <w:t xml:space="preserve">TARGET STATE  </w:t>
      </w:r>
      <w:r>
        <w:rPr>
          <w:rFonts w:ascii="Times New Roman" w:hAnsi="Times New Roman"/>
          <w:sz w:val="20"/>
        </w:rPr>
        <w:t>A senior owner is formally appointed with an express remit covering processors, reports periodically to a governance forum or the board, and can evidence decisions actually taken under that authority.</w:t>
      </w:r>
    </w:p>
    <w:p>
      <w:pPr>
        <w:spacing w:before="40" w:after="80"/>
        <w:ind w:left="0"/>
      </w:pPr>
      <w:r>
        <w:rPr>
          <w:rFonts w:ascii="Arial" w:hAnsi="Arial"/>
          <w:b/>
          <w:color w:val="44546A"/>
          <w:sz w:val="17"/>
        </w:rPr>
        <w:t xml:space="preserve">TRACKED AS  </w:t>
      </w:r>
      <w:r>
        <w:rPr>
          <w:rFonts w:ascii="Times New Roman" w:hAnsi="Times New Roman"/>
          <w:sz w:val="20"/>
        </w:rPr>
        <w:t>G029 · priority P2 · target date 2026-10-13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GOV-02   Record of processing activities maintained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WP-011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Although the Act does not name a register in terms, the burden of demonstrating consent under section 6(10) and the accountability duty under section 8(1) cannot be discharged without a reliable record of what personal data is processed, for what purpose, on what basis, and with whom it is shared.</w:t>
      </w:r>
    </w:p>
    <w:p>
      <w:pPr>
        <w:spacing w:before="40" w:after="80"/>
        <w:ind w:left="0"/>
      </w:pPr>
      <w:r>
        <w:rPr>
          <w:rFonts w:ascii="Arial" w:hAnsi="Arial"/>
          <w:b/>
          <w:color w:val="44546A"/>
          <w:sz w:val="17"/>
        </w:rPr>
        <w:t xml:space="preserve">STATUTORY BASIS  </w:t>
      </w:r>
      <w:r>
        <w:rPr>
          <w:rFonts w:ascii="Times New Roman" w:hAnsi="Times New Roman"/>
          <w:sz w:val="20"/>
        </w:rPr>
        <w:t>s.6(10), s.8(1), DPDP Act, 2023 (evidential requirement)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register; test completeness by selecting two systems not obviously covered and tracing them; test currency against recent product changes.</w:t>
      </w:r>
    </w:p>
    <w:p>
      <w:pPr>
        <w:spacing w:before="40" w:after="80"/>
        <w:ind w:left="0"/>
      </w:pPr>
      <w:r>
        <w:rPr>
          <w:rFonts w:ascii="Arial" w:hAnsi="Arial"/>
          <w:b/>
          <w:color w:val="44546A"/>
          <w:sz w:val="17"/>
        </w:rPr>
        <w:t xml:space="preserve">FINDING  </w:t>
      </w:r>
      <w:r>
        <w:rPr>
          <w:rFonts w:ascii="Times New Roman" w:hAnsi="Times New Roman"/>
          <w:sz w:val="20"/>
        </w:rPr>
        <w:t>A record of processing activities exists in a spreadsheet covering 61 activities, last updated November 2025. Walkthroughs identified four unrecorded processing activities: Kavach Junior parent supervision, the WhatsApp collections journey, the churn-prediction model in Kavach Analytics, and employee productivity monitoring in the collections function. The record does not capture retention period or recipient for 23 of the 61 entries.</w:t>
      </w:r>
    </w:p>
    <w:p>
      <w:pPr>
        <w:spacing w:before="40" w:after="80"/>
        <w:ind w:left="0"/>
      </w:pPr>
      <w:r>
        <w:rPr>
          <w:rFonts w:ascii="Arial" w:hAnsi="Arial"/>
          <w:b/>
          <w:color w:val="44546A"/>
          <w:sz w:val="17"/>
        </w:rPr>
        <w:t xml:space="preserve">TARGET STATE  </w:t>
      </w:r>
      <w:r>
        <w:rPr>
          <w:rFonts w:ascii="Times New Roman" w:hAnsi="Times New Roman"/>
          <w:sz w:val="20"/>
        </w:rPr>
        <w:t>A complete register is reconciled to the application inventory, refreshed on a defined cycle and on material change, and demonstrably drives downstream artefacts such as notices and retention rules.</w:t>
      </w:r>
    </w:p>
    <w:p>
      <w:pPr>
        <w:spacing w:before="40" w:after="80"/>
        <w:ind w:left="0"/>
      </w:pPr>
      <w:r>
        <w:rPr>
          <w:rFonts w:ascii="Arial" w:hAnsi="Arial"/>
          <w:b/>
          <w:color w:val="44546A"/>
          <w:sz w:val="17"/>
        </w:rPr>
        <w:t xml:space="preserve">TRACKED AS  </w:t>
      </w:r>
      <w:r>
        <w:rPr>
          <w:rFonts w:ascii="Times New Roman" w:hAnsi="Times New Roman"/>
          <w:sz w:val="20"/>
        </w:rPr>
        <w:t>G030 · priority P2 · target date 2026-10-13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GOV-03   Publication of DPO or contact person details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WP-012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must publish the business contact information of the Data Protection Officer, if applicable, or of a person able to answer on its behalf the questions of a Data Principal about the processing of their personal data.</w:t>
      </w:r>
    </w:p>
    <w:p>
      <w:pPr>
        <w:spacing w:before="40" w:after="80"/>
        <w:ind w:left="0"/>
      </w:pPr>
      <w:r>
        <w:rPr>
          <w:rFonts w:ascii="Arial" w:hAnsi="Arial"/>
          <w:b/>
          <w:color w:val="44546A"/>
          <w:sz w:val="17"/>
        </w:rPr>
        <w:t xml:space="preserve">STATUTORY BASIS  </w:t>
      </w:r>
      <w:r>
        <w:rPr>
          <w:rFonts w:ascii="Times New Roman" w:hAnsi="Times New Roman"/>
          <w:sz w:val="20"/>
        </w:rPr>
        <w:t>s.8(8),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published details on all customer-facing surfaces; re-perform by sending a substantive processing question through the channel and measuring the response.</w:t>
      </w:r>
    </w:p>
    <w:p>
      <w:pPr>
        <w:spacing w:before="40" w:after="80"/>
        <w:ind w:left="0"/>
      </w:pPr>
      <w:r>
        <w:rPr>
          <w:rFonts w:ascii="Arial" w:hAnsi="Arial"/>
          <w:b/>
          <w:color w:val="44546A"/>
          <w:sz w:val="17"/>
        </w:rPr>
        <w:t xml:space="preserve">FINDING  </w:t>
      </w:r>
      <w:r>
        <w:rPr>
          <w:rFonts w:ascii="Times New Roman" w:hAnsi="Times New Roman"/>
          <w:sz w:val="20"/>
        </w:rPr>
        <w:t>Contact details for the privacy function are published in the app privacy policy and on the website footer, and the address routes to a monitored mailbox. The published contact is a generic role address rather than the person discharging the function, and the Kavach Junior parent console does not surface the contact at all.</w:t>
      </w:r>
    </w:p>
    <w:p>
      <w:pPr>
        <w:spacing w:before="80" w:after="120"/>
        <w:pBdr>
          <w:bottom w:val="single" w:sz="6" w:space="1" w:color="BFBFBF"/>
        </w:pBdr>
      </w:pPr>
    </w:p>
    <w:p>
      <w:pPr>
        <w:pStyle w:val="Heading3"/>
        <w:keepNext/>
        <w:spacing w:before="200" w:after="80"/>
      </w:pPr>
      <w:r>
        <w:rPr>
          <w:rFonts w:ascii="Arial" w:hAnsi="Arial"/>
          <w:b/>
          <w:color w:val="1F3552"/>
          <w:sz w:val="22"/>
        </w:rPr>
        <w:t>GOV-04   Board and senior management oversight</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WP-013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Accountability under section 8(1) requires oversight proportionate to the risk. For a Significant Data Fiduciary the Data Protection Officer is expressly required to be responsible to the board of directors or similar governing body, which sets the expected standard of engagement.</w:t>
      </w:r>
    </w:p>
    <w:p>
      <w:pPr>
        <w:spacing w:before="40" w:after="80"/>
        <w:ind w:left="0"/>
      </w:pPr>
      <w:r>
        <w:rPr>
          <w:rFonts w:ascii="Arial" w:hAnsi="Arial"/>
          <w:b/>
          <w:color w:val="44546A"/>
          <w:sz w:val="17"/>
        </w:rPr>
        <w:t xml:space="preserve">STATUTORY BASIS  </w:t>
      </w:r>
      <w:r>
        <w:rPr>
          <w:rFonts w:ascii="Times New Roman" w:hAnsi="Times New Roman"/>
          <w:sz w:val="20"/>
        </w:rPr>
        <w:t>s.8(1), s.10(2)(a), DPDP Act, 2023</w:t>
      </w:r>
    </w:p>
    <w:p>
      <w:pPr>
        <w:spacing w:before="40" w:after="80"/>
        <w:ind w:left="0"/>
      </w:pPr>
      <w:r>
        <w:rPr>
          <w:rFonts w:ascii="Arial" w:hAnsi="Arial"/>
          <w:b/>
          <w:color w:val="44546A"/>
          <w:sz w:val="17"/>
        </w:rPr>
        <w:t xml:space="preserve">TESTED BY  </w:t>
      </w:r>
      <w:r>
        <w:rPr>
          <w:rFonts w:ascii="Times New Roman" w:hAnsi="Times New Roman"/>
          <w:sz w:val="20"/>
        </w:rPr>
        <w:t>Inspect minutes and reporting packs for the last four cycles; test whether reported issues were tracked to closure.</w:t>
      </w:r>
    </w:p>
    <w:p>
      <w:pPr>
        <w:spacing w:before="40" w:after="80"/>
        <w:ind w:left="0"/>
      </w:pPr>
      <w:r>
        <w:rPr>
          <w:rFonts w:ascii="Arial" w:hAnsi="Arial"/>
          <w:b/>
          <w:color w:val="44546A"/>
          <w:sz w:val="17"/>
        </w:rPr>
        <w:t xml:space="preserve">FINDING  </w:t>
      </w:r>
      <w:r>
        <w:rPr>
          <w:rFonts w:ascii="Times New Roman" w:hAnsi="Times New Roman"/>
          <w:sz w:val="20"/>
        </w:rPr>
        <w:t>Privacy is reported to the Risk Management Committee twice yearly as part of a combined information security update. Minutes for the two meetings in the period record no privacy-specific decision, no budget approval and no challenge from members. There is no board-level acceptance of the residual risk arising from the open items in this report.</w:t>
      </w:r>
    </w:p>
    <w:p>
      <w:pPr>
        <w:spacing w:before="40" w:after="80"/>
        <w:ind w:left="0"/>
      </w:pPr>
      <w:r>
        <w:rPr>
          <w:rFonts w:ascii="Arial" w:hAnsi="Arial"/>
          <w:b/>
          <w:color w:val="44546A"/>
          <w:sz w:val="17"/>
        </w:rPr>
        <w:t xml:space="preserve">TARGET STATE  </w:t>
      </w:r>
      <w:r>
        <w:rPr>
          <w:rFonts w:ascii="Times New Roman" w:hAnsi="Times New Roman"/>
          <w:sz w:val="20"/>
        </w:rPr>
        <w:t>Periodic reporting on a defined cycle with meaningful metrics, evidenced challenge from the forum, and issues tracked to closure.</w:t>
      </w:r>
    </w:p>
    <w:p>
      <w:pPr>
        <w:spacing w:before="40" w:after="80"/>
        <w:ind w:left="0"/>
      </w:pPr>
      <w:r>
        <w:rPr>
          <w:rFonts w:ascii="Arial" w:hAnsi="Arial"/>
          <w:b/>
          <w:color w:val="44546A"/>
          <w:sz w:val="17"/>
        </w:rPr>
        <w:t xml:space="preserve">TRACKED AS  </w:t>
      </w:r>
      <w:r>
        <w:rPr>
          <w:rFonts w:ascii="Times New Roman" w:hAnsi="Times New Roman"/>
          <w:sz w:val="20"/>
        </w:rPr>
        <w:t>G055 · priority P3 · target date 2026-11-12 · owner Vikram Shetty, Chief Financial Officer</w:t>
      </w:r>
    </w:p>
    <w:p>
      <w:pPr>
        <w:spacing w:before="80" w:after="120"/>
        <w:pBdr>
          <w:bottom w:val="single" w:sz="6" w:space="1" w:color="BFBFBF"/>
        </w:pBdr>
      </w:pPr>
    </w:p>
    <w:p>
      <w:pPr>
        <w:pStyle w:val="Heading3"/>
        <w:keepNext/>
        <w:spacing w:before="200" w:after="80"/>
      </w:pPr>
      <w:r>
        <w:rPr>
          <w:rFonts w:ascii="Arial" w:hAnsi="Arial"/>
          <w:b/>
          <w:color w:val="1F3552"/>
          <w:sz w:val="22"/>
        </w:rPr>
        <w:t>GOV-05   Policies, standards and internal procedures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2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WP-014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Appropriate technical and organisational measures under section 8(4) include the documented policies and procedures by which the entity gives effect to its obligations.</w:t>
      </w:r>
    </w:p>
    <w:p>
      <w:pPr>
        <w:spacing w:before="40" w:after="80"/>
        <w:ind w:left="0"/>
      </w:pPr>
      <w:r>
        <w:rPr>
          <w:rFonts w:ascii="Arial" w:hAnsi="Arial"/>
          <w:b/>
          <w:color w:val="44546A"/>
          <w:sz w:val="17"/>
        </w:rPr>
        <w:t xml:space="preserve">STATUTORY BASIS  </w:t>
      </w:r>
      <w:r>
        <w:rPr>
          <w:rFonts w:ascii="Times New Roman" w:hAnsi="Times New Roman"/>
          <w:sz w:val="20"/>
        </w:rPr>
        <w:t>s.8(4),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policy set and approval records; test one policy against the operational procedure and system behaviour it purports to govern.</w:t>
      </w:r>
    </w:p>
    <w:p>
      <w:pPr>
        <w:spacing w:before="40" w:after="80"/>
        <w:ind w:left="0"/>
      </w:pPr>
      <w:r>
        <w:rPr>
          <w:rFonts w:ascii="Arial" w:hAnsi="Arial"/>
          <w:b/>
          <w:color w:val="44546A"/>
          <w:sz w:val="17"/>
        </w:rPr>
        <w:t xml:space="preserve">FINDING  </w:t>
      </w:r>
      <w:r>
        <w:rPr>
          <w:rFonts w:ascii="Times New Roman" w:hAnsi="Times New Roman"/>
          <w:sz w:val="20"/>
        </w:rPr>
        <w:t>A policy set comprising an Information Privacy Policy, Data Classification Standard, Retention Standard and Third Party Standard is approved and accessible on the intranet. The Retention Standard is dated 2023 and predates both the Kavach Junior product and the current warehouse architecture, and the Third Party Standard does not address the s.8(2) contract requirement.</w:t>
      </w:r>
    </w:p>
    <w:p>
      <w:pPr>
        <w:spacing w:before="80" w:after="120"/>
        <w:pBdr>
          <w:bottom w:val="single" w:sz="6" w:space="1" w:color="BFBFBF"/>
        </w:pBdr>
      </w:pPr>
    </w:p>
    <w:p>
      <w:pPr>
        <w:pStyle w:val="Heading3"/>
        <w:keepNext/>
        <w:spacing w:before="200" w:after="80"/>
      </w:pPr>
      <w:r>
        <w:rPr>
          <w:rFonts w:ascii="Arial" w:hAnsi="Arial"/>
          <w:b/>
          <w:color w:val="1F3552"/>
          <w:sz w:val="22"/>
        </w:rPr>
        <w:t>GOV-06   Training and awareness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0.9</w:t>
            </w:r>
          </w:p>
        </w:tc>
        <w:tc>
          <w:tcPr>
            <w:tcW w:type="dxa" w:w="1999"/>
          </w:tcPr>
          <w:p>
            <w:pPr>
              <w:spacing w:before="20" w:after="20"/>
              <w:jc w:val="center"/>
            </w:pPr>
            <w:r/>
            <w:r>
              <w:rPr>
                <w:rFonts w:ascii="Arial" w:hAnsi="Arial"/>
                <w:b w:val="0"/>
                <w:i w:val="0"/>
                <w:sz w:val="18"/>
              </w:rPr>
              <w:t>WP-015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Organisational measures under section 8(4) extend to ensuring that personnel handling personal data understand their obligations, particularly those operating consent, rights and breach processes.</w:t>
      </w:r>
    </w:p>
    <w:p>
      <w:pPr>
        <w:spacing w:before="40" w:after="80"/>
        <w:ind w:left="0"/>
      </w:pPr>
      <w:r>
        <w:rPr>
          <w:rFonts w:ascii="Arial" w:hAnsi="Arial"/>
          <w:b/>
          <w:color w:val="44546A"/>
          <w:sz w:val="17"/>
        </w:rPr>
        <w:t xml:space="preserve">STATUTORY BASIS  </w:t>
      </w:r>
      <w:r>
        <w:rPr>
          <w:rFonts w:ascii="Times New Roman" w:hAnsi="Times New Roman"/>
          <w:sz w:val="20"/>
        </w:rPr>
        <w:t>s.8(4), DPDP Act, 2023</w:t>
      </w:r>
    </w:p>
    <w:p>
      <w:pPr>
        <w:spacing w:before="40" w:after="80"/>
        <w:ind w:left="0"/>
      </w:pPr>
      <w:r>
        <w:rPr>
          <w:rFonts w:ascii="Arial" w:hAnsi="Arial"/>
          <w:b/>
          <w:color w:val="44546A"/>
          <w:sz w:val="17"/>
        </w:rPr>
        <w:t xml:space="preserve">TESTED BY  </w:t>
      </w:r>
      <w:r>
        <w:rPr>
          <w:rFonts w:ascii="Times New Roman" w:hAnsi="Times New Roman"/>
          <w:sz w:val="20"/>
        </w:rPr>
        <w:t>Inspect training content and completion records; enquire of a sample of staff in high-risk roles to test practical understanding.</w:t>
      </w:r>
    </w:p>
    <w:p>
      <w:pPr>
        <w:spacing w:before="40" w:after="80"/>
        <w:ind w:left="0"/>
      </w:pPr>
      <w:r>
        <w:rPr>
          <w:rFonts w:ascii="Arial" w:hAnsi="Arial"/>
          <w:b/>
          <w:color w:val="44546A"/>
          <w:sz w:val="17"/>
        </w:rPr>
        <w:t xml:space="preserve">FINDING  </w:t>
      </w:r>
      <w:r>
        <w:rPr>
          <w:rFonts w:ascii="Times New Roman" w:hAnsi="Times New Roman"/>
          <w:sz w:val="20"/>
        </w:rPr>
        <w:t>Annual information security training is mandatory and completion stands at 94 per cent. Privacy content within it runs to four slides and does not address consent, rights handling or the children's provisions. No role-specific training has been delivered to the engineering, marketing or collections teams whose decisions determine compliance in practice.</w:t>
      </w:r>
    </w:p>
    <w:p>
      <w:pPr>
        <w:spacing w:before="40" w:after="80"/>
        <w:ind w:left="0"/>
      </w:pPr>
      <w:r>
        <w:rPr>
          <w:rFonts w:ascii="Arial" w:hAnsi="Arial"/>
          <w:b/>
          <w:color w:val="44546A"/>
          <w:sz w:val="17"/>
        </w:rPr>
        <w:t xml:space="preserve">TARGET STATE  </w:t>
      </w:r>
      <w:r>
        <w:rPr>
          <w:rFonts w:ascii="Times New Roman" w:hAnsi="Times New Roman"/>
          <w:sz w:val="20"/>
        </w:rPr>
        <w:t>Act-specific training is delivered to all relevant personnel with role-tailored modules for high-risk functions, completion is tracked and enforced, and sample enquiry confirms practical understanding.</w:t>
      </w:r>
    </w:p>
    <w:p>
      <w:pPr>
        <w:spacing w:before="40" w:after="80"/>
        <w:ind w:left="0"/>
      </w:pPr>
      <w:r>
        <w:rPr>
          <w:rFonts w:ascii="Arial" w:hAnsi="Arial"/>
          <w:b/>
          <w:color w:val="44546A"/>
          <w:sz w:val="17"/>
        </w:rPr>
        <w:t xml:space="preserve">TRACKED AS  </w:t>
      </w:r>
      <w:r>
        <w:rPr>
          <w:rFonts w:ascii="Times New Roman" w:hAnsi="Times New Roman"/>
          <w:sz w:val="20"/>
        </w:rPr>
        <w:t>G056 · priority P3 · target date 2026-11-12 · owner Sneha Kulkarni, Head of People</w:t>
      </w:r>
    </w:p>
    <w:p>
      <w:pPr>
        <w:spacing w:before="80" w:after="120"/>
        <w:pBdr>
          <w:bottom w:val="single" w:sz="6" w:space="1" w:color="BFBFBF"/>
        </w:pBdr>
      </w:pPr>
    </w:p>
    <w:p>
      <w:pPr>
        <w:pStyle w:val="Heading3"/>
        <w:keepNext/>
        <w:spacing w:before="200" w:after="80"/>
      </w:pPr>
      <w:r>
        <w:rPr>
          <w:rFonts w:ascii="Arial" w:hAnsi="Arial"/>
          <w:b/>
          <w:color w:val="1F3552"/>
          <w:sz w:val="22"/>
        </w:rPr>
        <w:t>GOV-07   Evidence retention for demonstrating compliance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WP-016</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Where consent is relied upon, the Data Fiduciary bears the burden of proving that notice was given and consent was obtained in accordance with the Act. This requires retention of the underlying artefacts, not merely of the current policy.</w:t>
      </w:r>
    </w:p>
    <w:p>
      <w:pPr>
        <w:spacing w:before="40" w:after="80"/>
        <w:ind w:left="0"/>
      </w:pPr>
      <w:r>
        <w:rPr>
          <w:rFonts w:ascii="Arial" w:hAnsi="Arial"/>
          <w:b/>
          <w:color w:val="44546A"/>
          <w:sz w:val="17"/>
        </w:rPr>
        <w:t xml:space="preserve">STATUTORY BASIS  </w:t>
      </w:r>
      <w:r>
        <w:rPr>
          <w:rFonts w:ascii="Times New Roman" w:hAnsi="Times New Roman"/>
          <w:sz w:val="20"/>
        </w:rPr>
        <w:t>s.6(10),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 select two Data Principals at random and require production of the historical notice version, consent artefact and processing record.</w:t>
      </w:r>
    </w:p>
    <w:p>
      <w:pPr>
        <w:spacing w:before="40" w:after="80"/>
        <w:ind w:left="0"/>
      </w:pPr>
      <w:r>
        <w:rPr>
          <w:rFonts w:ascii="Arial" w:hAnsi="Arial"/>
          <w:b/>
          <w:color w:val="44546A"/>
          <w:sz w:val="17"/>
        </w:rPr>
        <w:t xml:space="preserve">FINDING  </w:t>
      </w:r>
      <w:r>
        <w:rPr>
          <w:rFonts w:ascii="Times New Roman" w:hAnsi="Times New Roman"/>
          <w:sz w:val="20"/>
        </w:rPr>
        <w:t>Evidence of compliance is not systematically retained. Consent artefacts are held only in the current state of the consent table with no immutable history, notice versions are not archived, and rights request correspondence is held in agent mailboxes. The entity could not reconstruct, for a Data Principal who consented in March 2025, what notice they were shown. This directly undermines the ability to discharge the burden of proof the Act places on the Data Fiduciary.</w:t>
      </w:r>
    </w:p>
    <w:p>
      <w:pPr>
        <w:spacing w:before="40" w:after="80"/>
        <w:ind w:left="0"/>
      </w:pPr>
      <w:r>
        <w:rPr>
          <w:rFonts w:ascii="Arial" w:hAnsi="Arial"/>
          <w:b/>
          <w:color w:val="44546A"/>
          <w:sz w:val="17"/>
        </w:rPr>
        <w:t xml:space="preserve">TARGET STATE  </w:t>
      </w:r>
      <w:r>
        <w:rPr>
          <w:rFonts w:ascii="Times New Roman" w:hAnsi="Times New Roman"/>
          <w:sz w:val="20"/>
        </w:rPr>
        <w:t>Notice versions and consent artefacts are archived and jointly retrievable per Data Principal, and testing confirms the entity can reconstruct precisely what was presented and agreed to, and when.</w:t>
      </w:r>
    </w:p>
    <w:p>
      <w:pPr>
        <w:spacing w:before="40" w:after="80"/>
        <w:ind w:left="0"/>
      </w:pPr>
      <w:r>
        <w:rPr>
          <w:rFonts w:ascii="Arial" w:hAnsi="Arial"/>
          <w:b/>
          <w:color w:val="44546A"/>
          <w:sz w:val="17"/>
        </w:rPr>
        <w:t xml:space="preserve">TRACKED AS  </w:t>
      </w:r>
      <w:r>
        <w:rPr>
          <w:rFonts w:ascii="Times New Roman" w:hAnsi="Times New Roman"/>
          <w:sz w:val="20"/>
        </w:rPr>
        <w:t>G006 · priority P1 · target date 2026-09-13 · owner Devika Iyer, VP Engineering</w:t>
      </w:r>
    </w:p>
    <w:p>
      <w:pPr>
        <w:spacing w:before="80" w:after="120"/>
        <w:pBdr>
          <w:bottom w:val="single" w:sz="6" w:space="1" w:color="BFBFBF"/>
        </w:pBdr>
      </w:pPr>
    </w:p>
    <w:p>
      <w:pPr>
        <w:pStyle w:val="Heading2"/>
        <w:keepNext/>
        <w:spacing w:before="280" w:after="120"/>
      </w:pPr>
      <w:r>
        <w:rPr>
          <w:rFonts w:ascii="Arial" w:hAnsi="Arial"/>
          <w:b/>
          <w:color w:val="1F3552"/>
          <w:sz w:val="26"/>
        </w:rPr>
        <w:t>4.3  PUR — Lawful Purpose, Minimisation &amp; Accuracy</w:t>
      </w:r>
    </w:p>
    <w:p>
      <w:pPr>
        <w:spacing w:before="0" w:after="120"/>
        <w:jc w:val="both"/>
      </w:pPr>
      <w:r>
        <w:rPr>
          <w:rFonts w:ascii="Times New Roman" w:hAnsi="Times New Roman"/>
          <w:b w:val="0"/>
          <w:i/>
          <w:color w:val="44546A"/>
          <w:sz w:val="20"/>
        </w:rPr>
        <w:t>Section 4 permits processing only for a lawful purpose and only with consent or for a legitimate use. Section 6(1) limits consent to the personal data necessary for the specified purpose, and section 6(2) invalidates consent to the extent it covers anything beyond that — so over-collection does not merely breach a principle, it voids the lawful basis for the excess.</w:t>
      </w:r>
    </w:p>
    <w:p>
      <w:pPr>
        <w:spacing w:before="40" w:after="80"/>
        <w:ind w:left="0"/>
      </w:pPr>
      <w:r>
        <w:rPr>
          <w:rFonts w:ascii="Arial" w:hAnsi="Arial"/>
          <w:b/>
          <w:color w:val="44546A"/>
          <w:sz w:val="17"/>
        </w:rPr>
        <w:t xml:space="preserve">SCOPE QUESTION  </w:t>
      </w:r>
      <w:r>
        <w:rPr>
          <w:rFonts w:ascii="Times New Roman" w:hAnsi="Times New Roman"/>
          <w:sz w:val="20"/>
        </w:rPr>
        <w:t>Is personal data processed only for a lawful purpose, limited to what is necessary, and kept accurate where it drives decisions?</w:t>
      </w:r>
    </w:p>
    <w:p>
      <w:pPr>
        <w:spacing w:before="40" w:after="80"/>
        <w:ind w:left="0"/>
      </w:pPr>
      <w:r>
        <w:rPr>
          <w:rFonts w:ascii="Arial" w:hAnsi="Arial"/>
          <w:b/>
          <w:color w:val="44546A"/>
          <w:sz w:val="17"/>
        </w:rPr>
        <w:t xml:space="preserve">RESULT  </w:t>
      </w:r>
      <w:r>
        <w:rPr>
          <w:rFonts w:ascii="Times New Roman" w:hAnsi="Times New Roman"/>
          <w:sz w:val="20"/>
        </w:rPr>
        <w:t>Domain maturity 49.6% (Developing). 5 controls in scope, 5 assessed, 4 gaps of which 1 attach to critical obligations. Highest residual risk in the domain is 9 of 16.</w:t>
      </w:r>
    </w:p>
    <w:p>
      <w:pPr>
        <w:spacing w:before="40" w:after="120"/>
        <w:pBdr>
          <w:bottom w:val="single" w:sz="6" w:space="1" w:color="BFBFBF"/>
        </w:pBdr>
      </w:pPr>
    </w:p>
    <w:p>
      <w:pPr>
        <w:pStyle w:val="Heading3"/>
        <w:keepNext/>
        <w:spacing w:before="200" w:after="80"/>
      </w:pPr>
      <w:r>
        <w:rPr>
          <w:rFonts w:ascii="Arial" w:hAnsi="Arial"/>
          <w:b/>
          <w:color w:val="1F3552"/>
          <w:sz w:val="22"/>
        </w:rPr>
        <w:t>PUR-01   Every processing activity has an identified lawful basis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WP-020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Personal data may be processed only for a lawful purpose for which the Data Principal has given consent, or for a certain legitimate use. A lawful purpose is one not expressly forbidden by law.</w:t>
      </w:r>
    </w:p>
    <w:p>
      <w:pPr>
        <w:spacing w:before="40" w:after="80"/>
        <w:ind w:left="0"/>
      </w:pPr>
      <w:r>
        <w:rPr>
          <w:rFonts w:ascii="Arial" w:hAnsi="Arial"/>
          <w:b/>
          <w:color w:val="44546A"/>
          <w:sz w:val="17"/>
        </w:rPr>
        <w:t xml:space="preserve">STATUTORY BASIS  </w:t>
      </w:r>
      <w:r>
        <w:rPr>
          <w:rFonts w:ascii="Times New Roman" w:hAnsi="Times New Roman"/>
          <w:sz w:val="20"/>
        </w:rPr>
        <w:t>s.4(1), s.4(2),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basis mapping for completeness; re-perform the determination for a sample of five activities, including at least one marketing and one analytics use.</w:t>
      </w:r>
    </w:p>
    <w:p>
      <w:pPr>
        <w:spacing w:before="40" w:after="80"/>
        <w:ind w:left="0"/>
      </w:pPr>
      <w:r>
        <w:rPr>
          <w:rFonts w:ascii="Arial" w:hAnsi="Arial"/>
          <w:b/>
          <w:color w:val="44546A"/>
          <w:sz w:val="17"/>
        </w:rPr>
        <w:t xml:space="preserve">FINDING  </w:t>
      </w:r>
      <w:r>
        <w:rPr>
          <w:rFonts w:ascii="Times New Roman" w:hAnsi="Times New Roman"/>
          <w:sz w:val="20"/>
        </w:rPr>
        <w:t>A lawful basis is documented for the lending and payments journeys. Four activities have no identified basis: the churn model, marketing enrichment from a third-party data broker, call recording in collections, and the employee monitoring noted at GOV-02. Management's position that these fall within 'legitimate business interest' has no counterpart in the Act, which provides a closed list of legitimate uses.</w:t>
      </w:r>
    </w:p>
    <w:p>
      <w:pPr>
        <w:spacing w:before="40" w:after="80"/>
        <w:ind w:left="0"/>
      </w:pPr>
      <w:r>
        <w:rPr>
          <w:rFonts w:ascii="Arial" w:hAnsi="Arial"/>
          <w:b/>
          <w:color w:val="44546A"/>
          <w:sz w:val="17"/>
        </w:rPr>
        <w:t xml:space="preserve">TARGET STATE  </w:t>
      </w:r>
      <w:r>
        <w:rPr>
          <w:rFonts w:ascii="Times New Roman" w:hAnsi="Times New Roman"/>
          <w:sz w:val="20"/>
        </w:rPr>
        <w:t>Every activity carries a specific, documented and defensible basis citing the exact provision, reviewed on change, with no reliance on grounds the Act does not contain.</w:t>
      </w:r>
    </w:p>
    <w:p>
      <w:pPr>
        <w:spacing w:before="40" w:after="80"/>
        <w:ind w:left="0"/>
      </w:pPr>
      <w:r>
        <w:rPr>
          <w:rFonts w:ascii="Arial" w:hAnsi="Arial"/>
          <w:b/>
          <w:color w:val="44546A"/>
          <w:sz w:val="17"/>
        </w:rPr>
        <w:t xml:space="preserve">TRACKED AS  </w:t>
      </w:r>
      <w:r>
        <w:rPr>
          <w:rFonts w:ascii="Times New Roman" w:hAnsi="Times New Roman"/>
          <w:sz w:val="20"/>
        </w:rPr>
        <w:t>G034 · priority P2 · target date 2026-10-13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PUR-02   Data minimisation — collection limited to what is necessary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WP-021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Consent signifies agreement to processing of only such personal data as is necessary for the specified purpose, and any part of consent that purports to extend beyond that is invalid to that extent.</w:t>
      </w:r>
    </w:p>
    <w:p>
      <w:pPr>
        <w:spacing w:before="40" w:after="80"/>
        <w:ind w:left="0"/>
      </w:pPr>
      <w:r>
        <w:rPr>
          <w:rFonts w:ascii="Arial" w:hAnsi="Arial"/>
          <w:b/>
          <w:color w:val="44546A"/>
          <w:sz w:val="17"/>
        </w:rPr>
        <w:t xml:space="preserve">STATUTORY BASIS  </w:t>
      </w:r>
      <w:r>
        <w:rPr>
          <w:rFonts w:ascii="Times New Roman" w:hAnsi="Times New Roman"/>
          <w:sz w:val="20"/>
        </w:rPr>
        <w:t>s.6(1), s.6(2),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a sample of collection forms and API payloads field by field against stated purposes; test whether mandatory fields are genuinely necessary.</w:t>
      </w:r>
    </w:p>
    <w:p>
      <w:pPr>
        <w:spacing w:before="40" w:after="80"/>
        <w:ind w:left="0"/>
      </w:pPr>
      <w:r>
        <w:rPr>
          <w:rFonts w:ascii="Arial" w:hAnsi="Arial"/>
          <w:b/>
          <w:color w:val="44546A"/>
          <w:sz w:val="17"/>
        </w:rPr>
        <w:t xml:space="preserve">FINDING  </w:t>
      </w:r>
      <w:r>
        <w:rPr>
          <w:rFonts w:ascii="Times New Roman" w:hAnsi="Times New Roman"/>
          <w:sz w:val="20"/>
        </w:rPr>
        <w:t>The onboarding journey collects marital status, education level and employer address for all applicants irrespective of product. Product management confirmed these fields are used only for a subset of underwriting models and could not evidence necessity for the payments-only journey, which represents roughly 60 per cent of registrations.</w:t>
      </w:r>
    </w:p>
    <w:p>
      <w:pPr>
        <w:spacing w:before="40" w:after="80"/>
        <w:ind w:left="0"/>
      </w:pPr>
      <w:r>
        <w:rPr>
          <w:rFonts w:ascii="Arial" w:hAnsi="Arial"/>
          <w:b/>
          <w:color w:val="44546A"/>
          <w:sz w:val="17"/>
        </w:rPr>
        <w:t xml:space="preserve">TARGET STATE  </w:t>
      </w:r>
      <w:r>
        <w:rPr>
          <w:rFonts w:ascii="Times New Roman" w:hAnsi="Times New Roman"/>
          <w:sz w:val="20"/>
        </w:rPr>
        <w:t>Field-level necessity is documented and periodically re-tested, optional fields are clearly distinguished, and there is evidence of fields having actually been removed as unnecessary.</w:t>
      </w:r>
    </w:p>
    <w:p>
      <w:pPr>
        <w:spacing w:before="40" w:after="80"/>
        <w:ind w:left="0"/>
      </w:pPr>
      <w:r>
        <w:rPr>
          <w:rFonts w:ascii="Arial" w:hAnsi="Arial"/>
          <w:b/>
          <w:color w:val="44546A"/>
          <w:sz w:val="17"/>
        </w:rPr>
        <w:t xml:space="preserve">TRACKED AS  </w:t>
      </w:r>
      <w:r>
        <w:rPr>
          <w:rFonts w:ascii="Times New Roman" w:hAnsi="Times New Roman"/>
          <w:sz w:val="20"/>
        </w:rPr>
        <w:t>G046 · priority P3 · target date 2026-11-12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PUR-03   Purpose limitation — no undisclosed secondary use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WP-022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Processing must be for the specified purpose for which consent was given. Personal data may not be repurposed for materially different uses without a fresh lawful basis.</w:t>
      </w:r>
    </w:p>
    <w:p>
      <w:pPr>
        <w:spacing w:before="40" w:after="80"/>
        <w:ind w:left="0"/>
      </w:pPr>
      <w:r>
        <w:rPr>
          <w:rFonts w:ascii="Arial" w:hAnsi="Arial"/>
          <w:b/>
          <w:color w:val="44546A"/>
          <w:sz w:val="17"/>
        </w:rPr>
        <w:t xml:space="preserve">STATUTORY BASIS  </w:t>
      </w:r>
      <w:r>
        <w:rPr>
          <w:rFonts w:ascii="Times New Roman" w:hAnsi="Times New Roman"/>
          <w:sz w:val="20"/>
        </w:rPr>
        <w:t>s.4(1), s.5(1), s.6(1),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data flows from primary systems into analytics, marketing and machine-learning environments; test each against the notice given at collection.</w:t>
      </w:r>
    </w:p>
    <w:p>
      <w:pPr>
        <w:spacing w:before="40" w:after="80"/>
        <w:ind w:left="0"/>
      </w:pPr>
      <w:r>
        <w:rPr>
          <w:rFonts w:ascii="Arial" w:hAnsi="Arial"/>
          <w:b/>
          <w:color w:val="44546A"/>
          <w:sz w:val="17"/>
        </w:rPr>
        <w:t xml:space="preserve">FINDING  </w:t>
      </w:r>
      <w:r>
        <w:rPr>
          <w:rFonts w:ascii="Times New Roman" w:hAnsi="Times New Roman"/>
          <w:sz w:val="20"/>
        </w:rPr>
        <w:t>Transaction data collected for payments processing is used to build propensity segments that are pushed to Meta and Google for acquisition campaigns. The notice presented at registration does not disclose advertising as a purpose. This is undisclosed secondary use of data obtained for a different specified purpose.</w:t>
      </w:r>
    </w:p>
    <w:p>
      <w:pPr>
        <w:spacing w:before="40" w:after="80"/>
        <w:ind w:left="0"/>
      </w:pPr>
      <w:r>
        <w:rPr>
          <w:rFonts w:ascii="Arial" w:hAnsi="Arial"/>
          <w:b/>
          <w:color w:val="44546A"/>
          <w:sz w:val="17"/>
        </w:rPr>
        <w:t xml:space="preserve">TARGET STATE  </w:t>
      </w:r>
      <w:r>
        <w:rPr>
          <w:rFonts w:ascii="Times New Roman" w:hAnsi="Times New Roman"/>
          <w:sz w:val="20"/>
        </w:rPr>
        <w:t>Secondary use is gated by documented compatibility assessment, technically constrained where possible, and fresh notice and consent are obtained for materially new purposes with evidence of the gate having been enforced.</w:t>
      </w:r>
    </w:p>
    <w:p>
      <w:pPr>
        <w:spacing w:before="40" w:after="80"/>
        <w:ind w:left="0"/>
      </w:pPr>
      <w:r>
        <w:rPr>
          <w:rFonts w:ascii="Arial" w:hAnsi="Arial"/>
          <w:b/>
          <w:color w:val="44546A"/>
          <w:sz w:val="17"/>
        </w:rPr>
        <w:t xml:space="preserve">TRACKED AS  </w:t>
      </w:r>
      <w:r>
        <w:rPr>
          <w:rFonts w:ascii="Times New Roman" w:hAnsi="Times New Roman"/>
          <w:sz w:val="20"/>
        </w:rPr>
        <w:t>G018 · priority P2 · target date 2026-10-13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PUR-04   Accuracy and completeness where data drives decisions or is shared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WP-023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Where personal data is likely to be used to make a decision affecting the Data Principal, or is likely to be disclosed to another Data Fiduciary, the Data Fiduciary must ensure it is complete, accurate and consistent.</w:t>
      </w:r>
    </w:p>
    <w:p>
      <w:pPr>
        <w:spacing w:before="40" w:after="80"/>
        <w:ind w:left="0"/>
      </w:pPr>
      <w:r>
        <w:rPr>
          <w:rFonts w:ascii="Arial" w:hAnsi="Arial"/>
          <w:b/>
          <w:color w:val="44546A"/>
          <w:sz w:val="17"/>
        </w:rPr>
        <w:t xml:space="preserve">STATUTORY BASIS  </w:t>
      </w:r>
      <w:r>
        <w:rPr>
          <w:rFonts w:ascii="Times New Roman" w:hAnsi="Times New Roman"/>
          <w:sz w:val="20"/>
        </w:rPr>
        <w:t>s.8(3),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inventory of decisioning and disclosure flows; test accuracy controls including validation, reconciliation and correction propagation in a sample flow.</w:t>
      </w:r>
    </w:p>
    <w:p>
      <w:pPr>
        <w:spacing w:before="40" w:after="80"/>
        <w:ind w:left="0"/>
      </w:pPr>
      <w:r>
        <w:rPr>
          <w:rFonts w:ascii="Arial" w:hAnsi="Arial"/>
          <w:b/>
          <w:color w:val="44546A"/>
          <w:sz w:val="17"/>
        </w:rPr>
        <w:t xml:space="preserve">FINDING  </w:t>
      </w:r>
      <w:r>
        <w:rPr>
          <w:rFonts w:ascii="Times New Roman" w:hAnsi="Times New Roman"/>
          <w:sz w:val="20"/>
        </w:rPr>
        <w:t>Bureau and KYC data feeding underwriting is refreshed at decision time and a correction workflow exists in Kavach CRM. Corrections applied in CRM do not propagate to the Snowflake warehouse, so models and collections lists may run on superseded data for up to 30 days.</w:t>
      </w:r>
    </w:p>
    <w:p>
      <w:pPr>
        <w:spacing w:before="80" w:after="120"/>
        <w:pBdr>
          <w:bottom w:val="single" w:sz="6" w:space="1" w:color="BFBFBF"/>
        </w:pBdr>
      </w:pPr>
    </w:p>
    <w:p>
      <w:pPr>
        <w:pStyle w:val="Heading3"/>
        <w:keepNext/>
        <w:spacing w:before="200" w:after="80"/>
      </w:pPr>
      <w:r>
        <w:rPr>
          <w:rFonts w:ascii="Arial" w:hAnsi="Arial"/>
          <w:b/>
          <w:color w:val="1F3552"/>
          <w:sz w:val="22"/>
        </w:rPr>
        <w:t>PUR-05   Privacy considered at design stage for new processing</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WP-024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Appropriate technical and organisational measures under section 8(4) require that new products, features and vendor engagements are assessed for compliance before personal data is processed, not after.</w:t>
      </w:r>
    </w:p>
    <w:p>
      <w:pPr>
        <w:spacing w:before="40" w:after="80"/>
        <w:ind w:left="0"/>
      </w:pPr>
      <w:r>
        <w:rPr>
          <w:rFonts w:ascii="Arial" w:hAnsi="Arial"/>
          <w:b/>
          <w:color w:val="44546A"/>
          <w:sz w:val="17"/>
        </w:rPr>
        <w:t xml:space="preserve">STATUTORY BASIS  </w:t>
      </w:r>
      <w:r>
        <w:rPr>
          <w:rFonts w:ascii="Times New Roman" w:hAnsi="Times New Roman"/>
          <w:sz w:val="20"/>
        </w:rPr>
        <w:t>s.8(4), DPDP Act, 2023</w:t>
      </w:r>
    </w:p>
    <w:p>
      <w:pPr>
        <w:spacing w:before="40" w:after="80"/>
        <w:ind w:left="0"/>
      </w:pPr>
      <w:r>
        <w:rPr>
          <w:rFonts w:ascii="Arial" w:hAnsi="Arial"/>
          <w:b/>
          <w:color w:val="44546A"/>
          <w:sz w:val="17"/>
        </w:rPr>
        <w:t xml:space="preserve">TESTED BY  </w:t>
      </w:r>
      <w:r>
        <w:rPr>
          <w:rFonts w:ascii="Times New Roman" w:hAnsi="Times New Roman"/>
          <w:sz w:val="20"/>
        </w:rPr>
        <w:t>Inspect the gate definition and completed assessments; test a sample of recent launches for whether the gate was applied before go-live.</w:t>
      </w:r>
    </w:p>
    <w:p>
      <w:pPr>
        <w:spacing w:before="40" w:after="80"/>
        <w:ind w:left="0"/>
      </w:pPr>
      <w:r>
        <w:rPr>
          <w:rFonts w:ascii="Arial" w:hAnsi="Arial"/>
          <w:b/>
          <w:color w:val="44546A"/>
          <w:sz w:val="17"/>
        </w:rPr>
        <w:t xml:space="preserve">FINDING  </w:t>
      </w:r>
      <w:r>
        <w:rPr>
          <w:rFonts w:ascii="Times New Roman" w:hAnsi="Times New Roman"/>
          <w:sz w:val="20"/>
        </w:rPr>
        <w:t>A privacy review is a documented gate in the product development lifecycle but is discretionary in practice. Of the 11 features released in the period, three carried a completed review. Kavach Junior, the highest-risk launch in the period, went live without one.</w:t>
      </w:r>
    </w:p>
    <w:p>
      <w:pPr>
        <w:spacing w:before="40" w:after="80"/>
        <w:ind w:left="0"/>
      </w:pPr>
      <w:r>
        <w:rPr>
          <w:rFonts w:ascii="Arial" w:hAnsi="Arial"/>
          <w:b/>
          <w:color w:val="44546A"/>
          <w:sz w:val="17"/>
        </w:rPr>
        <w:t xml:space="preserve">TARGET STATE  </w:t>
      </w:r>
      <w:r>
        <w:rPr>
          <w:rFonts w:ascii="Times New Roman" w:hAnsi="Times New Roman"/>
          <w:sz w:val="20"/>
        </w:rPr>
        <w:t>The gate is embedded and enforced before go-live, with completed assessments predating launch and evidence of launches having been changed or blocked on privacy grounds.</w:t>
      </w:r>
    </w:p>
    <w:p>
      <w:pPr>
        <w:spacing w:before="40" w:after="80"/>
        <w:ind w:left="0"/>
      </w:pPr>
      <w:r>
        <w:rPr>
          <w:rFonts w:ascii="Arial" w:hAnsi="Arial"/>
          <w:b/>
          <w:color w:val="44546A"/>
          <w:sz w:val="17"/>
        </w:rPr>
        <w:t xml:space="preserve">TRACKED AS  </w:t>
      </w:r>
      <w:r>
        <w:rPr>
          <w:rFonts w:ascii="Times New Roman" w:hAnsi="Times New Roman"/>
          <w:sz w:val="20"/>
        </w:rPr>
        <w:t>G057 · priority P3 · target date 2026-11-12 · owner Rohit Menon, Head of Product</w:t>
      </w:r>
    </w:p>
    <w:p>
      <w:pPr>
        <w:spacing w:before="80" w:after="120"/>
        <w:pBdr>
          <w:bottom w:val="single" w:sz="6" w:space="1" w:color="BFBFBF"/>
        </w:pBdr>
      </w:pPr>
    </w:p>
    <w:p>
      <w:pPr>
        <w:pStyle w:val="Heading2"/>
        <w:keepNext/>
        <w:spacing w:before="280" w:after="120"/>
      </w:pPr>
      <w:r>
        <w:rPr>
          <w:rFonts w:ascii="Arial" w:hAnsi="Arial"/>
          <w:b/>
          <w:color w:val="1F3552"/>
          <w:sz w:val="26"/>
        </w:rPr>
        <w:t>4.4  NOT — Notice</w:t>
      </w:r>
    </w:p>
    <w:p>
      <w:pPr>
        <w:spacing w:before="0" w:after="120"/>
        <w:jc w:val="both"/>
      </w:pPr>
      <w:r>
        <w:rPr>
          <w:rFonts w:ascii="Times New Roman" w:hAnsi="Times New Roman"/>
          <w:b w:val="0"/>
          <w:i/>
          <w:color w:val="44546A"/>
          <w:sz w:val="20"/>
        </w:rPr>
        <w:t>Notice is the mechanism by which consent becomes informed. A defective notice therefore undermines the validity of the consent obtained on the back of it, converting a transparency failure into a lawful-basis failure.</w:t>
      </w:r>
    </w:p>
    <w:p>
      <w:pPr>
        <w:spacing w:before="40" w:after="80"/>
        <w:ind w:left="0"/>
      </w:pPr>
      <w:r>
        <w:rPr>
          <w:rFonts w:ascii="Arial" w:hAnsi="Arial"/>
          <w:b/>
          <w:color w:val="44546A"/>
          <w:sz w:val="17"/>
        </w:rPr>
        <w:t xml:space="preserve">SCOPE QUESTION  </w:t>
      </w:r>
      <w:r>
        <w:rPr>
          <w:rFonts w:ascii="Times New Roman" w:hAnsi="Times New Roman"/>
          <w:sz w:val="20"/>
        </w:rPr>
        <w:t>Is a compliant notice given with or before every consent request, and was retrospective notice given for pre-commencement consent?</w:t>
      </w:r>
    </w:p>
    <w:p>
      <w:pPr>
        <w:spacing w:before="40" w:after="80"/>
        <w:ind w:left="0"/>
      </w:pPr>
      <w:r>
        <w:rPr>
          <w:rFonts w:ascii="Arial" w:hAnsi="Arial"/>
          <w:b/>
          <w:color w:val="44546A"/>
          <w:sz w:val="17"/>
        </w:rPr>
        <w:t xml:space="preserve">RESULT  </w:t>
      </w:r>
      <w:r>
        <w:rPr>
          <w:rFonts w:ascii="Times New Roman" w:hAnsi="Times New Roman"/>
          <w:sz w:val="20"/>
        </w:rPr>
        <w:t>Domain maturity 36.4% (Initial). 5 controls in scope, 5 assessed, 4 gaps of which 1 attach to critical obligations. Highest residual risk in the domain is 12 of 16.</w:t>
      </w:r>
    </w:p>
    <w:p>
      <w:pPr>
        <w:spacing w:before="40" w:after="120"/>
        <w:pBdr>
          <w:bottom w:val="single" w:sz="6" w:space="1" w:color="BFBFBF"/>
        </w:pBdr>
      </w:pPr>
    </w:p>
    <w:p>
      <w:pPr>
        <w:pStyle w:val="Heading3"/>
        <w:keepNext/>
        <w:spacing w:before="200" w:after="80"/>
      </w:pPr>
      <w:r>
        <w:rPr>
          <w:rFonts w:ascii="Arial" w:hAnsi="Arial"/>
          <w:b/>
          <w:color w:val="1F3552"/>
          <w:sz w:val="22"/>
        </w:rPr>
        <w:t>NOT-01   Notice accompanies or precedes every consent request</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WP-030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Every request for consent must be accompanied or preceded by a notice informing the Data Principal of the personal data to be processed and the purpose of processing.</w:t>
      </w:r>
    </w:p>
    <w:p>
      <w:pPr>
        <w:spacing w:before="40" w:after="80"/>
        <w:ind w:left="0"/>
      </w:pPr>
      <w:r>
        <w:rPr>
          <w:rFonts w:ascii="Arial" w:hAnsi="Arial"/>
          <w:b/>
          <w:color w:val="44546A"/>
          <w:sz w:val="17"/>
        </w:rPr>
        <w:t xml:space="preserve">STATUTORY BASIS  </w:t>
      </w:r>
      <w:r>
        <w:rPr>
          <w:rFonts w:ascii="Times New Roman" w:hAnsi="Times New Roman"/>
          <w:sz w:val="20"/>
        </w:rPr>
        <w:t>s.5(1)(i),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Observation: walk every consent journey — web, app, offline, telephonic, partner-led — and record what is presented at the moment of consent.</w:t>
      </w:r>
    </w:p>
    <w:p>
      <w:pPr>
        <w:spacing w:before="40" w:after="80"/>
        <w:ind w:left="0"/>
      </w:pPr>
      <w:r>
        <w:rPr>
          <w:rFonts w:ascii="Arial" w:hAnsi="Arial"/>
          <w:b/>
          <w:color w:val="44546A"/>
          <w:sz w:val="17"/>
        </w:rPr>
        <w:t xml:space="preserve">FINDING  </w:t>
      </w:r>
      <w:r>
        <w:rPr>
          <w:rFonts w:ascii="Times New Roman" w:hAnsi="Times New Roman"/>
          <w:sz w:val="20"/>
        </w:rPr>
        <w:t>The registration journey presents a notice screen before the consent action on the mobile application. In the web journey and in the assisted onboarding flow used by field agents, the notice is presented as a hyperlink beside a pre-ticked declaration, so it neither accompanies nor precedes the consent in any meaningful sense.</w:t>
      </w:r>
    </w:p>
    <w:p>
      <w:pPr>
        <w:spacing w:before="80" w:after="120"/>
        <w:pBdr>
          <w:bottom w:val="single" w:sz="6" w:space="1" w:color="BFBFBF"/>
        </w:pBdr>
      </w:pPr>
    </w:p>
    <w:p>
      <w:pPr>
        <w:pStyle w:val="Heading3"/>
        <w:keepNext/>
        <w:spacing w:before="200" w:after="80"/>
      </w:pPr>
      <w:r>
        <w:rPr>
          <w:rFonts w:ascii="Arial" w:hAnsi="Arial"/>
          <w:b/>
          <w:color w:val="1F3552"/>
          <w:sz w:val="22"/>
        </w:rPr>
        <w:t>NOT-02   Notice content — itemised data and specified purpose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WP-031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notice must inform the Data Principal of the personal data proposed to be processed and the purpose of such processing.</w:t>
      </w:r>
    </w:p>
    <w:p>
      <w:pPr>
        <w:spacing w:before="40" w:after="80"/>
        <w:ind w:left="0"/>
      </w:pPr>
      <w:r>
        <w:rPr>
          <w:rFonts w:ascii="Arial" w:hAnsi="Arial"/>
          <w:b/>
          <w:color w:val="44546A"/>
          <w:sz w:val="17"/>
        </w:rPr>
        <w:t xml:space="preserve">STATUTORY BASIS  </w:t>
      </w:r>
      <w:r>
        <w:rPr>
          <w:rFonts w:ascii="Times New Roman" w:hAnsi="Times New Roman"/>
          <w:sz w:val="20"/>
        </w:rPr>
        <w:t>s.5(1)(i),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notice text against the processing register; test whether every category and purpose in the register appears in the notice and vice versa.</w:t>
      </w:r>
    </w:p>
    <w:p>
      <w:pPr>
        <w:spacing w:before="40" w:after="80"/>
        <w:ind w:left="0"/>
      </w:pPr>
      <w:r>
        <w:rPr>
          <w:rFonts w:ascii="Arial" w:hAnsi="Arial"/>
          <w:b/>
          <w:color w:val="44546A"/>
          <w:sz w:val="17"/>
        </w:rPr>
        <w:t xml:space="preserve">FINDING  </w:t>
      </w:r>
      <w:r>
        <w:rPr>
          <w:rFonts w:ascii="Times New Roman" w:hAnsi="Times New Roman"/>
          <w:sz w:val="20"/>
        </w:rPr>
        <w:t>The notice describes the data collected in categories such as 'identity and contact information' and 'usage data' and states purposes as 'to provide and improve our services'. It is neither an itemised description of the personal data nor a specified purpose. The notice also omits the account aggregator data received through the Consent Manager entirely.</w:t>
      </w:r>
    </w:p>
    <w:p>
      <w:pPr>
        <w:spacing w:before="40" w:after="80"/>
        <w:ind w:left="0"/>
      </w:pPr>
      <w:r>
        <w:rPr>
          <w:rFonts w:ascii="Arial" w:hAnsi="Arial"/>
          <w:b/>
          <w:color w:val="44546A"/>
          <w:sz w:val="17"/>
        </w:rPr>
        <w:t xml:space="preserve">TARGET STATE  </w:t>
      </w:r>
      <w:r>
        <w:rPr>
          <w:rFonts w:ascii="Times New Roman" w:hAnsi="Times New Roman"/>
          <w:sz w:val="20"/>
        </w:rPr>
        <w:t>Notice itemises data categories and states each purpose specifically, reconciles to the register in both directions, and is updated when processing changes.</w:t>
      </w:r>
    </w:p>
    <w:p>
      <w:pPr>
        <w:spacing w:before="40" w:after="80"/>
        <w:ind w:left="0"/>
      </w:pPr>
      <w:r>
        <w:rPr>
          <w:rFonts w:ascii="Arial" w:hAnsi="Arial"/>
          <w:b/>
          <w:color w:val="44546A"/>
          <w:sz w:val="17"/>
        </w:rPr>
        <w:t xml:space="preserve">TRACKED AS  </w:t>
      </w:r>
      <w:r>
        <w:rPr>
          <w:rFonts w:ascii="Times New Roman" w:hAnsi="Times New Roman"/>
          <w:sz w:val="20"/>
        </w:rPr>
        <w:t>G007 · priority P1 · target date 2026-09-13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NOT-03   Notice explains rights and the route to the Board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WP-032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notice must inform the Data Principal of the manner in which they may exercise their rights to withdraw consent and to grievance redressal, and of the manner in which a complaint may be made to the Data Protection Board.</w:t>
      </w:r>
    </w:p>
    <w:p>
      <w:pPr>
        <w:spacing w:before="40" w:after="80"/>
        <w:ind w:left="0"/>
      </w:pPr>
      <w:r>
        <w:rPr>
          <w:rFonts w:ascii="Arial" w:hAnsi="Arial"/>
          <w:b/>
          <w:color w:val="44546A"/>
          <w:sz w:val="17"/>
        </w:rPr>
        <w:t xml:space="preserve">STATUTORY BASIS  </w:t>
      </w:r>
      <w:r>
        <w:rPr>
          <w:rFonts w:ascii="Times New Roman" w:hAnsi="Times New Roman"/>
          <w:sz w:val="20"/>
        </w:rPr>
        <w:t>s.5(1)(ii), s.5(1)(iii),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notice text for each of the three disclosures; test that the mechanisms described actually work as stated.</w:t>
      </w:r>
    </w:p>
    <w:p>
      <w:pPr>
        <w:spacing w:before="40" w:after="80"/>
        <w:ind w:left="0"/>
      </w:pPr>
      <w:r>
        <w:rPr>
          <w:rFonts w:ascii="Arial" w:hAnsi="Arial"/>
          <w:b/>
          <w:color w:val="44546A"/>
          <w:sz w:val="17"/>
        </w:rPr>
        <w:t xml:space="preserve">FINDING  </w:t>
      </w:r>
      <w:r>
        <w:rPr>
          <w:rFonts w:ascii="Times New Roman" w:hAnsi="Times New Roman"/>
          <w:sz w:val="20"/>
        </w:rPr>
        <w:t>The notice explains the access and correction rights and links to the grievance form. It does not explain the right to withdraw consent, the right to nominate, or the manner in which a Data Principal may make a complaint to the Data Protection Board.</w:t>
      </w:r>
    </w:p>
    <w:p>
      <w:pPr>
        <w:spacing w:before="40" w:after="80"/>
        <w:ind w:left="0"/>
      </w:pPr>
      <w:r>
        <w:rPr>
          <w:rFonts w:ascii="Arial" w:hAnsi="Arial"/>
          <w:b/>
          <w:color w:val="44546A"/>
          <w:sz w:val="17"/>
        </w:rPr>
        <w:t xml:space="preserve">TARGET STATE  </w:t>
      </w:r>
      <w:r>
        <w:rPr>
          <w:rFonts w:ascii="Times New Roman" w:hAnsi="Times New Roman"/>
          <w:sz w:val="20"/>
        </w:rPr>
        <w:t>All three are disclosed with operative, tested routes, and the notice correctly explains the sequencing of grievance redressal before approach to the Board.</w:t>
      </w:r>
    </w:p>
    <w:p>
      <w:pPr>
        <w:spacing w:before="40" w:after="80"/>
        <w:ind w:left="0"/>
      </w:pPr>
      <w:r>
        <w:rPr>
          <w:rFonts w:ascii="Arial" w:hAnsi="Arial"/>
          <w:b/>
          <w:color w:val="44546A"/>
          <w:sz w:val="17"/>
        </w:rPr>
        <w:t xml:space="preserve">TRACKED AS  </w:t>
      </w:r>
      <w:r>
        <w:rPr>
          <w:rFonts w:ascii="Times New Roman" w:hAnsi="Times New Roman"/>
          <w:sz w:val="20"/>
        </w:rPr>
        <w:t>G043 · priority P3 · target date 2026-11-12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NOT-04   Notice available in English and Eighth Schedule languages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WP-033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Data Principal must be given the option to access the notice in English or any language specified in the Eighth Schedule to the Constitution of India.</w:t>
      </w:r>
    </w:p>
    <w:p>
      <w:pPr>
        <w:spacing w:before="40" w:after="80"/>
        <w:ind w:left="0"/>
      </w:pPr>
      <w:r>
        <w:rPr>
          <w:rFonts w:ascii="Arial" w:hAnsi="Arial"/>
          <w:b/>
          <w:color w:val="44546A"/>
          <w:sz w:val="17"/>
        </w:rPr>
        <w:t xml:space="preserve">STATUTORY BASIS  </w:t>
      </w:r>
      <w:r>
        <w:rPr>
          <w:rFonts w:ascii="Times New Roman" w:hAnsi="Times New Roman"/>
          <w:sz w:val="20"/>
        </w:rPr>
        <w:t>s.5(3),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Observation: locate and exercise the language option on each surface; inspect translation provenance and review process.</w:t>
      </w:r>
    </w:p>
    <w:p>
      <w:pPr>
        <w:spacing w:before="40" w:after="80"/>
        <w:ind w:left="0"/>
      </w:pPr>
      <w:r>
        <w:rPr>
          <w:rFonts w:ascii="Arial" w:hAnsi="Arial"/>
          <w:b/>
          <w:color w:val="44546A"/>
          <w:sz w:val="17"/>
        </w:rPr>
        <w:t xml:space="preserve">FINDING  </w:t>
      </w:r>
      <w:r>
        <w:rPr>
          <w:rFonts w:ascii="Times New Roman" w:hAnsi="Times New Roman"/>
          <w:sz w:val="20"/>
        </w:rPr>
        <w:t>Notice and consent screens are available in English and Hindi only. The entity's own registration data shows material user populations in Tamil, Telugu, Marathi, Bengali and Kannada. No language other than English and Hindi is offered, and no request mechanism exists for the remaining Eighth Schedule languages.</w:t>
      </w:r>
    </w:p>
    <w:p>
      <w:pPr>
        <w:spacing w:before="40" w:after="80"/>
        <w:ind w:left="0"/>
      </w:pPr>
      <w:r>
        <w:rPr>
          <w:rFonts w:ascii="Arial" w:hAnsi="Arial"/>
          <w:b/>
          <w:color w:val="44546A"/>
          <w:sz w:val="17"/>
        </w:rPr>
        <w:t xml:space="preserve">TARGET STATE  </w:t>
      </w:r>
      <w:r>
        <w:rPr>
          <w:rFonts w:ascii="Times New Roman" w:hAnsi="Times New Roman"/>
          <w:sz w:val="20"/>
        </w:rPr>
        <w:t>The option is genuinely available and discoverable across surfaces, translations are reviewed for legal accuracy, and version control keeps every language aligned when the notice changes.</w:t>
      </w:r>
    </w:p>
    <w:p>
      <w:pPr>
        <w:spacing w:before="40" w:after="80"/>
        <w:ind w:left="0"/>
      </w:pPr>
      <w:r>
        <w:rPr>
          <w:rFonts w:ascii="Arial" w:hAnsi="Arial"/>
          <w:b/>
          <w:color w:val="44546A"/>
          <w:sz w:val="17"/>
        </w:rPr>
        <w:t xml:space="preserve">TRACKED AS  </w:t>
      </w:r>
      <w:r>
        <w:rPr>
          <w:rFonts w:ascii="Times New Roman" w:hAnsi="Times New Roman"/>
          <w:sz w:val="20"/>
        </w:rPr>
        <w:t>G052 · priority P3 · target date 2026-11-12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NOT-05   Retrospective notice for pre-commencement consent</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0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WP-034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Where personal data is processed on the basis of consent given before the commencement of the Act, the Data Fiduciary must, as soon as reasonably practicable, give the Data Principal a notice compliant with the Act's requirements. Processing may continue until consent is withdrawn.</w:t>
      </w:r>
    </w:p>
    <w:p>
      <w:pPr>
        <w:spacing w:before="40" w:after="80"/>
        <w:ind w:left="0"/>
      </w:pPr>
      <w:r>
        <w:rPr>
          <w:rFonts w:ascii="Arial" w:hAnsi="Arial"/>
          <w:b/>
          <w:color w:val="44546A"/>
          <w:sz w:val="17"/>
        </w:rPr>
        <w:t xml:space="preserve">STATUTORY BASIS  </w:t>
      </w:r>
      <w:r>
        <w:rPr>
          <w:rFonts w:ascii="Times New Roman" w:hAnsi="Times New Roman"/>
          <w:sz w:val="20"/>
        </w:rPr>
        <w:t>s.5(2),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identified population and despatch evidence; test a sample of records for whether notice was in fact issued and what followed.</w:t>
      </w:r>
    </w:p>
    <w:p>
      <w:pPr>
        <w:spacing w:before="40" w:after="80"/>
        <w:ind w:left="0"/>
      </w:pPr>
      <w:r>
        <w:rPr>
          <w:rFonts w:ascii="Arial" w:hAnsi="Arial"/>
          <w:b/>
          <w:color w:val="44546A"/>
          <w:sz w:val="17"/>
        </w:rPr>
        <w:t xml:space="preserve">FINDING  </w:t>
      </w:r>
      <w:r>
        <w:rPr>
          <w:rFonts w:ascii="Times New Roman" w:hAnsi="Times New Roman"/>
          <w:sz w:val="20"/>
        </w:rPr>
        <w:t>Approximately 9.4 million Data Principals onboarded before the current notice version have not been given a retrospective notice. Management was aware of the requirement and has scoped a campaign but has not set a date, citing concern about attrition and support volume. No compensating action has been taken.</w:t>
      </w:r>
    </w:p>
    <w:p>
      <w:pPr>
        <w:spacing w:before="40" w:after="80"/>
        <w:ind w:left="0"/>
      </w:pPr>
      <w:r>
        <w:rPr>
          <w:rFonts w:ascii="Arial" w:hAnsi="Arial"/>
          <w:b/>
          <w:color w:val="44546A"/>
          <w:sz w:val="17"/>
        </w:rPr>
        <w:t xml:space="preserve">TARGET STATE  </w:t>
      </w:r>
      <w:r>
        <w:rPr>
          <w:rFonts w:ascii="Times New Roman" w:hAnsi="Times New Roman"/>
          <w:sz w:val="20"/>
        </w:rPr>
        <w:t>The full population is identified, compliant notice is evidenced as despatched, coverage gaps are documented with rationale, and resulting withdrawals were processed and evidenced.</w:t>
      </w:r>
    </w:p>
    <w:p>
      <w:pPr>
        <w:spacing w:before="40" w:after="80"/>
        <w:ind w:left="0"/>
      </w:pPr>
      <w:r>
        <w:rPr>
          <w:rFonts w:ascii="Arial" w:hAnsi="Arial"/>
          <w:b/>
          <w:color w:val="44546A"/>
          <w:sz w:val="17"/>
        </w:rPr>
        <w:t xml:space="preserve">TRACKED AS  </w:t>
      </w:r>
      <w:r>
        <w:rPr>
          <w:rFonts w:ascii="Times New Roman" w:hAnsi="Times New Roman"/>
          <w:sz w:val="20"/>
        </w:rPr>
        <w:t>G012 · priority P1 · target date 2026-09-13 · owner Meera Raghunathan, Head of Legal &amp; Compliance</w:t>
      </w:r>
    </w:p>
    <w:p>
      <w:pPr>
        <w:spacing w:before="80" w:after="120"/>
        <w:pBdr>
          <w:bottom w:val="single" w:sz="6" w:space="1" w:color="BFBFBF"/>
        </w:pBdr>
      </w:pPr>
    </w:p>
    <w:p>
      <w:pPr>
        <w:pStyle w:val="Heading2"/>
        <w:keepNext/>
        <w:spacing w:before="280" w:after="120"/>
      </w:pPr>
      <w:r>
        <w:rPr>
          <w:rFonts w:ascii="Arial" w:hAnsi="Arial"/>
          <w:b/>
          <w:color w:val="1F3552"/>
          <w:sz w:val="26"/>
        </w:rPr>
        <w:t>4.5  CON — Consent</w:t>
      </w:r>
    </w:p>
    <w:p>
      <w:pPr>
        <w:spacing w:before="0" w:after="120"/>
        <w:jc w:val="both"/>
      </w:pPr>
      <w:r>
        <w:rPr>
          <w:rFonts w:ascii="Times New Roman" w:hAnsi="Times New Roman"/>
          <w:b w:val="0"/>
          <w:i/>
          <w:color w:val="44546A"/>
          <w:sz w:val="20"/>
        </w:rPr>
        <w:t>Consent is the principal lawful basis under the Act and the one most commonly implemented defectively: bundled, pre-ticked, conditioned on service, or withdrawable only by writing to an inbox. Section 6(10) puts the burden of proof on the Data Fiduciary, which makes the consent artefact — not the consent policy — the audited object.</w:t>
      </w:r>
    </w:p>
    <w:p>
      <w:pPr>
        <w:spacing w:before="40" w:after="80"/>
        <w:ind w:left="0"/>
      </w:pPr>
      <w:r>
        <w:rPr>
          <w:rFonts w:ascii="Arial" w:hAnsi="Arial"/>
          <w:b/>
          <w:color w:val="44546A"/>
          <w:sz w:val="17"/>
        </w:rPr>
        <w:t xml:space="preserve">SCOPE QUESTION  </w:t>
      </w:r>
      <w:r>
        <w:rPr>
          <w:rFonts w:ascii="Times New Roman" w:hAnsi="Times New Roman"/>
          <w:sz w:val="20"/>
        </w:rPr>
        <w:t>Is consent free, specific, informed, unconditional and unambiguous, with a genuine and equally easy withdrawal path — and can the entity prove it?</w:t>
      </w:r>
    </w:p>
    <w:p>
      <w:pPr>
        <w:spacing w:before="40" w:after="80"/>
        <w:ind w:left="0"/>
      </w:pPr>
      <w:r>
        <w:rPr>
          <w:rFonts w:ascii="Arial" w:hAnsi="Arial"/>
          <w:b/>
          <w:color w:val="44546A"/>
          <w:sz w:val="17"/>
        </w:rPr>
        <w:t xml:space="preserve">RESULT  </w:t>
      </w:r>
      <w:r>
        <w:rPr>
          <w:rFonts w:ascii="Times New Roman" w:hAnsi="Times New Roman"/>
          <w:sz w:val="20"/>
        </w:rPr>
        <w:t>Domain maturity 39.8% (Initial). 8 controls in scope, 8 assessed, 7 gaps of which 5 attach to critical obligations. Highest residual risk in the domain is 12 of 16.</w:t>
      </w:r>
    </w:p>
    <w:p>
      <w:pPr>
        <w:spacing w:before="40" w:after="120"/>
        <w:pBdr>
          <w:bottom w:val="single" w:sz="6" w:space="1" w:color="BFBFBF"/>
        </w:pBdr>
      </w:pPr>
    </w:p>
    <w:p>
      <w:pPr>
        <w:pStyle w:val="Heading3"/>
        <w:keepNext/>
        <w:spacing w:before="200" w:after="80"/>
      </w:pPr>
      <w:r>
        <w:rPr>
          <w:rFonts w:ascii="Arial" w:hAnsi="Arial"/>
          <w:b/>
          <w:color w:val="1F3552"/>
          <w:sz w:val="22"/>
        </w:rPr>
        <w:t>CON-01   Consent is free, specific, informed, unconditional and unambiguous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WP-040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Consent must be free, specific, informed, unconditional and unambiguous with a clear affirmative action, signifying agreement to processing of the personal data for the specified purpose.</w:t>
      </w:r>
    </w:p>
    <w:p>
      <w:pPr>
        <w:spacing w:before="40" w:after="80"/>
        <w:ind w:left="0"/>
      </w:pPr>
      <w:r>
        <w:rPr>
          <w:rFonts w:ascii="Arial" w:hAnsi="Arial"/>
          <w:b/>
          <w:color w:val="44546A"/>
          <w:sz w:val="17"/>
        </w:rPr>
        <w:t xml:space="preserve">STATUTORY BASIS  </w:t>
      </w:r>
      <w:r>
        <w:rPr>
          <w:rFonts w:ascii="Times New Roman" w:hAnsi="Times New Roman"/>
          <w:sz w:val="20"/>
        </w:rPr>
        <w:t>s.6(1),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Observation and re-performance: complete each consent journey and record the mechanism; inspect the stored artefact to confirm it reflects an affirmative act.</w:t>
      </w:r>
    </w:p>
    <w:p>
      <w:pPr>
        <w:spacing w:before="40" w:after="80"/>
        <w:ind w:left="0"/>
      </w:pPr>
      <w:r>
        <w:rPr>
          <w:rFonts w:ascii="Arial" w:hAnsi="Arial"/>
          <w:b/>
          <w:color w:val="44546A"/>
          <w:sz w:val="17"/>
        </w:rPr>
        <w:t xml:space="preserve">FINDING  </w:t>
      </w:r>
      <w:r>
        <w:rPr>
          <w:rFonts w:ascii="Times New Roman" w:hAnsi="Times New Roman"/>
          <w:sz w:val="20"/>
        </w:rPr>
        <w:t>Consent is captured through a single checkbox covering the privacy policy, terms of service, marketing communications and credit bureau enquiry. It is therefore neither specific nor unconditional: a Data Principal cannot accept the service without also accepting marketing. Purpose-level granularity exists in the data model but is not exposed in the interface.</w:t>
      </w:r>
    </w:p>
    <w:p>
      <w:pPr>
        <w:spacing w:before="40" w:after="80"/>
        <w:ind w:left="0"/>
      </w:pPr>
      <w:r>
        <w:rPr>
          <w:rFonts w:ascii="Arial" w:hAnsi="Arial"/>
          <w:b/>
          <w:color w:val="44546A"/>
          <w:sz w:val="17"/>
        </w:rPr>
        <w:t xml:space="preserve">TARGET STATE  </w:t>
      </w:r>
      <w:r>
        <w:rPr>
          <w:rFonts w:ascii="Times New Roman" w:hAnsi="Times New Roman"/>
          <w:sz w:val="20"/>
        </w:rPr>
        <w:t>Each distinct purpose has its own unticked affirmative control, no consent is inferred from inactivity, and the stored artefact records which specific purposes were agreed.</w:t>
      </w:r>
    </w:p>
    <w:p>
      <w:pPr>
        <w:spacing w:before="40" w:after="80"/>
        <w:ind w:left="0"/>
      </w:pPr>
      <w:r>
        <w:rPr>
          <w:rFonts w:ascii="Arial" w:hAnsi="Arial"/>
          <w:b/>
          <w:color w:val="44546A"/>
          <w:sz w:val="17"/>
        </w:rPr>
        <w:t xml:space="preserve">TRACKED AS  </w:t>
      </w:r>
      <w:r>
        <w:rPr>
          <w:rFonts w:ascii="Times New Roman" w:hAnsi="Times New Roman"/>
          <w:sz w:val="20"/>
        </w:rPr>
        <w:t>G027 · priority P2 · target date 2026-10-13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CON-02   Consent not conditioned on service where data is unnecessary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WP-041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Consent extends only to personal data necessary for the specified purpose, and is invalid to the extent it purports to go further. Consent conditioned on provision of unnecessary data is not free.</w:t>
      </w:r>
    </w:p>
    <w:p>
      <w:pPr>
        <w:spacing w:before="40" w:after="80"/>
        <w:ind w:left="0"/>
      </w:pPr>
      <w:r>
        <w:rPr>
          <w:rFonts w:ascii="Arial" w:hAnsi="Arial"/>
          <w:b/>
          <w:color w:val="44546A"/>
          <w:sz w:val="17"/>
        </w:rPr>
        <w:t xml:space="preserve">STATUTORY BASIS  </w:t>
      </w:r>
      <w:r>
        <w:rPr>
          <w:rFonts w:ascii="Times New Roman" w:hAnsi="Times New Roman"/>
          <w:sz w:val="20"/>
        </w:rPr>
        <w:t>s.6(1), s.6(2),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attempt to complete onboarding declining every non-essential consent, and record whether the service remains usable.</w:t>
      </w:r>
    </w:p>
    <w:p>
      <w:pPr>
        <w:spacing w:before="40" w:after="80"/>
        <w:ind w:left="0"/>
      </w:pPr>
      <w:r>
        <w:rPr>
          <w:rFonts w:ascii="Arial" w:hAnsi="Arial"/>
          <w:b/>
          <w:color w:val="44546A"/>
          <w:sz w:val="17"/>
        </w:rPr>
        <w:t xml:space="preserve">FINDING  </w:t>
      </w:r>
      <w:r>
        <w:rPr>
          <w:rFonts w:ascii="Times New Roman" w:hAnsi="Times New Roman"/>
          <w:sz w:val="20"/>
        </w:rPr>
        <w:t>Registration for the payments-only product cannot be completed without consenting to the bureau enquiry, which is not necessary for that service. The lending journey, by contrast, is correctly scoped.</w:t>
      </w:r>
    </w:p>
    <w:p>
      <w:pPr>
        <w:spacing w:before="40" w:after="80"/>
        <w:ind w:left="0"/>
      </w:pPr>
      <w:r>
        <w:rPr>
          <w:rFonts w:ascii="Arial" w:hAnsi="Arial"/>
          <w:b/>
          <w:color w:val="44546A"/>
          <w:sz w:val="17"/>
        </w:rPr>
        <w:t xml:space="preserve">TARGET STATE  </w:t>
      </w:r>
      <w:r>
        <w:rPr>
          <w:rFonts w:ascii="Times New Roman" w:hAnsi="Times New Roman"/>
          <w:sz w:val="20"/>
        </w:rPr>
        <w:t>Testing confirms the service is fully usable when every non-essential consent is declined, refusal is as easy as acceptance, and the necessary/optional split is documented.</w:t>
      </w:r>
    </w:p>
    <w:p>
      <w:pPr>
        <w:spacing w:before="40" w:after="80"/>
        <w:ind w:left="0"/>
      </w:pPr>
      <w:r>
        <w:rPr>
          <w:rFonts w:ascii="Arial" w:hAnsi="Arial"/>
          <w:b/>
          <w:color w:val="44546A"/>
          <w:sz w:val="17"/>
        </w:rPr>
        <w:t xml:space="preserve">TRACKED AS  </w:t>
      </w:r>
      <w:r>
        <w:rPr>
          <w:rFonts w:ascii="Times New Roman" w:hAnsi="Times New Roman"/>
          <w:sz w:val="20"/>
        </w:rPr>
        <w:t>G028 · priority P2 · target date 2026-10-13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CON-03   Consent request in clear and plain language with contact details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WP-042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Every request for consent must be presented in clear and plain language, giving the option to access it in English or an Eighth Schedule language, and must provide the contact details of the Data Protection Officer or other person authorised to respond on the Data Fiduciary's behalf.</w:t>
      </w:r>
    </w:p>
    <w:p>
      <w:pPr>
        <w:spacing w:before="40" w:after="80"/>
        <w:ind w:left="0"/>
      </w:pPr>
      <w:r>
        <w:rPr>
          <w:rFonts w:ascii="Arial" w:hAnsi="Arial"/>
          <w:b/>
          <w:color w:val="44546A"/>
          <w:sz w:val="17"/>
        </w:rPr>
        <w:t xml:space="preserve">STATUTORY BASIS  </w:t>
      </w:r>
      <w:r>
        <w:rPr>
          <w:rFonts w:ascii="Times New Roman" w:hAnsi="Times New Roman"/>
          <w:sz w:val="20"/>
        </w:rPr>
        <w:t>s.6(3),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consent text for readability and for contact details; assess against a plain-language standard.</w:t>
      </w:r>
    </w:p>
    <w:p>
      <w:pPr>
        <w:spacing w:before="40" w:after="80"/>
        <w:ind w:left="0"/>
      </w:pPr>
      <w:r>
        <w:rPr>
          <w:rFonts w:ascii="Arial" w:hAnsi="Arial"/>
          <w:b/>
          <w:color w:val="44546A"/>
          <w:sz w:val="17"/>
        </w:rPr>
        <w:t xml:space="preserve">FINDING  </w:t>
      </w:r>
      <w:r>
        <w:rPr>
          <w:rFonts w:ascii="Times New Roman" w:hAnsi="Times New Roman"/>
          <w:sz w:val="20"/>
        </w:rPr>
        <w:t>The consent request is short and in plain language and names the entity. It does not provide the contact details of the person able to answer questions about the processing, and directs the reader to a 47-page combined policy document for detail.</w:t>
      </w:r>
    </w:p>
    <w:p>
      <w:pPr>
        <w:spacing w:before="80" w:after="120"/>
        <w:pBdr>
          <w:bottom w:val="single" w:sz="6" w:space="1" w:color="BFBFBF"/>
        </w:pBdr>
      </w:pPr>
    </w:p>
    <w:p>
      <w:pPr>
        <w:pStyle w:val="Heading3"/>
        <w:keepNext/>
        <w:spacing w:before="200" w:after="80"/>
      </w:pPr>
      <w:r>
        <w:rPr>
          <w:rFonts w:ascii="Arial" w:hAnsi="Arial"/>
          <w:b/>
          <w:color w:val="1F3552"/>
          <w:sz w:val="22"/>
        </w:rPr>
        <w:t>CON-04   Withdrawal of consent as easy as giving it</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WP-043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Data Principal has the right to withdraw consent at any time, and the ease of doing so must be comparable to the ease with which consent was given.</w:t>
      </w:r>
    </w:p>
    <w:p>
      <w:pPr>
        <w:spacing w:before="40" w:after="80"/>
        <w:ind w:left="0"/>
      </w:pPr>
      <w:r>
        <w:rPr>
          <w:rFonts w:ascii="Arial" w:hAnsi="Arial"/>
          <w:b/>
          <w:color w:val="44546A"/>
          <w:sz w:val="17"/>
        </w:rPr>
        <w:t xml:space="preserve">STATUTORY BASIS  </w:t>
      </w:r>
      <w:r>
        <w:rPr>
          <w:rFonts w:ascii="Times New Roman" w:hAnsi="Times New Roman"/>
          <w:sz w:val="20"/>
        </w:rPr>
        <w:t>s.6(4),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withdraw consent through each available route, counting steps and elapsed time, and compare against the steps to give it.</w:t>
      </w:r>
    </w:p>
    <w:p>
      <w:pPr>
        <w:spacing w:before="40" w:after="80"/>
        <w:ind w:left="0"/>
      </w:pPr>
      <w:r>
        <w:rPr>
          <w:rFonts w:ascii="Arial" w:hAnsi="Arial"/>
          <w:b/>
          <w:color w:val="44546A"/>
          <w:sz w:val="17"/>
        </w:rPr>
        <w:t xml:space="preserve">FINDING  </w:t>
      </w:r>
      <w:r>
        <w:rPr>
          <w:rFonts w:ascii="Times New Roman" w:hAnsi="Times New Roman"/>
          <w:sz w:val="20"/>
        </w:rPr>
        <w:t>Withdrawal of consent is not available in the application. Marketing preferences can be toggled, but withdrawal of consent for processing requires an email to the support address, after which an agent follows a manual runbook. Against a two-tap consent action this is plainly not as easy to withdraw as to give.</w:t>
      </w:r>
    </w:p>
    <w:p>
      <w:pPr>
        <w:spacing w:before="40" w:after="80"/>
        <w:ind w:left="0"/>
      </w:pPr>
      <w:r>
        <w:rPr>
          <w:rFonts w:ascii="Arial" w:hAnsi="Arial"/>
          <w:b/>
          <w:color w:val="44546A"/>
          <w:sz w:val="17"/>
        </w:rPr>
        <w:t xml:space="preserve">TARGET STATE  </w:t>
      </w:r>
      <w:r>
        <w:rPr>
          <w:rFonts w:ascii="Times New Roman" w:hAnsi="Times New Roman"/>
          <w:sz w:val="20"/>
        </w:rPr>
        <w:t>Withdrawal is available on the same surface with comparable effort, tested end to end, and the step-count comparison is documented.</w:t>
      </w:r>
    </w:p>
    <w:p>
      <w:pPr>
        <w:spacing w:before="40" w:after="80"/>
        <w:ind w:left="0"/>
      </w:pPr>
      <w:r>
        <w:rPr>
          <w:rFonts w:ascii="Arial" w:hAnsi="Arial"/>
          <w:b/>
          <w:color w:val="44546A"/>
          <w:sz w:val="17"/>
        </w:rPr>
        <w:t xml:space="preserve">TRACKED AS  </w:t>
      </w:r>
      <w:r>
        <w:rPr>
          <w:rFonts w:ascii="Times New Roman" w:hAnsi="Times New Roman"/>
          <w:sz w:val="20"/>
        </w:rPr>
        <w:t>G003 · priority P1 · target date 2026-09-13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CON-05   Consequences of withdrawal disclosed and borne by the Data Principal</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WP-044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Data Principal bears the consequences of withdrawal of consent, and those consequences must be made known. Withdrawal does not affect the legality of processing carried out before it.</w:t>
      </w:r>
    </w:p>
    <w:p>
      <w:pPr>
        <w:spacing w:before="40" w:after="80"/>
        <w:ind w:left="0"/>
      </w:pPr>
      <w:r>
        <w:rPr>
          <w:rFonts w:ascii="Arial" w:hAnsi="Arial"/>
          <w:b/>
          <w:color w:val="44546A"/>
          <w:sz w:val="17"/>
        </w:rPr>
        <w:t xml:space="preserve">STATUTORY BASIS  </w:t>
      </w:r>
      <w:r>
        <w:rPr>
          <w:rFonts w:ascii="Times New Roman" w:hAnsi="Times New Roman"/>
          <w:sz w:val="20"/>
        </w:rPr>
        <w:t>s.6(5), s.6(6),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withdrawal interface text; assess whether stated consequences are accurate and proportionate rather than discouraging.</w:t>
      </w:r>
    </w:p>
    <w:p>
      <w:pPr>
        <w:spacing w:before="40" w:after="80"/>
        <w:ind w:left="0"/>
      </w:pPr>
      <w:r>
        <w:rPr>
          <w:rFonts w:ascii="Arial" w:hAnsi="Arial"/>
          <w:b/>
          <w:color w:val="44546A"/>
          <w:sz w:val="17"/>
        </w:rPr>
        <w:t xml:space="preserve">FINDING  </w:t>
      </w:r>
      <w:r>
        <w:rPr>
          <w:rFonts w:ascii="Times New Roman" w:hAnsi="Times New Roman"/>
          <w:sz w:val="20"/>
        </w:rPr>
        <w:t>Consequences of withdrawal are described in the policy document but are not surfaced at the point of withdrawal, and the description does not distinguish consequences that follow from the withdrawal itself from service changes the entity elects to make.</w:t>
      </w:r>
    </w:p>
    <w:p>
      <w:pPr>
        <w:spacing w:before="40" w:after="80"/>
        <w:ind w:left="0"/>
      </w:pPr>
      <w:r>
        <w:rPr>
          <w:rFonts w:ascii="Arial" w:hAnsi="Arial"/>
          <w:b/>
          <w:color w:val="44546A"/>
          <w:sz w:val="17"/>
        </w:rPr>
        <w:t xml:space="preserve">TARGET STATE  </w:t>
      </w:r>
      <w:r>
        <w:rPr>
          <w:rFonts w:ascii="Times New Roman" w:hAnsi="Times New Roman"/>
          <w:sz w:val="20"/>
        </w:rPr>
        <w:t>Consequences are accurately and neutrally stated, verified against what technically occurs, and free of deterrent framing.</w:t>
      </w:r>
    </w:p>
    <w:p>
      <w:pPr>
        <w:spacing w:before="40" w:after="80"/>
        <w:ind w:left="0"/>
      </w:pPr>
      <w:r>
        <w:rPr>
          <w:rFonts w:ascii="Arial" w:hAnsi="Arial"/>
          <w:b/>
          <w:color w:val="44546A"/>
          <w:sz w:val="17"/>
        </w:rPr>
        <w:t xml:space="preserve">TRACKED AS  </w:t>
      </w:r>
      <w:r>
        <w:rPr>
          <w:rFonts w:ascii="Times New Roman" w:hAnsi="Times New Roman"/>
          <w:sz w:val="20"/>
        </w:rPr>
        <w:t>G054 · priority P3 · target date 2026-11-12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CON-06   Processing ceases within a reasonable time of withdrawal</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WP-045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On withdrawal of consent, the Data Fiduciary must, within a reasonable time, cease processing the personal data unless such processing without consent is required or authorised by law, and must cause its Data Processors to cease as well.</w:t>
      </w:r>
    </w:p>
    <w:p>
      <w:pPr>
        <w:spacing w:before="40" w:after="80"/>
        <w:ind w:left="0"/>
      </w:pPr>
      <w:r>
        <w:rPr>
          <w:rFonts w:ascii="Arial" w:hAnsi="Arial"/>
          <w:b/>
          <w:color w:val="44546A"/>
          <w:sz w:val="17"/>
        </w:rPr>
        <w:t xml:space="preserve">STATUTORY BASIS  </w:t>
      </w:r>
      <w:r>
        <w:rPr>
          <w:rFonts w:ascii="Times New Roman" w:hAnsi="Times New Roman"/>
          <w:sz w:val="20"/>
        </w:rPr>
        <w:t>s.6(6),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withdraw consent for a test record and trace it across every downstream system, measuring elapsed time to cessation in each.</w:t>
      </w:r>
    </w:p>
    <w:p>
      <w:pPr>
        <w:spacing w:before="40" w:after="80"/>
        <w:ind w:left="0"/>
      </w:pPr>
      <w:r>
        <w:rPr>
          <w:rFonts w:ascii="Arial" w:hAnsi="Arial"/>
          <w:b/>
          <w:color w:val="44546A"/>
          <w:sz w:val="17"/>
        </w:rPr>
        <w:t xml:space="preserve">FINDING  </w:t>
      </w:r>
      <w:r>
        <w:rPr>
          <w:rFonts w:ascii="Times New Roman" w:hAnsi="Times New Roman"/>
          <w:sz w:val="20"/>
        </w:rPr>
        <w:t>Testing of three withdrawal requests found processing continued after withdrawal in all three. Marketing suppression was applied within 48 hours, but the Snowflake warehouse, the CleverTap audience and the churn model training set retained and continued to use the records. Median elapsed time to full cessation could not be established because the entity does not measure it.</w:t>
      </w:r>
    </w:p>
    <w:p>
      <w:pPr>
        <w:spacing w:before="40" w:after="80"/>
        <w:ind w:left="0"/>
      </w:pPr>
      <w:r>
        <w:rPr>
          <w:rFonts w:ascii="Arial" w:hAnsi="Arial"/>
          <w:b/>
          <w:color w:val="44546A"/>
          <w:sz w:val="17"/>
        </w:rPr>
        <w:t xml:space="preserve">TARGET STATE  </w:t>
      </w:r>
      <w:r>
        <w:rPr>
          <w:rFonts w:ascii="Times New Roman" w:hAnsi="Times New Roman"/>
          <w:sz w:val="20"/>
        </w:rPr>
        <w:t>Withdrawal propagates to every consumer including processors within a measured and documented interval, exceptions are logged and owned, and tracing a test record confirms end-to-end cessation.</w:t>
      </w:r>
    </w:p>
    <w:p>
      <w:pPr>
        <w:spacing w:before="40" w:after="80"/>
        <w:ind w:left="0"/>
      </w:pPr>
      <w:r>
        <w:rPr>
          <w:rFonts w:ascii="Arial" w:hAnsi="Arial"/>
          <w:b/>
          <w:color w:val="44546A"/>
          <w:sz w:val="17"/>
        </w:rPr>
        <w:t xml:space="preserve">TRACKED AS  </w:t>
      </w:r>
      <w:r>
        <w:rPr>
          <w:rFonts w:ascii="Times New Roman" w:hAnsi="Times New Roman"/>
          <w:sz w:val="20"/>
        </w:rPr>
        <w:t>G004 · priority P1 · target date 2026-09-13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CON-07   Consent artefacts retained and provable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WP-046</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Where a question arises as to whether notice was given and consent obtained in accordance with the Act, the Data Fiduciary bears the burden of proving it.</w:t>
      </w:r>
    </w:p>
    <w:p>
      <w:pPr>
        <w:spacing w:before="40" w:after="80"/>
        <w:ind w:left="0"/>
      </w:pPr>
      <w:r>
        <w:rPr>
          <w:rFonts w:ascii="Arial" w:hAnsi="Arial"/>
          <w:b/>
          <w:color w:val="44546A"/>
          <w:sz w:val="17"/>
        </w:rPr>
        <w:t xml:space="preserve">STATUTORY BASIS  </w:t>
      </w:r>
      <w:r>
        <w:rPr>
          <w:rFonts w:ascii="Times New Roman" w:hAnsi="Times New Roman"/>
          <w:sz w:val="20"/>
        </w:rPr>
        <w:t>s.6(10),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select three Data Principals at random and require production of the full consent artefact including notice version and interface reference.</w:t>
      </w:r>
    </w:p>
    <w:p>
      <w:pPr>
        <w:spacing w:before="40" w:after="80"/>
        <w:ind w:left="0"/>
      </w:pPr>
      <w:r>
        <w:rPr>
          <w:rFonts w:ascii="Arial" w:hAnsi="Arial"/>
          <w:b/>
          <w:color w:val="44546A"/>
          <w:sz w:val="17"/>
        </w:rPr>
        <w:t xml:space="preserve">FINDING  </w:t>
      </w:r>
      <w:r>
        <w:rPr>
          <w:rFonts w:ascii="Times New Roman" w:hAnsi="Times New Roman"/>
          <w:sz w:val="20"/>
        </w:rPr>
        <w:t>The consent table records a current state per Data Principal with a single last-updated timestamp. It does not retain the notice version, the interface, the purposes in force at the time, or any history of change. For two of five sampled Data Principals the entity could not demonstrate what was consented to or when. The Act places the burden of proving valid consent on the Data Fiduciary and that burden could not presently be discharged.</w:t>
      </w:r>
    </w:p>
    <w:p>
      <w:pPr>
        <w:spacing w:before="40" w:after="80"/>
        <w:ind w:left="0"/>
      </w:pPr>
      <w:r>
        <w:rPr>
          <w:rFonts w:ascii="Arial" w:hAnsi="Arial"/>
          <w:b/>
          <w:color w:val="44546A"/>
          <w:sz w:val="17"/>
        </w:rPr>
        <w:t xml:space="preserve">TARGET STATE  </w:t>
      </w:r>
      <w:r>
        <w:rPr>
          <w:rFonts w:ascii="Times New Roman" w:hAnsi="Times New Roman"/>
          <w:sz w:val="20"/>
        </w:rPr>
        <w:t>Complete, tamper-evident artefacts capture purpose set, timestamp, interface and notice version, are retrievable on demand for any individual, and testing confirms retrieval.</w:t>
      </w:r>
    </w:p>
    <w:p>
      <w:pPr>
        <w:spacing w:before="40" w:after="80"/>
        <w:ind w:left="0"/>
      </w:pPr>
      <w:r>
        <w:rPr>
          <w:rFonts w:ascii="Arial" w:hAnsi="Arial"/>
          <w:b/>
          <w:color w:val="44546A"/>
          <w:sz w:val="17"/>
        </w:rPr>
        <w:t xml:space="preserve">TRACKED AS  </w:t>
      </w:r>
      <w:r>
        <w:rPr>
          <w:rFonts w:ascii="Times New Roman" w:hAnsi="Times New Roman"/>
          <w:sz w:val="20"/>
        </w:rPr>
        <w:t>G005 · priority P1 · target date 2026-09-13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CON-08   Consent refresh on material change of purpose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WP-047</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Consent is specific to the purpose for which it was given. A material change in purpose requires fresh notice and fresh consent; it cannot be effected by amending a policy.</w:t>
      </w:r>
    </w:p>
    <w:p>
      <w:pPr>
        <w:spacing w:before="40" w:after="80"/>
        <w:ind w:left="0"/>
      </w:pPr>
      <w:r>
        <w:rPr>
          <w:rFonts w:ascii="Arial" w:hAnsi="Arial"/>
          <w:b/>
          <w:color w:val="44546A"/>
          <w:sz w:val="17"/>
        </w:rPr>
        <w:t xml:space="preserve">STATUTORY BASIS  </w:t>
      </w:r>
      <w:r>
        <w:rPr>
          <w:rFonts w:ascii="Times New Roman" w:hAnsi="Times New Roman"/>
          <w:sz w:val="20"/>
        </w:rPr>
        <w:t>s.5(1), s.6(1),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change history of purposes and the corresponding consent events; test whether recent material changes triggered re-consent.</w:t>
      </w:r>
    </w:p>
    <w:p>
      <w:pPr>
        <w:spacing w:before="40" w:after="80"/>
        <w:ind w:left="0"/>
      </w:pPr>
      <w:r>
        <w:rPr>
          <w:rFonts w:ascii="Arial" w:hAnsi="Arial"/>
          <w:b/>
          <w:color w:val="44546A"/>
          <w:sz w:val="17"/>
        </w:rPr>
        <w:t xml:space="preserve">FINDING  </w:t>
      </w:r>
      <w:r>
        <w:rPr>
          <w:rFonts w:ascii="Times New Roman" w:hAnsi="Times New Roman"/>
          <w:sz w:val="20"/>
        </w:rPr>
        <w:t>Purposes were extended twice in the period — advertising segments in September 2025 and the churn model in January 2026 — without a fresh notice or fresh consent. Existing consent was treated as covering the new purposes on the basis of the general 'improve our services' wording.</w:t>
      </w:r>
    </w:p>
    <w:p>
      <w:pPr>
        <w:spacing w:before="40" w:after="80"/>
        <w:ind w:left="0"/>
      </w:pPr>
      <w:r>
        <w:rPr>
          <w:rFonts w:ascii="Arial" w:hAnsi="Arial"/>
          <w:b/>
          <w:color w:val="44546A"/>
          <w:sz w:val="17"/>
        </w:rPr>
        <w:t xml:space="preserve">TARGET STATE  </w:t>
      </w:r>
      <w:r>
        <w:rPr>
          <w:rFonts w:ascii="Times New Roman" w:hAnsi="Times New Roman"/>
          <w:sz w:val="20"/>
        </w:rPr>
        <w:t>A documented materiality test governs whether re-consent is required, is consistently applied with evidence of re-consent campaigns, and continued use is never treated as agreement to new purposes.</w:t>
      </w:r>
    </w:p>
    <w:p>
      <w:pPr>
        <w:spacing w:before="40" w:after="80"/>
        <w:ind w:left="0"/>
      </w:pPr>
      <w:r>
        <w:rPr>
          <w:rFonts w:ascii="Arial" w:hAnsi="Arial"/>
          <w:b/>
          <w:color w:val="44546A"/>
          <w:sz w:val="17"/>
        </w:rPr>
        <w:t xml:space="preserve">TRACKED AS  </w:t>
      </w:r>
      <w:r>
        <w:rPr>
          <w:rFonts w:ascii="Times New Roman" w:hAnsi="Times New Roman"/>
          <w:sz w:val="20"/>
        </w:rPr>
        <w:t>G016 · priority P2 · target date 2026-10-13 · owner Meera Raghunathan, Head of Legal &amp; Compliance</w:t>
      </w:r>
    </w:p>
    <w:p>
      <w:pPr>
        <w:spacing w:before="80" w:after="120"/>
        <w:pBdr>
          <w:bottom w:val="single" w:sz="6" w:space="1" w:color="BFBFBF"/>
        </w:pBdr>
      </w:pPr>
    </w:p>
    <w:p>
      <w:pPr>
        <w:pStyle w:val="Heading2"/>
        <w:keepNext/>
        <w:spacing w:before="280" w:after="120"/>
      </w:pPr>
      <w:r>
        <w:rPr>
          <w:rFonts w:ascii="Arial" w:hAnsi="Arial"/>
          <w:b/>
          <w:color w:val="1F3552"/>
          <w:sz w:val="26"/>
        </w:rPr>
        <w:t>4.6  CMG — Consent Manager</w:t>
      </w:r>
    </w:p>
    <w:p>
      <w:pPr>
        <w:spacing w:before="0" w:after="120"/>
        <w:jc w:val="both"/>
      </w:pPr>
      <w:r>
        <w:rPr>
          <w:rFonts w:ascii="Times New Roman" w:hAnsi="Times New Roman"/>
          <w:b w:val="0"/>
          <w:i/>
          <w:color w:val="44546A"/>
          <w:sz w:val="20"/>
        </w:rPr>
        <w:t>Section 6(7) lets a Data Principal give, manage, review and withdraw consent through a Consent Manager, which must be registered with the Board and is accountable to the Data Principal. Relying on an unregistered intermediary does not transfer the Data Fiduciary's own accountability under section 8(1).</w:t>
      </w:r>
    </w:p>
    <w:p>
      <w:pPr>
        <w:spacing w:before="40" w:after="80"/>
        <w:ind w:left="0"/>
      </w:pPr>
      <w:r>
        <w:rPr>
          <w:rFonts w:ascii="Arial" w:hAnsi="Arial"/>
          <w:b/>
          <w:color w:val="44546A"/>
          <w:sz w:val="17"/>
        </w:rPr>
        <w:t xml:space="preserve">SCOPE QUESTION  </w:t>
      </w:r>
      <w:r>
        <w:rPr>
          <w:rFonts w:ascii="Times New Roman" w:hAnsi="Times New Roman"/>
          <w:sz w:val="20"/>
        </w:rPr>
        <w:t>Where consent is given or managed through a Consent Manager, is that entity registered with the Board and are the interfaces sound?</w:t>
      </w:r>
    </w:p>
    <w:p>
      <w:pPr>
        <w:spacing w:before="40" w:after="80"/>
        <w:ind w:left="0"/>
      </w:pPr>
      <w:r>
        <w:rPr>
          <w:rFonts w:ascii="Arial" w:hAnsi="Arial"/>
          <w:b/>
          <w:color w:val="44546A"/>
          <w:sz w:val="17"/>
        </w:rPr>
        <w:t xml:space="preserve">RESULT  </w:t>
      </w:r>
      <w:r>
        <w:rPr>
          <w:rFonts w:ascii="Times New Roman" w:hAnsi="Times New Roman"/>
          <w:sz w:val="20"/>
        </w:rPr>
        <w:t>Domain maturity 63.0% (Managed). 2 controls in scope, 2 assessed, 1 gaps of which 0 attach to critical obligations. Highest residual risk in the domain is 6 of 16.</w:t>
      </w:r>
    </w:p>
    <w:p>
      <w:pPr>
        <w:spacing w:before="40" w:after="120"/>
        <w:pBdr>
          <w:bottom w:val="single" w:sz="6" w:space="1" w:color="BFBFBF"/>
        </w:pBdr>
      </w:pPr>
    </w:p>
    <w:p>
      <w:pPr>
        <w:pStyle w:val="Heading3"/>
        <w:keepNext/>
        <w:spacing w:before="200" w:after="80"/>
      </w:pPr>
      <w:r>
        <w:rPr>
          <w:rFonts w:ascii="Arial" w:hAnsi="Arial"/>
          <w:b/>
          <w:color w:val="1F3552"/>
          <w:sz w:val="22"/>
        </w:rPr>
        <w:t>CMG-01   Consent Manager relied upon is registered with the Board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WP-050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Principal may give, manage, review and withdraw consent through a Consent Manager, which must be registered with the Board and must act on behalf of and be accountable to the Data Principal.</w:t>
      </w:r>
    </w:p>
    <w:p>
      <w:pPr>
        <w:spacing w:before="40" w:after="80"/>
        <w:ind w:left="0"/>
      </w:pPr>
      <w:r>
        <w:rPr>
          <w:rFonts w:ascii="Arial" w:hAnsi="Arial"/>
          <w:b/>
          <w:color w:val="44546A"/>
          <w:sz w:val="17"/>
        </w:rPr>
        <w:t xml:space="preserve">STATUTORY BASIS  </w:t>
      </w:r>
      <w:r>
        <w:rPr>
          <w:rFonts w:ascii="Times New Roman" w:hAnsi="Times New Roman"/>
          <w:sz w:val="20"/>
        </w:rPr>
        <w:t>s.6(7), s.6(8),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verification records against the Board's register of Consent Managers; enquire as to the re-verification cycle.</w:t>
      </w:r>
    </w:p>
    <w:p>
      <w:pPr>
        <w:spacing w:before="40" w:after="80"/>
        <w:ind w:left="0"/>
      </w:pPr>
      <w:r>
        <w:rPr>
          <w:rFonts w:ascii="Arial" w:hAnsi="Arial"/>
          <w:b/>
          <w:color w:val="44546A"/>
          <w:sz w:val="17"/>
        </w:rPr>
        <w:t xml:space="preserve">FINDING  </w:t>
      </w:r>
      <w:r>
        <w:rPr>
          <w:rFonts w:ascii="Times New Roman" w:hAnsi="Times New Roman"/>
          <w:sz w:val="20"/>
        </w:rPr>
        <w:t>The account aggregator relied upon is an RBI-licensed NBFC-AA and the entity holds its certificate on file. Registration specifically as a Consent Manager with the Data Protection Board has not been confirmed, and the entity has no process for periodic re-confirmation of that status.</w:t>
      </w:r>
    </w:p>
    <w:p>
      <w:pPr>
        <w:spacing w:before="80" w:after="120"/>
        <w:pBdr>
          <w:bottom w:val="single" w:sz="6" w:space="1" w:color="BFBFBF"/>
        </w:pBdr>
      </w:pPr>
    </w:p>
    <w:p>
      <w:pPr>
        <w:pStyle w:val="Heading3"/>
        <w:keepNext/>
        <w:spacing w:before="200" w:after="80"/>
      </w:pPr>
      <w:r>
        <w:rPr>
          <w:rFonts w:ascii="Arial" w:hAnsi="Arial"/>
          <w:b/>
          <w:color w:val="1F3552"/>
          <w:sz w:val="22"/>
        </w:rPr>
        <w:t>CMG-02   Consent Manager interface integrity and record reconciliation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WP-051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Reliance on a Consent Manager does not displace the Data Fiduciary's own accountability under section 8(1) or its burden of proof under section 6(10).</w:t>
      </w:r>
    </w:p>
    <w:p>
      <w:pPr>
        <w:spacing w:before="40" w:after="80"/>
        <w:ind w:left="0"/>
      </w:pPr>
      <w:r>
        <w:rPr>
          <w:rFonts w:ascii="Arial" w:hAnsi="Arial"/>
          <w:b/>
          <w:color w:val="44546A"/>
          <w:sz w:val="17"/>
        </w:rPr>
        <w:t xml:space="preserve">STATUTORY BASIS  </w:t>
      </w:r>
      <w:r>
        <w:rPr>
          <w:rFonts w:ascii="Times New Roman" w:hAnsi="Times New Roman"/>
          <w:sz w:val="20"/>
        </w:rPr>
        <w:t>s.6(7), s.6(10), s.8(1),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register a withdrawal through the Consent Manager and trace propagation into the entity's systems; inspect reconciliation controls and exception handling.</w:t>
      </w:r>
    </w:p>
    <w:p>
      <w:pPr>
        <w:spacing w:before="40" w:after="80"/>
        <w:ind w:left="0"/>
      </w:pPr>
      <w:r>
        <w:rPr>
          <w:rFonts w:ascii="Arial" w:hAnsi="Arial"/>
          <w:b/>
          <w:color w:val="44546A"/>
          <w:sz w:val="17"/>
        </w:rPr>
        <w:t xml:space="preserve">FINDING  </w:t>
      </w:r>
      <w:r>
        <w:rPr>
          <w:rFonts w:ascii="Times New Roman" w:hAnsi="Times New Roman"/>
          <w:sz w:val="20"/>
        </w:rPr>
        <w:t>Consent artefacts received through the aggregator are stored and the data fetch is scoped to the artefact. Reconciliation between artefacts held by the aggregator and consents recorded internally is not performed, so a revoked artefact would not necessarily stop an internal reuse of previously fetched financial information.</w:t>
      </w:r>
    </w:p>
    <w:p>
      <w:pPr>
        <w:spacing w:before="40" w:after="80"/>
        <w:ind w:left="0"/>
      </w:pPr>
      <w:r>
        <w:rPr>
          <w:rFonts w:ascii="Arial" w:hAnsi="Arial"/>
          <w:b/>
          <w:color w:val="44546A"/>
          <w:sz w:val="17"/>
        </w:rPr>
        <w:t xml:space="preserve">TARGET STATE  </w:t>
      </w:r>
      <w:r>
        <w:rPr>
          <w:rFonts w:ascii="Times New Roman" w:hAnsi="Times New Roman"/>
          <w:sz w:val="20"/>
        </w:rPr>
        <w:t>Automated reconciliation with exception alerting is in place, withdrawal propagation is tested end to end, and the entity retains its own provable consent state.</w:t>
      </w:r>
    </w:p>
    <w:p>
      <w:pPr>
        <w:spacing w:before="40" w:after="80"/>
        <w:ind w:left="0"/>
      </w:pPr>
      <w:r>
        <w:rPr>
          <w:rFonts w:ascii="Arial" w:hAnsi="Arial"/>
          <w:b/>
          <w:color w:val="44546A"/>
          <w:sz w:val="17"/>
        </w:rPr>
        <w:t xml:space="preserve">TRACKED AS  </w:t>
      </w:r>
      <w:r>
        <w:rPr>
          <w:rFonts w:ascii="Times New Roman" w:hAnsi="Times New Roman"/>
          <w:sz w:val="20"/>
        </w:rPr>
        <w:t>G041 · priority P3 · target date 2026-11-12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CMG-03   Own registration and obligations where acting as a Consent Manager</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DEDED"/>
          </w:tcPr>
          <w:p>
            <w:pPr>
              <w:spacing w:before="20" w:after="20"/>
              <w:jc w:val="center"/>
            </w:pPr>
            <w:r/>
            <w:r>
              <w:rPr>
                <w:rFonts w:ascii="Arial" w:hAnsi="Arial"/>
                <w:b/>
                <w:i w:val="0"/>
                <w:sz w:val="18"/>
              </w:rPr>
              <w:t>—</w:t>
            </w:r>
          </w:p>
        </w:tc>
        <w:tc>
          <w:tcPr>
            <w:tcW w:type="dxa" w:w="2499"/>
          </w:tcPr>
          <w:p>
            <w:pPr>
              <w:spacing w:before="20" w:after="20"/>
              <w:jc w:val="center"/>
            </w:pPr>
            <w:r/>
            <w:r>
              <w:rPr>
                <w:rFonts w:ascii="Arial" w:hAnsi="Arial"/>
                <w:b/>
                <w:i w:val="0"/>
                <w:sz w:val="18"/>
              </w:rPr>
              <w:t>Out of scope</w:t>
            </w:r>
          </w:p>
        </w:tc>
        <w:tc>
          <w:tcPr>
            <w:tcW w:type="dxa" w:w="1062"/>
          </w:tcPr>
          <w:p>
            <w:pPr>
              <w:spacing w:before="20" w:after="20"/>
              <w:jc w:val="center"/>
            </w:pPr>
            <w:r/>
            <w:r>
              <w:rPr>
                <w:rFonts w:ascii="Arial" w:hAnsi="Arial"/>
                <w:b/>
                <w:i w:val="0"/>
                <w:sz w:val="18"/>
              </w:rPr>
              <w:t>—</w:t>
            </w:r>
          </w:p>
        </w:tc>
        <w:tc>
          <w:tcPr>
            <w:tcW w:type="dxa" w:w="1125"/>
          </w:tcPr>
          <w:p>
            <w:pPr>
              <w:spacing w:before="20" w:after="20"/>
              <w:jc w:val="center"/>
            </w:pPr>
            <w:r/>
            <w:r>
              <w:rPr>
                <w:rFonts w:ascii="Arial" w:hAnsi="Arial"/>
                <w:b w:val="0"/>
                <w:i w:val="0"/>
                <w:sz w:val="18"/>
              </w:rPr>
              <w:t>—</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An entity acting as a Consent Manager must be registered with the Board, subject to prescribed conditions, and must discharge the obligations of that role including accountability to the Data Principal.</w:t>
      </w:r>
    </w:p>
    <w:p>
      <w:pPr>
        <w:spacing w:before="40" w:after="80"/>
        <w:ind w:left="0"/>
      </w:pPr>
      <w:r>
        <w:rPr>
          <w:rFonts w:ascii="Arial" w:hAnsi="Arial"/>
          <w:b/>
          <w:color w:val="44546A"/>
          <w:sz w:val="17"/>
        </w:rPr>
        <w:t xml:space="preserve">STATUTORY BASIS  </w:t>
      </w:r>
      <w:r>
        <w:rPr>
          <w:rFonts w:ascii="Times New Roman" w:hAnsi="Times New Roman"/>
          <w:sz w:val="20"/>
        </w:rPr>
        <w:t>s.6(8), s.6(9),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registration, continuing compliance with prescribed conditions, and the operational independence of the Data Principal-facing function.</w:t>
      </w:r>
    </w:p>
    <w:p>
      <w:pPr>
        <w:spacing w:before="40" w:after="80"/>
        <w:ind w:left="0"/>
      </w:pPr>
      <w:r>
        <w:rPr>
          <w:rFonts w:ascii="Arial" w:hAnsi="Arial"/>
          <w:b/>
          <w:color w:val="44546A"/>
          <w:sz w:val="17"/>
        </w:rPr>
        <w:t xml:space="preserve">SCOPE  </w:t>
      </w:r>
      <w:r>
        <w:rPr>
          <w:rFonts w:ascii="Times New Roman" w:hAnsi="Times New Roman"/>
          <w:sz w:val="20"/>
        </w:rPr>
        <w:t>Out of scope — requires is consent manager. Not assessed and excluded from all scoring.</w:t>
      </w:r>
    </w:p>
    <w:p>
      <w:pPr>
        <w:spacing w:before="80" w:after="120"/>
        <w:pBdr>
          <w:bottom w:val="single" w:sz="6" w:space="1" w:color="BFBFBF"/>
        </w:pBdr>
      </w:pPr>
    </w:p>
    <w:p>
      <w:pPr>
        <w:pStyle w:val="Heading2"/>
        <w:keepNext/>
        <w:spacing w:before="280" w:after="120"/>
      </w:pPr>
      <w:r>
        <w:rPr>
          <w:rFonts w:ascii="Arial" w:hAnsi="Arial"/>
          <w:b/>
          <w:color w:val="1F3552"/>
          <w:sz w:val="26"/>
        </w:rPr>
        <w:t>4.7  LGU — Legitimate Uses</w:t>
      </w:r>
    </w:p>
    <w:p>
      <w:pPr>
        <w:spacing w:before="0" w:after="120"/>
        <w:jc w:val="both"/>
      </w:pPr>
      <w:r>
        <w:rPr>
          <w:rFonts w:ascii="Times New Roman" w:hAnsi="Times New Roman"/>
          <w:b w:val="0"/>
          <w:i/>
          <w:color w:val="44546A"/>
          <w:sz w:val="20"/>
        </w:rPr>
        <w:t>Section 7 is a closed list, not a balancing test. There is no general "legitimate interests" ground of the kind found in the GDPR, so an entity that has mapped its GDPR legitimate-interests assessments across to the Act will usually find the ground does not exist here. Over-reliance on the employment limb in section 7(i) is the most frequent error.</w:t>
      </w:r>
    </w:p>
    <w:p>
      <w:pPr>
        <w:spacing w:before="40" w:after="80"/>
        <w:ind w:left="0"/>
      </w:pPr>
      <w:r>
        <w:rPr>
          <w:rFonts w:ascii="Arial" w:hAnsi="Arial"/>
          <w:b/>
          <w:color w:val="44546A"/>
          <w:sz w:val="17"/>
        </w:rPr>
        <w:t xml:space="preserve">SCOPE QUESTION  </w:t>
      </w:r>
      <w:r>
        <w:rPr>
          <w:rFonts w:ascii="Times New Roman" w:hAnsi="Times New Roman"/>
          <w:sz w:val="20"/>
        </w:rPr>
        <w:t>Where processing proceeds without consent, is a specific section 7 legitimate use correctly identified and documented?</w:t>
      </w:r>
    </w:p>
    <w:p>
      <w:pPr>
        <w:spacing w:before="40" w:after="80"/>
        <w:ind w:left="0"/>
      </w:pPr>
      <w:r>
        <w:rPr>
          <w:rFonts w:ascii="Arial" w:hAnsi="Arial"/>
          <w:b/>
          <w:color w:val="44546A"/>
          <w:sz w:val="17"/>
        </w:rPr>
        <w:t xml:space="preserve">RESULT  </w:t>
      </w:r>
      <w:r>
        <w:rPr>
          <w:rFonts w:ascii="Times New Roman" w:hAnsi="Times New Roman"/>
          <w:sz w:val="20"/>
        </w:rPr>
        <w:t>Domain maturity 65.7% (Managed). 3 controls in scope, 3 assessed, 1 gaps of which 1 attach to critical obligations. Highest residual risk in the domain is 8 of 16.</w:t>
      </w:r>
    </w:p>
    <w:p>
      <w:pPr>
        <w:spacing w:before="40" w:after="120"/>
        <w:pBdr>
          <w:bottom w:val="single" w:sz="6" w:space="1" w:color="BFBFBF"/>
        </w:pBdr>
      </w:pPr>
    </w:p>
    <w:p>
      <w:pPr>
        <w:pStyle w:val="Heading3"/>
        <w:keepNext/>
        <w:spacing w:before="200" w:after="80"/>
      </w:pPr>
      <w:r>
        <w:rPr>
          <w:rFonts w:ascii="Arial" w:hAnsi="Arial"/>
          <w:b/>
          <w:color w:val="1F3552"/>
          <w:sz w:val="22"/>
        </w:rPr>
        <w:t>LGU-01   Legitimate use relied upon is a specific statutory limb</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WP-055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Processing without consent is permitted only for the certain legitimate uses enumerated in section 7. The list is closed; there is no general balancing or legitimate-interests ground.</w:t>
      </w:r>
    </w:p>
    <w:p>
      <w:pPr>
        <w:spacing w:before="40" w:after="80"/>
        <w:ind w:left="0"/>
      </w:pPr>
      <w:r>
        <w:rPr>
          <w:rFonts w:ascii="Arial" w:hAnsi="Arial"/>
          <w:b/>
          <w:color w:val="44546A"/>
          <w:sz w:val="17"/>
        </w:rPr>
        <w:t xml:space="preserve">STATUTORY BASIS  </w:t>
      </w:r>
      <w:r>
        <w:rPr>
          <w:rFonts w:ascii="Times New Roman" w:hAnsi="Times New Roman"/>
          <w:sz w:val="20"/>
        </w:rPr>
        <w:t>s.7,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basis register; re-perform the analysis for each legitimate use relied upon, testing the fit against the statutory wording.</w:t>
      </w:r>
    </w:p>
    <w:p>
      <w:pPr>
        <w:spacing w:before="40" w:after="80"/>
        <w:ind w:left="0"/>
      </w:pPr>
      <w:r>
        <w:rPr>
          <w:rFonts w:ascii="Arial" w:hAnsi="Arial"/>
          <w:b/>
          <w:color w:val="44546A"/>
          <w:sz w:val="17"/>
        </w:rPr>
        <w:t xml:space="preserve">FINDING  </w:t>
      </w:r>
      <w:r>
        <w:rPr>
          <w:rFonts w:ascii="Times New Roman" w:hAnsi="Times New Roman"/>
          <w:sz w:val="20"/>
        </w:rPr>
        <w:t>Where consent is not relied upon, the entity's documentation cites 'legitimate use' generically rather than identifying the specific statutory limb. Two activities — fraud analytics using device signals, and the credit bureau reporting of repayment behaviour — rest on limbs that do not on their terms extend to that processing.</w:t>
      </w:r>
    </w:p>
    <w:p>
      <w:pPr>
        <w:spacing w:before="40" w:after="80"/>
        <w:ind w:left="0"/>
      </w:pPr>
      <w:r>
        <w:rPr>
          <w:rFonts w:ascii="Arial" w:hAnsi="Arial"/>
          <w:b/>
          <w:color w:val="44546A"/>
          <w:sz w:val="17"/>
        </w:rPr>
        <w:t xml:space="preserve">TARGET STATE  </w:t>
      </w:r>
      <w:r>
        <w:rPr>
          <w:rFonts w:ascii="Times New Roman" w:hAnsi="Times New Roman"/>
          <w:sz w:val="20"/>
        </w:rPr>
        <w:t>Each reliance cites a specific sub-clause with a documented, defensible analysis, reviewed by legal, and reliance is narrowly confined to what the limb actually authorises.</w:t>
      </w:r>
    </w:p>
    <w:p>
      <w:pPr>
        <w:spacing w:before="40" w:after="80"/>
        <w:ind w:left="0"/>
      </w:pPr>
      <w:r>
        <w:rPr>
          <w:rFonts w:ascii="Arial" w:hAnsi="Arial"/>
          <w:b/>
          <w:color w:val="44546A"/>
          <w:sz w:val="17"/>
        </w:rPr>
        <w:t xml:space="preserve">TRACKED AS  </w:t>
      </w:r>
      <w:r>
        <w:rPr>
          <w:rFonts w:ascii="Times New Roman" w:hAnsi="Times New Roman"/>
          <w:sz w:val="20"/>
        </w:rPr>
        <w:t>G031 · priority P2 · target date 2026-10-13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LGU-02   Employment-purposes limb correctly scoped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WP-056</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Processing is a legitimate use where it is necessary for purposes of employment, or those related to safeguarding the employer from loss or liability, such as prevention of corporate espionage, maintenance of confidentiality of trade secrets or intellectual property, or provision of any service or benefit sought by an employee.</w:t>
      </w:r>
    </w:p>
    <w:p>
      <w:pPr>
        <w:spacing w:before="40" w:after="80"/>
        <w:ind w:left="0"/>
      </w:pPr>
      <w:r>
        <w:rPr>
          <w:rFonts w:ascii="Arial" w:hAnsi="Arial"/>
          <w:b/>
          <w:color w:val="44546A"/>
          <w:sz w:val="17"/>
        </w:rPr>
        <w:t xml:space="preserve">STATUTORY BASIS  </w:t>
      </w:r>
      <w:r>
        <w:rPr>
          <w:rFonts w:ascii="Times New Roman" w:hAnsi="Times New Roman"/>
          <w:sz w:val="20"/>
        </w:rPr>
        <w:t>s.7(i),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employee data processing inventory; test each monitoring or analytics use against the necessity standard in the limb.</w:t>
      </w:r>
    </w:p>
    <w:p>
      <w:pPr>
        <w:spacing w:before="40" w:after="80"/>
        <w:ind w:left="0"/>
      </w:pPr>
      <w:r>
        <w:rPr>
          <w:rFonts w:ascii="Arial" w:hAnsi="Arial"/>
          <w:b/>
          <w:color w:val="44546A"/>
          <w:sz w:val="17"/>
        </w:rPr>
        <w:t xml:space="preserve">FINDING  </w:t>
      </w:r>
      <w:r>
        <w:rPr>
          <w:rFonts w:ascii="Times New Roman" w:hAnsi="Times New Roman"/>
          <w:sz w:val="20"/>
        </w:rPr>
        <w:t>Employment-purpose processing is documented for payroll, benefits and performance. The collections team's screen and keystroke monitoring is also placed under this limb; the connection to safeguarding the employer from loss or to provision of a service to the employee is asserted rather than evidenced, and employees have not been informed of the monitoring.</w:t>
      </w:r>
    </w:p>
    <w:p>
      <w:pPr>
        <w:spacing w:before="80" w:after="120"/>
        <w:pBdr>
          <w:bottom w:val="single" w:sz="6" w:space="1" w:color="BFBFBF"/>
        </w:pBdr>
      </w:pPr>
    </w:p>
    <w:p>
      <w:pPr>
        <w:pStyle w:val="Heading3"/>
        <w:keepNext/>
        <w:spacing w:before="200" w:after="80"/>
      </w:pPr>
      <w:r>
        <w:rPr>
          <w:rFonts w:ascii="Arial" w:hAnsi="Arial"/>
          <w:b/>
          <w:color w:val="1F3552"/>
          <w:sz w:val="22"/>
        </w:rPr>
        <w:t>LGU-03   Voluntary provision limb not over-extended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2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WP-057</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Processing is a legitimate use where the Data Principal has voluntarily provided personal data for a specified purpose and has not indicated objection, but only for that purpose.</w:t>
      </w:r>
    </w:p>
    <w:p>
      <w:pPr>
        <w:spacing w:before="40" w:after="80"/>
        <w:ind w:left="0"/>
      </w:pPr>
      <w:r>
        <w:rPr>
          <w:rFonts w:ascii="Arial" w:hAnsi="Arial"/>
          <w:b/>
          <w:color w:val="44546A"/>
          <w:sz w:val="17"/>
        </w:rPr>
        <w:t xml:space="preserve">STATUTORY BASIS  </w:t>
      </w:r>
      <w:r>
        <w:rPr>
          <w:rFonts w:ascii="Times New Roman" w:hAnsi="Times New Roman"/>
          <w:sz w:val="20"/>
        </w:rPr>
        <w:t>s.7(a),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activities relying on this limb; test whether processing extends beyond the volunteered purpose and whether objection is operable.</w:t>
      </w:r>
    </w:p>
    <w:p>
      <w:pPr>
        <w:spacing w:before="40" w:after="80"/>
        <w:ind w:left="0"/>
      </w:pPr>
      <w:r>
        <w:rPr>
          <w:rFonts w:ascii="Arial" w:hAnsi="Arial"/>
          <w:b/>
          <w:color w:val="44546A"/>
          <w:sz w:val="17"/>
        </w:rPr>
        <w:t xml:space="preserve">FINDING  </w:t>
      </w:r>
      <w:r>
        <w:rPr>
          <w:rFonts w:ascii="Times New Roman" w:hAnsi="Times New Roman"/>
          <w:sz w:val="20"/>
        </w:rPr>
        <w:t>Voluntary provision is relied upon for support interactions initiated by the Data Principal, which is appropriate. The same limb is stretched to cover retention of call recordings for model training, which is a different purpose from the one for which the data was voluntarily provided.</w:t>
      </w:r>
    </w:p>
    <w:p>
      <w:pPr>
        <w:spacing w:before="80" w:after="120"/>
        <w:pBdr>
          <w:bottom w:val="single" w:sz="6" w:space="1" w:color="BFBFBF"/>
        </w:pBdr>
      </w:pPr>
    </w:p>
    <w:p>
      <w:pPr>
        <w:pStyle w:val="Heading2"/>
        <w:keepNext/>
        <w:spacing w:before="280" w:after="120"/>
      </w:pPr>
      <w:r>
        <w:rPr>
          <w:rFonts w:ascii="Arial" w:hAnsi="Arial"/>
          <w:b/>
          <w:color w:val="1F3552"/>
          <w:sz w:val="26"/>
        </w:rPr>
        <w:t>4.8  RET — Retention &amp; Erasure</w:t>
      </w:r>
    </w:p>
    <w:p>
      <w:pPr>
        <w:spacing w:before="0" w:after="120"/>
        <w:jc w:val="both"/>
      </w:pPr>
      <w:r>
        <w:rPr>
          <w:rFonts w:ascii="Times New Roman" w:hAnsi="Times New Roman"/>
          <w:b w:val="0"/>
          <w:i/>
          <w:color w:val="44546A"/>
          <w:sz w:val="20"/>
        </w:rPr>
        <w:t>Section 8(7) requires erasure on withdrawal of consent or once the purpose is no longer being served, unless retention is required by law, and requires the Data Fiduciary to cause its processors to erase as well. Erasure that stops at the primary database — leaving data in warehouses, logs, backups and vendor systems — is the standard finding here.</w:t>
      </w:r>
    </w:p>
    <w:p>
      <w:pPr>
        <w:spacing w:before="40" w:after="80"/>
        <w:ind w:left="0"/>
      </w:pPr>
      <w:r>
        <w:rPr>
          <w:rFonts w:ascii="Arial" w:hAnsi="Arial"/>
          <w:b/>
          <w:color w:val="44546A"/>
          <w:sz w:val="17"/>
        </w:rPr>
        <w:t xml:space="preserve">SCOPE QUESTION  </w:t>
      </w:r>
      <w:r>
        <w:rPr>
          <w:rFonts w:ascii="Times New Roman" w:hAnsi="Times New Roman"/>
          <w:sz w:val="20"/>
        </w:rPr>
        <w:t>Is personal data erased when consent is withdrawn or the purpose is served, and is that erasure propagated to processors and backups?</w:t>
      </w:r>
    </w:p>
    <w:p>
      <w:pPr>
        <w:spacing w:before="40" w:after="80"/>
        <w:ind w:left="0"/>
      </w:pPr>
      <w:r>
        <w:rPr>
          <w:rFonts w:ascii="Arial" w:hAnsi="Arial"/>
          <w:b/>
          <w:color w:val="44546A"/>
          <w:sz w:val="17"/>
        </w:rPr>
        <w:t xml:space="preserve">RESULT  </w:t>
      </w:r>
      <w:r>
        <w:rPr>
          <w:rFonts w:ascii="Times New Roman" w:hAnsi="Times New Roman"/>
          <w:sz w:val="20"/>
        </w:rPr>
        <w:t>Domain maturity 21.6% (Initial). 5 controls in scope, 5 assessed, 5 gaps of which 2 attach to critical obligations. Highest residual risk in the domain is 12 of 16.</w:t>
      </w:r>
    </w:p>
    <w:p>
      <w:pPr>
        <w:spacing w:before="40" w:after="120"/>
        <w:pBdr>
          <w:bottom w:val="single" w:sz="6" w:space="1" w:color="BFBFBF"/>
        </w:pBdr>
      </w:pPr>
    </w:p>
    <w:p>
      <w:pPr>
        <w:pStyle w:val="Heading3"/>
        <w:keepNext/>
        <w:spacing w:before="200" w:after="80"/>
      </w:pPr>
      <w:r>
        <w:rPr>
          <w:rFonts w:ascii="Arial" w:hAnsi="Arial"/>
          <w:b/>
          <w:color w:val="1F3552"/>
          <w:sz w:val="22"/>
        </w:rPr>
        <w:t>RET-01   Retention schedule defined per data category and purpose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WP-060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Personal data must be erased on withdrawal of consent or as soon as it is reasonable to assume the specified purpose is no longer being served, whichever is earlier, unless retention is necessary for compliance with law.</w:t>
      </w:r>
    </w:p>
    <w:p>
      <w:pPr>
        <w:spacing w:before="40" w:after="80"/>
        <w:ind w:left="0"/>
      </w:pPr>
      <w:r>
        <w:rPr>
          <w:rFonts w:ascii="Arial" w:hAnsi="Arial"/>
          <w:b/>
          <w:color w:val="44546A"/>
          <w:sz w:val="17"/>
        </w:rPr>
        <w:t xml:space="preserve">STATUTORY BASIS  </w:t>
      </w:r>
      <w:r>
        <w:rPr>
          <w:rFonts w:ascii="Times New Roman" w:hAnsi="Times New Roman"/>
          <w:sz w:val="20"/>
        </w:rPr>
        <w:t>s.8(7),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retention schedule against the processing register; test the stated legal basis for each retention period exceeding the purpose.</w:t>
      </w:r>
    </w:p>
    <w:p>
      <w:pPr>
        <w:spacing w:before="40" w:after="80"/>
        <w:ind w:left="0"/>
      </w:pPr>
      <w:r>
        <w:rPr>
          <w:rFonts w:ascii="Arial" w:hAnsi="Arial"/>
          <w:b/>
          <w:color w:val="44546A"/>
          <w:sz w:val="17"/>
        </w:rPr>
        <w:t xml:space="preserve">FINDING  </w:t>
      </w:r>
      <w:r>
        <w:rPr>
          <w:rFonts w:ascii="Times New Roman" w:hAnsi="Times New Roman"/>
          <w:sz w:val="20"/>
        </w:rPr>
        <w:t>A retention schedule exists but is expressed at system level rather than by data category and purpose, and defaults to 'as required by applicable law' for 11 of 19 systems. Snowflake and the S3 data lake have no defined retention period at all; the oldest personal data located during testing dated from 2019.</w:t>
      </w:r>
    </w:p>
    <w:p>
      <w:pPr>
        <w:spacing w:before="40" w:after="80"/>
        <w:ind w:left="0"/>
      </w:pPr>
      <w:r>
        <w:rPr>
          <w:rFonts w:ascii="Arial" w:hAnsi="Arial"/>
          <w:b/>
          <w:color w:val="44546A"/>
          <w:sz w:val="17"/>
        </w:rPr>
        <w:t xml:space="preserve">TARGET STATE  </w:t>
      </w:r>
      <w:r>
        <w:rPr>
          <w:rFonts w:ascii="Times New Roman" w:hAnsi="Times New Roman"/>
          <w:sz w:val="20"/>
        </w:rPr>
        <w:t>A complete schedule covers every category and purpose, each extended period cites the specific legal requirement, and the schedule is reviewed and approved on a defined cycle.</w:t>
      </w:r>
    </w:p>
    <w:p>
      <w:pPr>
        <w:spacing w:before="40" w:after="80"/>
        <w:ind w:left="0"/>
      </w:pPr>
      <w:r>
        <w:rPr>
          <w:rFonts w:ascii="Arial" w:hAnsi="Arial"/>
          <w:b/>
          <w:color w:val="44546A"/>
          <w:sz w:val="17"/>
        </w:rPr>
        <w:t xml:space="preserve">TRACKED AS  </w:t>
      </w:r>
      <w:r>
        <w:rPr>
          <w:rFonts w:ascii="Times New Roman" w:hAnsi="Times New Roman"/>
          <w:sz w:val="20"/>
        </w:rPr>
        <w:t>G047 · priority P3 · target date 2026-11-12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RET-02   Erasure on withdrawal of consent or purpose completion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WP-061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On withdrawal of consent or once the purpose is no longer being served, the Data Fiduciary must erase the personal data, unless retention is necessary for compliance with any law.</w:t>
      </w:r>
    </w:p>
    <w:p>
      <w:pPr>
        <w:spacing w:before="40" w:after="80"/>
        <w:ind w:left="0"/>
      </w:pPr>
      <w:r>
        <w:rPr>
          <w:rFonts w:ascii="Arial" w:hAnsi="Arial"/>
          <w:b/>
          <w:color w:val="44546A"/>
          <w:sz w:val="17"/>
        </w:rPr>
        <w:t xml:space="preserve">STATUTORY BASIS  </w:t>
      </w:r>
      <w:r>
        <w:rPr>
          <w:rFonts w:ascii="Times New Roman" w:hAnsi="Times New Roman"/>
          <w:sz w:val="20"/>
        </w:rPr>
        <w:t>s.8(7),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withdraw consent for a test record, then query every store directly to confirm the data is gone rather than flagged.</w:t>
      </w:r>
    </w:p>
    <w:p>
      <w:pPr>
        <w:spacing w:before="40" w:after="80"/>
        <w:ind w:left="0"/>
      </w:pPr>
      <w:r>
        <w:rPr>
          <w:rFonts w:ascii="Arial" w:hAnsi="Arial"/>
          <w:b/>
          <w:color w:val="44546A"/>
          <w:sz w:val="17"/>
        </w:rPr>
        <w:t xml:space="preserve">FINDING  </w:t>
      </w:r>
      <w:r>
        <w:rPr>
          <w:rFonts w:ascii="Times New Roman" w:hAnsi="Times New Roman"/>
          <w:sz w:val="20"/>
        </w:rPr>
        <w:t>Erasure on withdrawal or purpose completion is not implemented. The manual runbook noted at CON-04 anonymises the CRM record but leaves the warehouse, the ledger, the communications platforms and the backups untouched. RBI and PMLA retention requirements were cited as justification but have not been mapped to data categories, so they operate as a blanket exception rather than a bounded one.</w:t>
      </w:r>
    </w:p>
    <w:p>
      <w:pPr>
        <w:spacing w:before="40" w:after="80"/>
        <w:ind w:left="0"/>
      </w:pPr>
      <w:r>
        <w:rPr>
          <w:rFonts w:ascii="Arial" w:hAnsi="Arial"/>
          <w:b/>
          <w:color w:val="44546A"/>
          <w:sz w:val="17"/>
        </w:rPr>
        <w:t xml:space="preserve">TARGET STATE  </w:t>
      </w:r>
      <w:r>
        <w:rPr>
          <w:rFonts w:ascii="Times New Roman" w:hAnsi="Times New Roman"/>
          <w:sz w:val="20"/>
        </w:rPr>
        <w:t>Erasure is automatically triggered, verified by direct query across stores, logged, and exceptions where law requires retention are individually documented.</w:t>
      </w:r>
    </w:p>
    <w:p>
      <w:pPr>
        <w:spacing w:before="40" w:after="80"/>
        <w:ind w:left="0"/>
      </w:pPr>
      <w:r>
        <w:rPr>
          <w:rFonts w:ascii="Arial" w:hAnsi="Arial"/>
          <w:b/>
          <w:color w:val="44546A"/>
          <w:sz w:val="17"/>
        </w:rPr>
        <w:t xml:space="preserve">TRACKED AS  </w:t>
      </w:r>
      <w:r>
        <w:rPr>
          <w:rFonts w:ascii="Times New Roman" w:hAnsi="Times New Roman"/>
          <w:sz w:val="20"/>
        </w:rPr>
        <w:t>G008 · priority P1 · target date 2026-09-13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RET-03   Erasure propagated to processors, backups and derived stores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WP-062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Data Fiduciary must cause its Data Processors to erase personal data that was made available to them for processing.</w:t>
      </w:r>
    </w:p>
    <w:p>
      <w:pPr>
        <w:spacing w:before="40" w:after="80"/>
        <w:ind w:left="0"/>
      </w:pPr>
      <w:r>
        <w:rPr>
          <w:rFonts w:ascii="Arial" w:hAnsi="Arial"/>
          <w:b/>
          <w:color w:val="44546A"/>
          <w:sz w:val="17"/>
        </w:rPr>
        <w:t xml:space="preserve">STATUTORY BASIS  </w:t>
      </w:r>
      <w:r>
        <w:rPr>
          <w:rFonts w:ascii="Times New Roman" w:hAnsi="Times New Roman"/>
          <w:sz w:val="20"/>
        </w:rPr>
        <w:t>s.8(7),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Trace an erasure request across the full data topology; inspect processor erasure confirmations; test the treatment of backups and derived datasets.</w:t>
      </w:r>
    </w:p>
    <w:p>
      <w:pPr>
        <w:spacing w:before="40" w:after="80"/>
        <w:ind w:left="0"/>
      </w:pPr>
      <w:r>
        <w:rPr>
          <w:rFonts w:ascii="Arial" w:hAnsi="Arial"/>
          <w:b/>
          <w:color w:val="44546A"/>
          <w:sz w:val="17"/>
        </w:rPr>
        <w:t xml:space="preserve">FINDING  </w:t>
      </w:r>
      <w:r>
        <w:rPr>
          <w:rFonts w:ascii="Times New Roman" w:hAnsi="Times New Roman"/>
          <w:sz w:val="20"/>
        </w:rPr>
        <w:t>Erasure does not propagate. Testing confirmed that a record erased in Kavach CRM remained present in Snowflake, in the dbt derived tables, in CleverTap and in Gupshup's message logs. No processor has been issued an erasure instruction in the period, and the vendor contracts contain no mechanism for doing so.</w:t>
      </w:r>
    </w:p>
    <w:p>
      <w:pPr>
        <w:spacing w:before="40" w:after="80"/>
        <w:ind w:left="0"/>
      </w:pPr>
      <w:r>
        <w:rPr>
          <w:rFonts w:ascii="Arial" w:hAnsi="Arial"/>
          <w:b/>
          <w:color w:val="44546A"/>
          <w:sz w:val="17"/>
        </w:rPr>
        <w:t xml:space="preserve">TARGET STATE  </w:t>
      </w:r>
      <w:r>
        <w:rPr>
          <w:rFonts w:ascii="Times New Roman" w:hAnsi="Times New Roman"/>
          <w:sz w:val="20"/>
        </w:rPr>
        <w:t>A complete topology drives erasure across every store, processors return confirmations that are tracked, and the backup approach is documented including re-erasure on restore.</w:t>
      </w:r>
    </w:p>
    <w:p>
      <w:pPr>
        <w:spacing w:before="40" w:after="80"/>
        <w:ind w:left="0"/>
      </w:pPr>
      <w:r>
        <w:rPr>
          <w:rFonts w:ascii="Arial" w:hAnsi="Arial"/>
          <w:b/>
          <w:color w:val="44546A"/>
          <w:sz w:val="17"/>
        </w:rPr>
        <w:t xml:space="preserve">TRACKED AS  </w:t>
      </w:r>
      <w:r>
        <w:rPr>
          <w:rFonts w:ascii="Times New Roman" w:hAnsi="Times New Roman"/>
          <w:sz w:val="20"/>
        </w:rPr>
        <w:t>G009 · priority P1 · target date 2026-09-13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RET-04   Deemed purpose completion on Data Principal inactivity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0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WP-063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purpose is deemed no longer to be served if the Data Principal neither approaches the Data Fiduciary for the performance of the purpose nor exercises any of their rights in relation to it, for such period as may be prescribed.</w:t>
      </w:r>
    </w:p>
    <w:p>
      <w:pPr>
        <w:spacing w:before="40" w:after="80"/>
        <w:ind w:left="0"/>
      </w:pPr>
      <w:r>
        <w:rPr>
          <w:rFonts w:ascii="Arial" w:hAnsi="Arial"/>
          <w:b/>
          <w:color w:val="44546A"/>
          <w:sz w:val="17"/>
        </w:rPr>
        <w:t xml:space="preserve">STATUTORY BASIS  </w:t>
      </w:r>
      <w:r>
        <w:rPr>
          <w:rFonts w:ascii="Times New Roman" w:hAnsi="Times New Roman"/>
          <w:sz w:val="20"/>
        </w:rPr>
        <w:t>s.8(10),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inactivity tracking and the erasure trigger; test the class determination against the prescribed thresholds; sample dormant records for erasure.</w:t>
      </w:r>
    </w:p>
    <w:p>
      <w:pPr>
        <w:spacing w:before="40" w:after="80"/>
        <w:ind w:left="0"/>
      </w:pPr>
      <w:r>
        <w:rPr>
          <w:rFonts w:ascii="Arial" w:hAnsi="Arial"/>
          <w:b/>
          <w:color w:val="44546A"/>
          <w:sz w:val="17"/>
        </w:rPr>
        <w:t xml:space="preserve">FINDING  </w:t>
      </w:r>
      <w:r>
        <w:rPr>
          <w:rFonts w:ascii="Times New Roman" w:hAnsi="Times New Roman"/>
          <w:sz w:val="20"/>
        </w:rPr>
        <w:t>There is no concept of deemed purpose completion on inactivity. Accounts dormant since 2019 remain fully populated and continue to be included in marketing audiences. Approximately 2.1 million Data Principals have had no interaction with the platform for over three years.</w:t>
      </w:r>
    </w:p>
    <w:p>
      <w:pPr>
        <w:spacing w:before="40" w:after="80"/>
        <w:ind w:left="0"/>
      </w:pPr>
      <w:r>
        <w:rPr>
          <w:rFonts w:ascii="Arial" w:hAnsi="Arial"/>
          <w:b/>
          <w:color w:val="44546A"/>
          <w:sz w:val="17"/>
        </w:rPr>
        <w:t xml:space="preserve">TARGET STATE  </w:t>
      </w:r>
      <w:r>
        <w:rPr>
          <w:rFonts w:ascii="Times New Roman" w:hAnsi="Times New Roman"/>
          <w:sz w:val="20"/>
        </w:rPr>
        <w:t>Inactivity is tracked per category, the class determination is documented, erasure triggers operate on the prescribed period, and dormant-population erasure is evidenced.</w:t>
      </w:r>
    </w:p>
    <w:p>
      <w:pPr>
        <w:spacing w:before="40" w:after="80"/>
        <w:ind w:left="0"/>
      </w:pPr>
      <w:r>
        <w:rPr>
          <w:rFonts w:ascii="Arial" w:hAnsi="Arial"/>
          <w:b/>
          <w:color w:val="44546A"/>
          <w:sz w:val="17"/>
        </w:rPr>
        <w:t xml:space="preserve">TRACKED AS  </w:t>
      </w:r>
      <w:r>
        <w:rPr>
          <w:rFonts w:ascii="Times New Roman" w:hAnsi="Times New Roman"/>
          <w:sz w:val="20"/>
        </w:rPr>
        <w:t>G013 · priority P1 · target date 2026-09-13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RET-05   Advance notice before erasure where required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0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0.9</w:t>
            </w:r>
          </w:p>
        </w:tc>
        <w:tc>
          <w:tcPr>
            <w:tcW w:type="dxa" w:w="1999"/>
          </w:tcPr>
          <w:p>
            <w:pPr>
              <w:spacing w:before="20" w:after="20"/>
              <w:jc w:val="center"/>
            </w:pPr>
            <w:r/>
            <w:r>
              <w:rPr>
                <w:rFonts w:ascii="Arial" w:hAnsi="Arial"/>
                <w:b w:val="0"/>
                <w:i w:val="0"/>
                <w:sz w:val="18"/>
              </w:rPr>
              <w:t>WP-064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Rules are understood to require advance intimation to the Data Principal before erasure on the expiry of a prescribed retention period, so that the individual may act to preserve access if they wish.</w:t>
      </w:r>
    </w:p>
    <w:p>
      <w:pPr>
        <w:spacing w:before="40" w:after="80"/>
        <w:ind w:left="0"/>
      </w:pPr>
      <w:r>
        <w:rPr>
          <w:rFonts w:ascii="Arial" w:hAnsi="Arial"/>
          <w:b/>
          <w:color w:val="44546A"/>
          <w:sz w:val="17"/>
        </w:rPr>
        <w:t xml:space="preserve">STATUTORY BASIS  </w:t>
      </w:r>
      <w:r>
        <w:rPr>
          <w:rFonts w:ascii="Times New Roman" w:hAnsi="Times New Roman"/>
          <w:sz w:val="20"/>
        </w:rPr>
        <w:t>s.8(7), s.8(10) read with the Rules,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pre-erasure notification mechanism and despatch logs; test that timing precedes erasure by the required interval.</w:t>
      </w:r>
    </w:p>
    <w:p>
      <w:pPr>
        <w:spacing w:before="40" w:after="80"/>
        <w:ind w:left="0"/>
      </w:pPr>
      <w:r>
        <w:rPr>
          <w:rFonts w:ascii="Arial" w:hAnsi="Arial"/>
          <w:b/>
          <w:color w:val="44546A"/>
          <w:sz w:val="17"/>
        </w:rPr>
        <w:t xml:space="preserve">FINDING  </w:t>
      </w:r>
      <w:r>
        <w:rPr>
          <w:rFonts w:ascii="Times New Roman" w:hAnsi="Times New Roman"/>
          <w:sz w:val="20"/>
        </w:rPr>
        <w:t>No advance intimation is given before erasure, because no scheduled erasure takes place. The requirement has not been designed for.</w:t>
      </w:r>
    </w:p>
    <w:p>
      <w:pPr>
        <w:spacing w:before="40" w:after="80"/>
        <w:ind w:left="0"/>
      </w:pPr>
      <w:r>
        <w:rPr>
          <w:rFonts w:ascii="Arial" w:hAnsi="Arial"/>
          <w:b/>
          <w:color w:val="44546A"/>
          <w:sz w:val="17"/>
        </w:rPr>
        <w:t xml:space="preserve">TARGET STATE  </w:t>
      </w:r>
      <w:r>
        <w:rPr>
          <w:rFonts w:ascii="Times New Roman" w:hAnsi="Times New Roman"/>
          <w:sz w:val="20"/>
        </w:rPr>
        <w:t>Pre-erasure notification is automated on the prescribed interval, despatch is logged, and responses are handled through a defined process.</w:t>
      </w:r>
    </w:p>
    <w:p>
      <w:pPr>
        <w:spacing w:before="40" w:after="80"/>
        <w:ind w:left="0"/>
      </w:pPr>
      <w:r>
        <w:rPr>
          <w:rFonts w:ascii="Arial" w:hAnsi="Arial"/>
          <w:b/>
          <w:color w:val="44546A"/>
          <w:sz w:val="17"/>
        </w:rPr>
        <w:t xml:space="preserve">TRACKED AS  </w:t>
      </w:r>
      <w:r>
        <w:rPr>
          <w:rFonts w:ascii="Times New Roman" w:hAnsi="Times New Roman"/>
          <w:sz w:val="20"/>
        </w:rPr>
        <w:t>G036 · priority P2 · target date 2026-10-13 · owner Devika Iyer, VP Engineering</w:t>
      </w:r>
    </w:p>
    <w:p>
      <w:pPr>
        <w:spacing w:before="80" w:after="120"/>
        <w:pBdr>
          <w:bottom w:val="single" w:sz="6" w:space="1" w:color="BFBFBF"/>
        </w:pBdr>
      </w:pPr>
    </w:p>
    <w:p>
      <w:pPr>
        <w:pStyle w:val="Heading2"/>
        <w:keepNext/>
        <w:spacing w:before="280" w:after="120"/>
      </w:pPr>
      <w:r>
        <w:rPr>
          <w:rFonts w:ascii="Arial" w:hAnsi="Arial"/>
          <w:b/>
          <w:color w:val="1F3552"/>
          <w:sz w:val="26"/>
        </w:rPr>
        <w:t>4.9  RGT — Data Principal Rights</w:t>
      </w:r>
    </w:p>
    <w:p>
      <w:pPr>
        <w:spacing w:before="0" w:after="120"/>
        <w:jc w:val="both"/>
      </w:pPr>
      <w:r>
        <w:rPr>
          <w:rFonts w:ascii="Times New Roman" w:hAnsi="Times New Roman"/>
          <w:b w:val="0"/>
          <w:i/>
          <w:color w:val="44546A"/>
          <w:sz w:val="20"/>
        </w:rPr>
        <w:t>Rights under sections 11, 12 and 14 are tested by exercising them, not by reading the privacy policy. The audit approach in this domain is deliberately operational: submit requests and measure what happens.</w:t>
      </w:r>
    </w:p>
    <w:p>
      <w:pPr>
        <w:spacing w:before="40" w:after="80"/>
        <w:ind w:left="0"/>
      </w:pPr>
      <w:r>
        <w:rPr>
          <w:rFonts w:ascii="Arial" w:hAnsi="Arial"/>
          <w:b/>
          <w:color w:val="44546A"/>
          <w:sz w:val="17"/>
        </w:rPr>
        <w:t xml:space="preserve">SCOPE QUESTION  </w:t>
      </w:r>
      <w:r>
        <w:rPr>
          <w:rFonts w:ascii="Times New Roman" w:hAnsi="Times New Roman"/>
          <w:sz w:val="20"/>
        </w:rPr>
        <w:t>Can a Data Principal actually obtain access, correction, erasure and nomination, within the prescribed period and without undue friction?</w:t>
      </w:r>
    </w:p>
    <w:p>
      <w:pPr>
        <w:spacing w:before="40" w:after="80"/>
        <w:ind w:left="0"/>
      </w:pPr>
      <w:r>
        <w:rPr>
          <w:rFonts w:ascii="Arial" w:hAnsi="Arial"/>
          <w:b/>
          <w:color w:val="44546A"/>
          <w:sz w:val="17"/>
        </w:rPr>
        <w:t xml:space="preserve">RESULT  </w:t>
      </w:r>
      <w:r>
        <w:rPr>
          <w:rFonts w:ascii="Times New Roman" w:hAnsi="Times New Roman"/>
          <w:sz w:val="20"/>
        </w:rPr>
        <w:t>Domain maturity 46.5% (Developing). 6 controls in scope, 6 assessed, 4 gaps of which 0 attach to critical obligations. Highest residual risk in the domain is 9 of 16.</w:t>
      </w:r>
    </w:p>
    <w:p>
      <w:pPr>
        <w:spacing w:before="40" w:after="120"/>
        <w:pBdr>
          <w:bottom w:val="single" w:sz="6" w:space="1" w:color="BFBFBF"/>
        </w:pBdr>
      </w:pPr>
    </w:p>
    <w:p>
      <w:pPr>
        <w:pStyle w:val="Heading3"/>
        <w:keepNext/>
        <w:spacing w:before="200" w:after="80"/>
      </w:pPr>
      <w:r>
        <w:rPr>
          <w:rFonts w:ascii="Arial" w:hAnsi="Arial"/>
          <w:b/>
          <w:color w:val="1F3552"/>
          <w:sz w:val="22"/>
        </w:rPr>
        <w:t>RGT-01   Right to access information about personal data</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WP-070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Principal who has previously given consent is entitled, on request, to a summary of the personal data being processed and the processing activities undertaken, the identities of all other Data Fiduciaries and Data Processors with whom the personal data has been shared together with a description of the data shared, and any other prescribed information.</w:t>
      </w:r>
    </w:p>
    <w:p>
      <w:pPr>
        <w:spacing w:before="40" w:after="80"/>
        <w:ind w:left="0"/>
      </w:pPr>
      <w:r>
        <w:rPr>
          <w:rFonts w:ascii="Arial" w:hAnsi="Arial"/>
          <w:b/>
          <w:color w:val="44546A"/>
          <w:sz w:val="17"/>
        </w:rPr>
        <w:t xml:space="preserve">STATUTORY BASIS  </w:t>
      </w:r>
      <w:r>
        <w:rPr>
          <w:rFonts w:ascii="Times New Roman" w:hAnsi="Times New Roman"/>
          <w:sz w:val="20"/>
        </w:rPr>
        <w:t>s.11(1),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submit an access request as a Data Principal and evaluate the completeness of the response against the statutory requirements.</w:t>
      </w:r>
    </w:p>
    <w:p>
      <w:pPr>
        <w:spacing w:before="40" w:after="80"/>
        <w:ind w:left="0"/>
      </w:pPr>
      <w:r>
        <w:rPr>
          <w:rFonts w:ascii="Arial" w:hAnsi="Arial"/>
          <w:b/>
          <w:color w:val="44546A"/>
          <w:sz w:val="17"/>
        </w:rPr>
        <w:t xml:space="preserve">FINDING  </w:t>
      </w:r>
      <w:r>
        <w:rPr>
          <w:rFonts w:ascii="Times New Roman" w:hAnsi="Times New Roman"/>
          <w:sz w:val="20"/>
        </w:rPr>
        <w:t>An access request route exists via the grievance form and produces a summary of profile data. It does not include the identities of processors or other recipients with whom data has been shared, nor a description of the processing activities. Two of the four requests received in the period were answered outside 30 days.</w:t>
      </w:r>
    </w:p>
    <w:p>
      <w:pPr>
        <w:spacing w:before="40" w:after="80"/>
        <w:ind w:left="0"/>
      </w:pPr>
      <w:r>
        <w:rPr>
          <w:rFonts w:ascii="Arial" w:hAnsi="Arial"/>
          <w:b/>
          <w:color w:val="44546A"/>
          <w:sz w:val="17"/>
        </w:rPr>
        <w:t xml:space="preserve">TARGET STATE  </w:t>
      </w:r>
      <w:r>
        <w:rPr>
          <w:rFonts w:ascii="Times New Roman" w:hAnsi="Times New Roman"/>
          <w:sz w:val="20"/>
        </w:rPr>
        <w:t>Testing confirms responses cover all statutory elements including full recipient identities and descriptions of data shared, produced within the prescribed period through a repeatable process.</w:t>
      </w:r>
    </w:p>
    <w:p>
      <w:pPr>
        <w:spacing w:before="40" w:after="80"/>
        <w:ind w:left="0"/>
      </w:pPr>
      <w:r>
        <w:rPr>
          <w:rFonts w:ascii="Arial" w:hAnsi="Arial"/>
          <w:b/>
          <w:color w:val="44546A"/>
          <w:sz w:val="17"/>
        </w:rPr>
        <w:t xml:space="preserve">TRACKED AS  </w:t>
      </w:r>
      <w:r>
        <w:rPr>
          <w:rFonts w:ascii="Times New Roman" w:hAnsi="Times New Roman"/>
          <w:sz w:val="20"/>
        </w:rPr>
        <w:t>G048 · priority P3 · target date 2026-11-12 · owner Anita Desai, Head of Customer Experience</w:t>
      </w:r>
    </w:p>
    <w:p>
      <w:pPr>
        <w:spacing w:before="80" w:after="120"/>
        <w:pBdr>
          <w:bottom w:val="single" w:sz="6" w:space="1" w:color="BFBFBF"/>
        </w:pBdr>
      </w:pPr>
    </w:p>
    <w:p>
      <w:pPr>
        <w:pStyle w:val="Heading3"/>
        <w:keepNext/>
        <w:spacing w:before="200" w:after="80"/>
      </w:pPr>
      <w:r>
        <w:rPr>
          <w:rFonts w:ascii="Arial" w:hAnsi="Arial"/>
          <w:b/>
          <w:color w:val="1F3552"/>
          <w:sz w:val="22"/>
        </w:rPr>
        <w:t>RGT-02   Right to correction, completion and updating</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WP-071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Principal has the right to correction, completion and updating of personal data. On receiving such a request the Data Fiduciary must correct inaccurate or misleading data, complete incomplete data, and update it.</w:t>
      </w:r>
    </w:p>
    <w:p>
      <w:pPr>
        <w:spacing w:before="40" w:after="80"/>
        <w:ind w:left="0"/>
      </w:pPr>
      <w:r>
        <w:rPr>
          <w:rFonts w:ascii="Arial" w:hAnsi="Arial"/>
          <w:b/>
          <w:color w:val="44546A"/>
          <w:sz w:val="17"/>
        </w:rPr>
        <w:t xml:space="preserve">STATUTORY BASIS  </w:t>
      </w:r>
      <w:r>
        <w:rPr>
          <w:rFonts w:ascii="Times New Roman" w:hAnsi="Times New Roman"/>
          <w:sz w:val="20"/>
        </w:rPr>
        <w:t>s.12(1), s.12(2),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submit a correction request and trace propagation to downstream systems and third-party recipients.</w:t>
      </w:r>
    </w:p>
    <w:p>
      <w:pPr>
        <w:spacing w:before="40" w:after="80"/>
        <w:ind w:left="0"/>
      </w:pPr>
      <w:r>
        <w:rPr>
          <w:rFonts w:ascii="Arial" w:hAnsi="Arial"/>
          <w:b/>
          <w:color w:val="44546A"/>
          <w:sz w:val="17"/>
        </w:rPr>
        <w:t xml:space="preserve">FINDING  </w:t>
      </w:r>
      <w:r>
        <w:rPr>
          <w:rFonts w:ascii="Times New Roman" w:hAnsi="Times New Roman"/>
          <w:sz w:val="20"/>
        </w:rPr>
        <w:t>Correction and updating of profile data is self-service in the application and works as described. Completion of incomplete records and correction of data held only in the warehouse or with processors requires a manual request and is not propagated, as noted at PUR-04.</w:t>
      </w:r>
    </w:p>
    <w:p>
      <w:pPr>
        <w:spacing w:before="80" w:after="120"/>
        <w:pBdr>
          <w:bottom w:val="single" w:sz="6" w:space="1" w:color="BFBFBF"/>
        </w:pBdr>
      </w:pPr>
    </w:p>
    <w:p>
      <w:pPr>
        <w:pStyle w:val="Heading3"/>
        <w:keepNext/>
        <w:spacing w:before="200" w:after="80"/>
      </w:pPr>
      <w:r>
        <w:rPr>
          <w:rFonts w:ascii="Arial" w:hAnsi="Arial"/>
          <w:b/>
          <w:color w:val="1F3552"/>
          <w:sz w:val="22"/>
        </w:rPr>
        <w:t>RGT-03   Right to erasure on request</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WP-072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Principal has the right to erasure of personal data, and on such a request the Data Fiduciary must erase unless retention is necessary for the specified purpose or for compliance with any law.</w:t>
      </w:r>
    </w:p>
    <w:p>
      <w:pPr>
        <w:spacing w:before="40" w:after="80"/>
        <w:ind w:left="0"/>
      </w:pPr>
      <w:r>
        <w:rPr>
          <w:rFonts w:ascii="Arial" w:hAnsi="Arial"/>
          <w:b/>
          <w:color w:val="44546A"/>
          <w:sz w:val="17"/>
        </w:rPr>
        <w:t xml:space="preserve">STATUTORY BASIS  </w:t>
      </w:r>
      <w:r>
        <w:rPr>
          <w:rFonts w:ascii="Times New Roman" w:hAnsi="Times New Roman"/>
          <w:sz w:val="20"/>
        </w:rPr>
        <w:t>s.12(3),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Re-performance: submit an erasure request and verify removal across stores; inspect the refusal log and test the justifications recorded.</w:t>
      </w:r>
    </w:p>
    <w:p>
      <w:pPr>
        <w:spacing w:before="40" w:after="80"/>
        <w:ind w:left="0"/>
      </w:pPr>
      <w:r>
        <w:rPr>
          <w:rFonts w:ascii="Arial" w:hAnsi="Arial"/>
          <w:b/>
          <w:color w:val="44546A"/>
          <w:sz w:val="17"/>
        </w:rPr>
        <w:t xml:space="preserve">FINDING  </w:t>
      </w:r>
      <w:r>
        <w:rPr>
          <w:rFonts w:ascii="Times New Roman" w:hAnsi="Times New Roman"/>
          <w:sz w:val="20"/>
        </w:rPr>
        <w:t>Erasure requests are accepted but cannot be fulfilled beyond the CRM, for the reasons at RET-03. Three of the three erasure requests received were closed as completed on the basis of CRM anonymisation alone, which overstates what was done and creates a misleading record.</w:t>
      </w:r>
    </w:p>
    <w:p>
      <w:pPr>
        <w:spacing w:before="40" w:after="80"/>
        <w:ind w:left="0"/>
      </w:pPr>
      <w:r>
        <w:rPr>
          <w:rFonts w:ascii="Arial" w:hAnsi="Arial"/>
          <w:b/>
          <w:color w:val="44546A"/>
          <w:sz w:val="17"/>
        </w:rPr>
        <w:t xml:space="preserve">TARGET STATE  </w:t>
      </w:r>
      <w:r>
        <w:rPr>
          <w:rFonts w:ascii="Times New Roman" w:hAnsi="Times New Roman"/>
          <w:sz w:val="20"/>
        </w:rPr>
        <w:t>Erasure is actioned and verified across all stores within the prescribed period, and each refusal cites a specific legal basis and is communicated to the Data Principal.</w:t>
      </w:r>
    </w:p>
    <w:p>
      <w:pPr>
        <w:spacing w:before="40" w:after="80"/>
        <w:ind w:left="0"/>
      </w:pPr>
      <w:r>
        <w:rPr>
          <w:rFonts w:ascii="Arial" w:hAnsi="Arial"/>
          <w:b/>
          <w:color w:val="44546A"/>
          <w:sz w:val="17"/>
        </w:rPr>
        <w:t xml:space="preserve">TRACKED AS  </w:t>
      </w:r>
      <w:r>
        <w:rPr>
          <w:rFonts w:ascii="Times New Roman" w:hAnsi="Times New Roman"/>
          <w:sz w:val="20"/>
        </w:rPr>
        <w:t>G019 · priority P2 · target date 2026-10-13 · owner Anita Desai, Head of Customer Experience</w:t>
      </w:r>
    </w:p>
    <w:p>
      <w:pPr>
        <w:spacing w:before="80" w:after="120"/>
        <w:pBdr>
          <w:bottom w:val="single" w:sz="6" w:space="1" w:color="BFBFBF"/>
        </w:pBdr>
      </w:pPr>
    </w:p>
    <w:p>
      <w:pPr>
        <w:pStyle w:val="Heading3"/>
        <w:keepNext/>
        <w:spacing w:before="200" w:after="80"/>
      </w:pPr>
      <w:r>
        <w:rPr>
          <w:rFonts w:ascii="Arial" w:hAnsi="Arial"/>
          <w:b/>
          <w:color w:val="1F3552"/>
          <w:sz w:val="22"/>
        </w:rPr>
        <w:t>RGT-04   Right to nominate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0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0.9</w:t>
            </w:r>
          </w:p>
        </w:tc>
        <w:tc>
          <w:tcPr>
            <w:tcW w:type="dxa" w:w="1999"/>
          </w:tcPr>
          <w:p>
            <w:pPr>
              <w:spacing w:before="20" w:after="20"/>
              <w:jc w:val="center"/>
            </w:pPr>
            <w:r/>
            <w:r>
              <w:rPr>
                <w:rFonts w:ascii="Arial" w:hAnsi="Arial"/>
                <w:b w:val="0"/>
                <w:i w:val="0"/>
                <w:sz w:val="18"/>
              </w:rPr>
              <w:t>WP-073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Principal has the right to nominate, in the prescribed manner, any other individual to exercise their rights under the Act in the event of the Data Principal's death or incapacity.</w:t>
      </w:r>
    </w:p>
    <w:p>
      <w:pPr>
        <w:spacing w:before="40" w:after="80"/>
        <w:ind w:left="0"/>
      </w:pPr>
      <w:r>
        <w:rPr>
          <w:rFonts w:ascii="Arial" w:hAnsi="Arial"/>
          <w:b/>
          <w:color w:val="44546A"/>
          <w:sz w:val="17"/>
        </w:rPr>
        <w:t xml:space="preserve">STATUTORY BASIS  </w:t>
      </w:r>
      <w:r>
        <w:rPr>
          <w:rFonts w:ascii="Times New Roman" w:hAnsi="Times New Roman"/>
          <w:sz w:val="20"/>
        </w:rPr>
        <w:t>s.14,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nomination mechanism and the nominee verification procedure; test that nomination records are retrievable and actionable.</w:t>
      </w:r>
    </w:p>
    <w:p>
      <w:pPr>
        <w:spacing w:before="40" w:after="80"/>
        <w:ind w:left="0"/>
      </w:pPr>
      <w:r>
        <w:rPr>
          <w:rFonts w:ascii="Arial" w:hAnsi="Arial"/>
          <w:b/>
          <w:color w:val="44546A"/>
          <w:sz w:val="17"/>
        </w:rPr>
        <w:t xml:space="preserve">FINDING  </w:t>
      </w:r>
      <w:r>
        <w:rPr>
          <w:rFonts w:ascii="Times New Roman" w:hAnsi="Times New Roman"/>
          <w:sz w:val="20"/>
        </w:rPr>
        <w:t>The right to nominate has not been implemented. There is no interface, no record structure and no operating procedure for giving effect to a nomination on death or incapacity.</w:t>
      </w:r>
    </w:p>
    <w:p>
      <w:pPr>
        <w:spacing w:before="40" w:after="80"/>
        <w:ind w:left="0"/>
      </w:pPr>
      <w:r>
        <w:rPr>
          <w:rFonts w:ascii="Arial" w:hAnsi="Arial"/>
          <w:b/>
          <w:color w:val="44546A"/>
          <w:sz w:val="17"/>
        </w:rPr>
        <w:t xml:space="preserve">TARGET STATE  </w:t>
      </w:r>
      <w:r>
        <w:rPr>
          <w:rFonts w:ascii="Times New Roman" w:hAnsi="Times New Roman"/>
          <w:sz w:val="20"/>
        </w:rPr>
        <w:t>A structured nomination mechanism is available and publicised, records are retrievable, and a documented procedure governs nominee verification and rights exercise on death or incapacity.</w:t>
      </w:r>
    </w:p>
    <w:p>
      <w:pPr>
        <w:spacing w:before="40" w:after="80"/>
        <w:ind w:left="0"/>
      </w:pPr>
      <w:r>
        <w:rPr>
          <w:rFonts w:ascii="Arial" w:hAnsi="Arial"/>
          <w:b/>
          <w:color w:val="44546A"/>
          <w:sz w:val="17"/>
        </w:rPr>
        <w:t xml:space="preserve">TRACKED AS  </w:t>
      </w:r>
      <w:r>
        <w:rPr>
          <w:rFonts w:ascii="Times New Roman" w:hAnsi="Times New Roman"/>
          <w:sz w:val="20"/>
        </w:rPr>
        <w:t>G037 · priority P2 · target date 2026-10-13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RGT-05   Identity verification proportionate and non-obstructive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2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WP-074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Rights must be exercisable in the prescribed manner. Verification of the requester's identity is legitimate, but requirements that exceed what is necessary operate as an obstruction to the exercise of a statutory right and themselves involve collecting further personal data.</w:t>
      </w:r>
    </w:p>
    <w:p>
      <w:pPr>
        <w:spacing w:before="40" w:after="80"/>
        <w:ind w:left="0"/>
      </w:pPr>
      <w:r>
        <w:rPr>
          <w:rFonts w:ascii="Arial" w:hAnsi="Arial"/>
          <w:b/>
          <w:color w:val="44546A"/>
          <w:sz w:val="17"/>
        </w:rPr>
        <w:t xml:space="preserve">STATUTORY BASIS  </w:t>
      </w:r>
      <w:r>
        <w:rPr>
          <w:rFonts w:ascii="Times New Roman" w:hAnsi="Times New Roman"/>
          <w:sz w:val="20"/>
        </w:rPr>
        <w:t>s.11, s.12, s.13 read with s.6(1),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verification requirements per request type; assess proportionality and whether verification collects data beyond what is held.</w:t>
      </w:r>
    </w:p>
    <w:p>
      <w:pPr>
        <w:spacing w:before="40" w:after="80"/>
        <w:ind w:left="0"/>
      </w:pPr>
      <w:r>
        <w:rPr>
          <w:rFonts w:ascii="Arial" w:hAnsi="Arial"/>
          <w:b/>
          <w:color w:val="44546A"/>
          <w:sz w:val="17"/>
        </w:rPr>
        <w:t xml:space="preserve">FINDING  </w:t>
      </w:r>
      <w:r>
        <w:rPr>
          <w:rFonts w:ascii="Times New Roman" w:hAnsi="Times New Roman"/>
          <w:sz w:val="20"/>
        </w:rPr>
        <w:t>Identity verification for rights requests reuses the existing authenticated session where the request originates in the app, which is proportionate. Email-originated requests trigger a request for a self-attested identity document, which exceeds what is necessary where the mailbox is the registered one.</w:t>
      </w:r>
    </w:p>
    <w:p>
      <w:pPr>
        <w:spacing w:before="80" w:after="120"/>
        <w:pBdr>
          <w:bottom w:val="single" w:sz="6" w:space="1" w:color="BFBFBF"/>
        </w:pBdr>
      </w:pPr>
    </w:p>
    <w:p>
      <w:pPr>
        <w:pStyle w:val="Heading3"/>
        <w:keepNext/>
        <w:spacing w:before="200" w:after="80"/>
      </w:pPr>
      <w:r>
        <w:rPr>
          <w:rFonts w:ascii="Arial" w:hAnsi="Arial"/>
          <w:b/>
          <w:color w:val="1F3552"/>
          <w:sz w:val="22"/>
        </w:rPr>
        <w:t>RGT-06   Rights request logging, tracking and service levels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WP-075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Demonstrating compliance with rights obligations requires a record of requests received, actions taken and time to completion.</w:t>
      </w:r>
    </w:p>
    <w:p>
      <w:pPr>
        <w:spacing w:before="40" w:after="80"/>
        <w:ind w:left="0"/>
      </w:pPr>
      <w:r>
        <w:rPr>
          <w:rFonts w:ascii="Arial" w:hAnsi="Arial"/>
          <w:b/>
          <w:color w:val="44546A"/>
          <w:sz w:val="17"/>
        </w:rPr>
        <w:t xml:space="preserve">STATUTORY BASIS  </w:t>
      </w:r>
      <w:r>
        <w:rPr>
          <w:rFonts w:ascii="Times New Roman" w:hAnsi="Times New Roman"/>
          <w:sz w:val="20"/>
        </w:rPr>
        <w:t>s.8(1), s.11, s.12, s.13,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register for completeness; reconcile against inbound channels to detect requests received but never logged; test elapsed times.</w:t>
      </w:r>
    </w:p>
    <w:p>
      <w:pPr>
        <w:spacing w:before="40" w:after="80"/>
        <w:ind w:left="0"/>
      </w:pPr>
      <w:r>
        <w:rPr>
          <w:rFonts w:ascii="Arial" w:hAnsi="Arial"/>
          <w:b/>
          <w:color w:val="44546A"/>
          <w:sz w:val="17"/>
        </w:rPr>
        <w:t xml:space="preserve">FINDING  </w:t>
      </w:r>
      <w:r>
        <w:rPr>
          <w:rFonts w:ascii="Times New Roman" w:hAnsi="Times New Roman"/>
          <w:sz w:val="20"/>
        </w:rPr>
        <w:t>Rights requests arrive through the general support queue and are not separately categorised, so volumes, ageing and outcomes cannot be reported. The eight requests identified in the period were reconstructed manually from mailbox searches during this assessment. No service level is defined.</w:t>
      </w:r>
    </w:p>
    <w:p>
      <w:pPr>
        <w:spacing w:before="40" w:after="80"/>
        <w:ind w:left="0"/>
      </w:pPr>
      <w:r>
        <w:rPr>
          <w:rFonts w:ascii="Arial" w:hAnsi="Arial"/>
          <w:b/>
          <w:color w:val="44546A"/>
          <w:sz w:val="17"/>
        </w:rPr>
        <w:t xml:space="preserve">TARGET STATE  </w:t>
      </w:r>
      <w:r>
        <w:rPr>
          <w:rFonts w:ascii="Times New Roman" w:hAnsi="Times New Roman"/>
          <w:sz w:val="20"/>
        </w:rPr>
        <w:t>A single register captures requests from every channel following reconciliation, elapsed times are measured against the prescribed period, and overruns are reported and remediated.</w:t>
      </w:r>
    </w:p>
    <w:p>
      <w:pPr>
        <w:spacing w:before="40" w:after="80"/>
        <w:ind w:left="0"/>
      </w:pPr>
      <w:r>
        <w:rPr>
          <w:rFonts w:ascii="Arial" w:hAnsi="Arial"/>
          <w:b/>
          <w:color w:val="44546A"/>
          <w:sz w:val="17"/>
        </w:rPr>
        <w:t xml:space="preserve">TRACKED AS  </w:t>
      </w:r>
      <w:r>
        <w:rPr>
          <w:rFonts w:ascii="Times New Roman" w:hAnsi="Times New Roman"/>
          <w:sz w:val="20"/>
        </w:rPr>
        <w:t>G049 · priority P3 · target date 2026-11-12 · owner Anita Desai, Head of Customer Experience</w:t>
      </w:r>
    </w:p>
    <w:p>
      <w:pPr>
        <w:spacing w:before="80" w:after="120"/>
        <w:pBdr>
          <w:bottom w:val="single" w:sz="6" w:space="1" w:color="BFBFBF"/>
        </w:pBdr>
      </w:pPr>
    </w:p>
    <w:p>
      <w:pPr>
        <w:pStyle w:val="Heading2"/>
        <w:keepNext/>
        <w:spacing w:before="280" w:after="120"/>
      </w:pPr>
      <w:r>
        <w:rPr>
          <w:rFonts w:ascii="Arial" w:hAnsi="Arial"/>
          <w:b/>
          <w:color w:val="1F3552"/>
          <w:sz w:val="26"/>
        </w:rPr>
        <w:t>4.10  GRV — Grievance Redressal</w:t>
      </w:r>
    </w:p>
    <w:p>
      <w:pPr>
        <w:spacing w:before="0" w:after="120"/>
        <w:jc w:val="both"/>
      </w:pPr>
      <w:r>
        <w:rPr>
          <w:rFonts w:ascii="Times New Roman" w:hAnsi="Times New Roman"/>
          <w:b w:val="0"/>
          <w:i/>
          <w:color w:val="44546A"/>
          <w:sz w:val="20"/>
        </w:rPr>
        <w:t>Section 8(9) requires an effective mechanism and section 13 makes it a right. A Data Principal must exhaust it before approaching the Board, which means the grievance channel is the entity's own opportunity to resolve a matter before it becomes an inquiry. A channel that does not respond converts routine complaints into Board complaints.</w:t>
      </w:r>
    </w:p>
    <w:p>
      <w:pPr>
        <w:spacing w:before="40" w:after="80"/>
        <w:ind w:left="0"/>
      </w:pPr>
      <w:r>
        <w:rPr>
          <w:rFonts w:ascii="Arial" w:hAnsi="Arial"/>
          <w:b/>
          <w:color w:val="44546A"/>
          <w:sz w:val="17"/>
        </w:rPr>
        <w:t xml:space="preserve">SCOPE QUESTION  </w:t>
      </w:r>
      <w:r>
        <w:rPr>
          <w:rFonts w:ascii="Times New Roman" w:hAnsi="Times New Roman"/>
          <w:sz w:val="20"/>
        </w:rPr>
        <w:t>Is there an effective, reachable grievance mechanism that responds within the prescribed period?</w:t>
      </w:r>
    </w:p>
    <w:p>
      <w:pPr>
        <w:spacing w:before="40" w:after="80"/>
        <w:ind w:left="0"/>
      </w:pPr>
      <w:r>
        <w:rPr>
          <w:rFonts w:ascii="Arial" w:hAnsi="Arial"/>
          <w:b/>
          <w:color w:val="44546A"/>
          <w:sz w:val="17"/>
        </w:rPr>
        <w:t xml:space="preserve">RESULT  </w:t>
      </w:r>
      <w:r>
        <w:rPr>
          <w:rFonts w:ascii="Times New Roman" w:hAnsi="Times New Roman"/>
          <w:sz w:val="20"/>
        </w:rPr>
        <w:t>Domain maturity 44.0% (Developing). 4 controls in scope, 4 assessed, 3 gaps of which 0 attach to critical obligations. Highest residual risk in the domain is 9 of 16.</w:t>
      </w:r>
    </w:p>
    <w:p>
      <w:pPr>
        <w:spacing w:before="40" w:after="120"/>
        <w:pBdr>
          <w:bottom w:val="single" w:sz="6" w:space="1" w:color="BFBFBF"/>
        </w:pBdr>
      </w:pPr>
    </w:p>
    <w:p>
      <w:pPr>
        <w:pStyle w:val="Heading3"/>
        <w:keepNext/>
        <w:spacing w:before="200" w:after="80"/>
      </w:pPr>
      <w:r>
        <w:rPr>
          <w:rFonts w:ascii="Arial" w:hAnsi="Arial"/>
          <w:b/>
          <w:color w:val="1F3552"/>
          <w:sz w:val="22"/>
        </w:rPr>
        <w:t>GRV-01   Effective grievance redressal mechanism established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WP-080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must establish an effective mechanism to redress the grievances of Data Principals.</w:t>
      </w:r>
    </w:p>
    <w:p>
      <w:pPr>
        <w:spacing w:before="40" w:after="80"/>
        <w:ind w:left="0"/>
      </w:pPr>
      <w:r>
        <w:rPr>
          <w:rFonts w:ascii="Arial" w:hAnsi="Arial"/>
          <w:b/>
          <w:color w:val="44546A"/>
          <w:sz w:val="17"/>
        </w:rPr>
        <w:t xml:space="preserve">STATUTORY BASIS  </w:t>
      </w:r>
      <w:r>
        <w:rPr>
          <w:rFonts w:ascii="Times New Roman" w:hAnsi="Times New Roman"/>
          <w:sz w:val="20"/>
        </w:rPr>
        <w:t>s.8(9),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mechanism design and staffing; re-perform by lodging a substantive grievance and following it to resolution.</w:t>
      </w:r>
    </w:p>
    <w:p>
      <w:pPr>
        <w:spacing w:before="40" w:after="80"/>
        <w:ind w:left="0"/>
      </w:pPr>
      <w:r>
        <w:rPr>
          <w:rFonts w:ascii="Arial" w:hAnsi="Arial"/>
          <w:b/>
          <w:color w:val="44546A"/>
          <w:sz w:val="17"/>
        </w:rPr>
        <w:t xml:space="preserve">FINDING  </w:t>
      </w:r>
      <w:r>
        <w:rPr>
          <w:rFonts w:ascii="Times New Roman" w:hAnsi="Times New Roman"/>
          <w:sz w:val="20"/>
        </w:rPr>
        <w:t>A grievance mechanism exists in the form of a web form and a support email address, both monitored. There is no defined escalation path, no distinction between a service complaint and a data protection grievance, and no owner accountable for grievance outcomes as opposed to ticket closure.</w:t>
      </w:r>
    </w:p>
    <w:p>
      <w:pPr>
        <w:spacing w:before="40" w:after="80"/>
        <w:ind w:left="0"/>
      </w:pPr>
      <w:r>
        <w:rPr>
          <w:rFonts w:ascii="Arial" w:hAnsi="Arial"/>
          <w:b/>
          <w:color w:val="44546A"/>
          <w:sz w:val="17"/>
        </w:rPr>
        <w:t xml:space="preserve">TARGET STATE  </w:t>
      </w:r>
      <w:r>
        <w:rPr>
          <w:rFonts w:ascii="Times New Roman" w:hAnsi="Times New Roman"/>
          <w:sz w:val="20"/>
        </w:rPr>
        <w:t>A dedicated, resourced mechanism with defined ownership and escalation resolves matters substantively, and end-to-end testing confirms effectiveness.</w:t>
      </w:r>
    </w:p>
    <w:p>
      <w:pPr>
        <w:spacing w:before="40" w:after="80"/>
        <w:ind w:left="0"/>
      </w:pPr>
      <w:r>
        <w:rPr>
          <w:rFonts w:ascii="Arial" w:hAnsi="Arial"/>
          <w:b/>
          <w:color w:val="44546A"/>
          <w:sz w:val="17"/>
        </w:rPr>
        <w:t xml:space="preserve">TRACKED AS  </w:t>
      </w:r>
      <w:r>
        <w:rPr>
          <w:rFonts w:ascii="Times New Roman" w:hAnsi="Times New Roman"/>
          <w:sz w:val="20"/>
        </w:rPr>
        <w:t>G042 · priority P3 · target date 2026-11-12 · owner Anita Desai, Head of Customer Experience</w:t>
      </w:r>
    </w:p>
    <w:p>
      <w:pPr>
        <w:spacing w:before="80" w:after="120"/>
        <w:pBdr>
          <w:bottom w:val="single" w:sz="6" w:space="1" w:color="BFBFBF"/>
        </w:pBdr>
      </w:pPr>
    </w:p>
    <w:p>
      <w:pPr>
        <w:pStyle w:val="Heading3"/>
        <w:keepNext/>
        <w:spacing w:before="200" w:after="80"/>
      </w:pPr>
      <w:r>
        <w:rPr>
          <w:rFonts w:ascii="Arial" w:hAnsi="Arial"/>
          <w:b/>
          <w:color w:val="1F3552"/>
          <w:sz w:val="22"/>
        </w:rPr>
        <w:t>GRV-02   Response within the prescribed period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WP-081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Principal has the right to readily available means of grievance redressal, and the Data Fiduciary must respond to a grievance within such period as may be prescribed.</w:t>
      </w:r>
    </w:p>
    <w:p>
      <w:pPr>
        <w:spacing w:before="40" w:after="80"/>
        <w:ind w:left="0"/>
      </w:pPr>
      <w:r>
        <w:rPr>
          <w:rFonts w:ascii="Arial" w:hAnsi="Arial"/>
          <w:b/>
          <w:color w:val="44546A"/>
          <w:sz w:val="17"/>
        </w:rPr>
        <w:t xml:space="preserve">STATUTORY BASIS  </w:t>
      </w:r>
      <w:r>
        <w:rPr>
          <w:rFonts w:ascii="Times New Roman" w:hAnsi="Times New Roman"/>
          <w:sz w:val="20"/>
        </w:rPr>
        <w:t>s.13(1), s.13(2),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service level configuration and performance data; test a sample of closed grievances for actual elapsed time.</w:t>
      </w:r>
    </w:p>
    <w:p>
      <w:pPr>
        <w:spacing w:before="40" w:after="80"/>
        <w:ind w:left="0"/>
      </w:pPr>
      <w:r>
        <w:rPr>
          <w:rFonts w:ascii="Arial" w:hAnsi="Arial"/>
          <w:b/>
          <w:color w:val="44546A"/>
          <w:sz w:val="17"/>
        </w:rPr>
        <w:t xml:space="preserve">FINDING  </w:t>
      </w:r>
      <w:r>
        <w:rPr>
          <w:rFonts w:ascii="Times New Roman" w:hAnsi="Times New Roman"/>
          <w:sz w:val="20"/>
        </w:rPr>
        <w:t>Response times are not measured against any prescribed period because the period has not been identified and no clock is started. Sampling of 15 privacy-related tickets found a median first substantive response of 11 days and a longest of 42 days.</w:t>
      </w:r>
    </w:p>
    <w:p>
      <w:pPr>
        <w:spacing w:before="40" w:after="80"/>
        <w:ind w:left="0"/>
      </w:pPr>
      <w:r>
        <w:rPr>
          <w:rFonts w:ascii="Arial" w:hAnsi="Arial"/>
          <w:b/>
          <w:color w:val="44546A"/>
          <w:sz w:val="17"/>
        </w:rPr>
        <w:t xml:space="preserve">TARGET STATE  </w:t>
      </w:r>
      <w:r>
        <w:rPr>
          <w:rFonts w:ascii="Times New Roman" w:hAnsi="Times New Roman"/>
          <w:sz w:val="20"/>
        </w:rPr>
        <w:t>The service level matches the prescribed period, is enforced by automated escalation, performance is measured at request level, and overruns are root-caused.</w:t>
      </w:r>
    </w:p>
    <w:p>
      <w:pPr>
        <w:spacing w:before="40" w:after="80"/>
        <w:ind w:left="0"/>
      </w:pPr>
      <w:r>
        <w:rPr>
          <w:rFonts w:ascii="Arial" w:hAnsi="Arial"/>
          <w:b/>
          <w:color w:val="44546A"/>
          <w:sz w:val="17"/>
        </w:rPr>
        <w:t xml:space="preserve">TRACKED AS  </w:t>
      </w:r>
      <w:r>
        <w:rPr>
          <w:rFonts w:ascii="Times New Roman" w:hAnsi="Times New Roman"/>
          <w:sz w:val="20"/>
        </w:rPr>
        <w:t>G017 · priority P2 · target date 2026-10-13 · owner Anita Desai, Head of Customer Experience</w:t>
      </w:r>
    </w:p>
    <w:p>
      <w:pPr>
        <w:spacing w:before="80" w:after="120"/>
        <w:pBdr>
          <w:bottom w:val="single" w:sz="6" w:space="1" w:color="BFBFBF"/>
        </w:pBdr>
      </w:pPr>
    </w:p>
    <w:p>
      <w:pPr>
        <w:pStyle w:val="Heading3"/>
        <w:keepNext/>
        <w:spacing w:before="200" w:after="80"/>
      </w:pPr>
      <w:r>
        <w:rPr>
          <w:rFonts w:ascii="Arial" w:hAnsi="Arial"/>
          <w:b/>
          <w:color w:val="1F3552"/>
          <w:sz w:val="22"/>
        </w:rPr>
        <w:t>GRV-03   Grievance mechanism readily available and publicised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2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WP-082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means of grievance redressal must be readily available to the Data Principal, who must exhaust the opportunity so provided before approaching the Board.</w:t>
      </w:r>
    </w:p>
    <w:p>
      <w:pPr>
        <w:spacing w:before="40" w:after="80"/>
        <w:ind w:left="0"/>
      </w:pPr>
      <w:r>
        <w:rPr>
          <w:rFonts w:ascii="Arial" w:hAnsi="Arial"/>
          <w:b/>
          <w:color w:val="44546A"/>
          <w:sz w:val="17"/>
        </w:rPr>
        <w:t xml:space="preserve">STATUTORY BASIS  </w:t>
      </w:r>
      <w:r>
        <w:rPr>
          <w:rFonts w:ascii="Times New Roman" w:hAnsi="Times New Roman"/>
          <w:sz w:val="20"/>
        </w:rPr>
        <w:t>s.13(1), s.13(3),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Observation: attempt to locate the grievance route as a naive user from each surface, recording steps required.</w:t>
      </w:r>
    </w:p>
    <w:p>
      <w:pPr>
        <w:spacing w:before="40" w:after="80"/>
        <w:ind w:left="0"/>
      </w:pPr>
      <w:r>
        <w:rPr>
          <w:rFonts w:ascii="Arial" w:hAnsi="Arial"/>
          <w:b/>
          <w:color w:val="44546A"/>
          <w:sz w:val="17"/>
        </w:rPr>
        <w:t xml:space="preserve">FINDING  </w:t>
      </w:r>
      <w:r>
        <w:rPr>
          <w:rFonts w:ascii="Times New Roman" w:hAnsi="Times New Roman"/>
          <w:sz w:val="20"/>
        </w:rPr>
        <w:t>The grievance route is published in the app, on the website and in the privacy policy. It is not present in the Kavach Junior parent console and is not included in transactional communications, which is where a dissatisfied Data Principal is most likely to look.</w:t>
      </w:r>
    </w:p>
    <w:p>
      <w:pPr>
        <w:spacing w:before="80" w:after="120"/>
        <w:pBdr>
          <w:bottom w:val="single" w:sz="6" w:space="1" w:color="BFBFBF"/>
        </w:pBdr>
      </w:pPr>
    </w:p>
    <w:p>
      <w:pPr>
        <w:pStyle w:val="Heading3"/>
        <w:keepNext/>
        <w:spacing w:before="200" w:after="80"/>
      </w:pPr>
      <w:r>
        <w:rPr>
          <w:rFonts w:ascii="Arial" w:hAnsi="Arial"/>
          <w:b/>
          <w:color w:val="1F3552"/>
          <w:sz w:val="22"/>
        </w:rPr>
        <w:t>GRV-04   Grievance trend analysis feeding remediation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Low</w:t>
            </w:r>
          </w:p>
        </w:tc>
        <w:tc>
          <w:tcPr>
            <w:tcW w:type="dxa" w:w="937"/>
          </w:tcPr>
          <w:p>
            <w:pPr>
              <w:spacing w:before="20" w:after="20"/>
              <w:jc w:val="center"/>
            </w:pPr>
            <w:r/>
            <w:r>
              <w:rPr>
                <w:rFonts w:ascii="Arial" w:hAnsi="Arial"/>
                <w:b w:val="0"/>
                <w:i w:val="0"/>
                <w:sz w:val="18"/>
              </w:rPr>
              <w:t>0.8</w:t>
            </w:r>
          </w:p>
        </w:tc>
        <w:tc>
          <w:tcPr>
            <w:tcW w:type="dxa" w:w="1999"/>
          </w:tcPr>
          <w:p>
            <w:pPr>
              <w:spacing w:before="20" w:after="20"/>
              <w:jc w:val="center"/>
            </w:pPr>
            <w:r/>
            <w:r>
              <w:rPr>
                <w:rFonts w:ascii="Arial" w:hAnsi="Arial"/>
                <w:b w:val="0"/>
                <w:i w:val="0"/>
                <w:sz w:val="18"/>
              </w:rPr>
              <w:t>WP-083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An effective mechanism under section 8(9) implies more than case handling: the entity must be capable of identifying and addressing the systemic causes that generate grievances.</w:t>
      </w:r>
    </w:p>
    <w:p>
      <w:pPr>
        <w:spacing w:before="40" w:after="80"/>
        <w:ind w:left="0"/>
      </w:pPr>
      <w:r>
        <w:rPr>
          <w:rFonts w:ascii="Arial" w:hAnsi="Arial"/>
          <w:b/>
          <w:color w:val="44546A"/>
          <w:sz w:val="17"/>
        </w:rPr>
        <w:t xml:space="preserve">STATUTORY BASIS  </w:t>
      </w:r>
      <w:r>
        <w:rPr>
          <w:rFonts w:ascii="Times New Roman" w:hAnsi="Times New Roman"/>
          <w:sz w:val="20"/>
        </w:rPr>
        <w:t>s.8(9), DPDP Act, 2023</w:t>
      </w:r>
    </w:p>
    <w:p>
      <w:pPr>
        <w:spacing w:before="40" w:after="80"/>
        <w:ind w:left="0"/>
      </w:pPr>
      <w:r>
        <w:rPr>
          <w:rFonts w:ascii="Arial" w:hAnsi="Arial"/>
          <w:b/>
          <w:color w:val="44546A"/>
          <w:sz w:val="17"/>
        </w:rPr>
        <w:t xml:space="preserve">TESTED BY  </w:t>
      </w:r>
      <w:r>
        <w:rPr>
          <w:rFonts w:ascii="Times New Roman" w:hAnsi="Times New Roman"/>
          <w:sz w:val="20"/>
        </w:rPr>
        <w:t>Inspect grievance categorisation and trend reporting; test whether identified systemic issues resulted in a change.</w:t>
      </w:r>
    </w:p>
    <w:p>
      <w:pPr>
        <w:spacing w:before="40" w:after="80"/>
        <w:ind w:left="0"/>
      </w:pPr>
      <w:r>
        <w:rPr>
          <w:rFonts w:ascii="Arial" w:hAnsi="Arial"/>
          <w:b/>
          <w:color w:val="44546A"/>
          <w:sz w:val="17"/>
        </w:rPr>
        <w:t xml:space="preserve">FINDING  </w:t>
      </w:r>
      <w:r>
        <w:rPr>
          <w:rFonts w:ascii="Times New Roman" w:hAnsi="Times New Roman"/>
          <w:sz w:val="20"/>
        </w:rPr>
        <w:t>No trend analysis is performed. Privacy grievances are not tagged, so the recurring theme identified during this assessment — inability to stop marketing contact after withdrawal — has never been reported to management as a pattern despite appearing in 9 of the 15 tickets sampled.</w:t>
      </w:r>
    </w:p>
    <w:p>
      <w:pPr>
        <w:spacing w:before="40" w:after="80"/>
        <w:ind w:left="0"/>
      </w:pPr>
      <w:r>
        <w:rPr>
          <w:rFonts w:ascii="Arial" w:hAnsi="Arial"/>
          <w:b/>
          <w:color w:val="44546A"/>
          <w:sz w:val="17"/>
        </w:rPr>
        <w:t xml:space="preserve">TARGET STATE  </w:t>
      </w:r>
      <w:r>
        <w:rPr>
          <w:rFonts w:ascii="Times New Roman" w:hAnsi="Times New Roman"/>
          <w:sz w:val="20"/>
        </w:rPr>
        <w:t>Grievances are categorised and root-caused, trends are reported to the governance forum, and there is evidence of systemic changes made in response.</w:t>
      </w:r>
    </w:p>
    <w:p>
      <w:pPr>
        <w:spacing w:before="40" w:after="80"/>
        <w:ind w:left="0"/>
      </w:pPr>
      <w:r>
        <w:rPr>
          <w:rFonts w:ascii="Arial" w:hAnsi="Arial"/>
          <w:b/>
          <w:color w:val="44546A"/>
          <w:sz w:val="17"/>
        </w:rPr>
        <w:t xml:space="preserve">TRACKED AS  </w:t>
      </w:r>
      <w:r>
        <w:rPr>
          <w:rFonts w:ascii="Times New Roman" w:hAnsi="Times New Roman"/>
          <w:sz w:val="20"/>
        </w:rPr>
        <w:t>G060 · priority P4 · target date 2027-02-10 · owner Anita Desai, Head of Customer Experience</w:t>
      </w:r>
    </w:p>
    <w:p>
      <w:pPr>
        <w:spacing w:before="80" w:after="120"/>
        <w:pBdr>
          <w:bottom w:val="single" w:sz="6" w:space="1" w:color="BFBFBF"/>
        </w:pBdr>
      </w:pPr>
    </w:p>
    <w:p>
      <w:pPr>
        <w:pStyle w:val="Heading2"/>
        <w:keepNext/>
        <w:spacing w:before="280" w:after="120"/>
      </w:pPr>
      <w:r>
        <w:rPr>
          <w:rFonts w:ascii="Arial" w:hAnsi="Arial"/>
          <w:b/>
          <w:color w:val="1F3552"/>
          <w:sz w:val="26"/>
        </w:rPr>
        <w:t>4.11  SEC — Security Safeguards</w:t>
      </w:r>
    </w:p>
    <w:p>
      <w:pPr>
        <w:spacing w:before="0" w:after="120"/>
        <w:jc w:val="both"/>
      </w:pPr>
      <w:r>
        <w:rPr>
          <w:rFonts w:ascii="Times New Roman" w:hAnsi="Times New Roman"/>
          <w:b w:val="0"/>
          <w:i/>
          <w:color w:val="44546A"/>
          <w:sz w:val="20"/>
        </w:rPr>
        <w:t>Section 8(5) carries the highest penalty exposure in the Schedule — up to INR 250 crore. Note the construction: the duty is to take reasonable safeguards to prevent a breach, so liability can attach to the inadequacy of the safeguards themselves, independently of whether a breach has occurred.</w:t>
      </w:r>
    </w:p>
    <w:p>
      <w:pPr>
        <w:spacing w:before="40" w:after="80"/>
        <w:ind w:left="0"/>
      </w:pPr>
      <w:r>
        <w:rPr>
          <w:rFonts w:ascii="Arial" w:hAnsi="Arial"/>
          <w:b/>
          <w:color w:val="44546A"/>
          <w:sz w:val="17"/>
        </w:rPr>
        <w:t xml:space="preserve">SCOPE QUESTION  </w:t>
      </w:r>
      <w:r>
        <w:rPr>
          <w:rFonts w:ascii="Times New Roman" w:hAnsi="Times New Roman"/>
          <w:sz w:val="20"/>
        </w:rPr>
        <w:t>Are reasonable security safeguards implemented to prevent a personal data breach, including in respect of processors?</w:t>
      </w:r>
    </w:p>
    <w:p>
      <w:pPr>
        <w:spacing w:before="40" w:after="80"/>
        <w:ind w:left="0"/>
      </w:pPr>
      <w:r>
        <w:rPr>
          <w:rFonts w:ascii="Arial" w:hAnsi="Arial"/>
          <w:b/>
          <w:color w:val="44546A"/>
          <w:sz w:val="17"/>
        </w:rPr>
        <w:t xml:space="preserve">RESULT  </w:t>
      </w:r>
      <w:r>
        <w:rPr>
          <w:rFonts w:ascii="Times New Roman" w:hAnsi="Times New Roman"/>
          <w:sz w:val="20"/>
        </w:rPr>
        <w:t>Domain maturity 80.3% (Optimised). 9 controls in scope, 9 assessed, 0 gaps of which 0 attach to critical obligations. Highest residual risk in the domain is 4 of 16.</w:t>
      </w:r>
    </w:p>
    <w:p>
      <w:pPr>
        <w:spacing w:before="40" w:after="120"/>
        <w:pBdr>
          <w:bottom w:val="single" w:sz="6" w:space="1" w:color="BFBFBF"/>
        </w:pBdr>
      </w:pPr>
    </w:p>
    <w:p>
      <w:pPr>
        <w:pStyle w:val="Heading3"/>
        <w:keepNext/>
        <w:spacing w:before="200" w:after="80"/>
      </w:pPr>
      <w:r>
        <w:rPr>
          <w:rFonts w:ascii="Arial" w:hAnsi="Arial"/>
          <w:b/>
          <w:color w:val="1F3552"/>
          <w:sz w:val="22"/>
        </w:rPr>
        <w:t>SEC-01   Reasonable security safeguards programme defined and owned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WP-090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must protect personal data in its possession or under its control, including in respect of any processing undertaken by it or on its behalf by a Data Processor, by taking reasonable security safeguards to prevent a personal data breach.</w:t>
      </w:r>
    </w:p>
    <w:p>
      <w:pPr>
        <w:spacing w:before="40" w:after="80"/>
        <w:ind w:left="0"/>
      </w:pPr>
      <w:r>
        <w:rPr>
          <w:rFonts w:ascii="Arial" w:hAnsi="Arial"/>
          <w:b/>
          <w:color w:val="44546A"/>
          <w:sz w:val="17"/>
        </w:rPr>
        <w:t xml:space="preserve">STATUTORY BASIS  </w:t>
      </w:r>
      <w:r>
        <w:rPr>
          <w:rFonts w:ascii="Times New Roman" w:hAnsi="Times New Roman"/>
          <w:sz w:val="20"/>
        </w:rPr>
        <w:t>s.8(5),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the safeguards standard and its mapping to prescribed measures; enquire of the owner; corroborate implementation for a sample of measures.</w:t>
      </w:r>
    </w:p>
    <w:p>
      <w:pPr>
        <w:spacing w:before="40" w:after="80"/>
        <w:ind w:left="0"/>
      </w:pPr>
      <w:r>
        <w:rPr>
          <w:rFonts w:ascii="Arial" w:hAnsi="Arial"/>
          <w:b/>
          <w:color w:val="44546A"/>
          <w:sz w:val="17"/>
        </w:rPr>
        <w:t xml:space="preserve">FINDING  </w:t>
      </w:r>
      <w:r>
        <w:rPr>
          <w:rFonts w:ascii="Times New Roman" w:hAnsi="Times New Roman"/>
          <w:sz w:val="20"/>
        </w:rPr>
        <w:t>A security programme aligned to ISO 27001 is defined, owned by the CISO and certified, with the certificate valid to August 2027. The statement of applicability is scoped to the payments platform and excludes the collections subsidiary and the corporate HRMS, both of which hold personal data.</w:t>
      </w:r>
    </w:p>
    <w:p>
      <w:pPr>
        <w:spacing w:before="80" w:after="120"/>
        <w:pBdr>
          <w:bottom w:val="single" w:sz="6" w:space="1" w:color="BFBFBF"/>
        </w:pBdr>
      </w:pPr>
    </w:p>
    <w:p>
      <w:pPr>
        <w:pStyle w:val="Heading3"/>
        <w:keepNext/>
        <w:spacing w:before="200" w:after="80"/>
      </w:pPr>
      <w:r>
        <w:rPr>
          <w:rFonts w:ascii="Arial" w:hAnsi="Arial"/>
          <w:b/>
          <w:color w:val="1F3552"/>
          <w:sz w:val="22"/>
        </w:rPr>
        <w:t>SEC-02   Access control and least privilege over personal data</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WP-091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Reasonable security safeguards include controls that restrict access to personal data to those who require it, as part of appropriate technical and organisational measures.</w:t>
      </w:r>
    </w:p>
    <w:p>
      <w:pPr>
        <w:spacing w:before="40" w:after="80"/>
        <w:ind w:left="0"/>
      </w:pPr>
      <w:r>
        <w:rPr>
          <w:rFonts w:ascii="Arial" w:hAnsi="Arial"/>
          <w:b/>
          <w:color w:val="44546A"/>
          <w:sz w:val="17"/>
        </w:rPr>
        <w:t xml:space="preserve">STATUTORY BASIS  </w:t>
      </w:r>
      <w:r>
        <w:rPr>
          <w:rFonts w:ascii="Times New Roman" w:hAnsi="Times New Roman"/>
          <w:sz w:val="20"/>
        </w:rPr>
        <w:t>s.8(4), s.8(5),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access lists against role requirements; test leaver revocation for a sample; re-perform a privilege review for one high-risk system.</w:t>
      </w:r>
    </w:p>
    <w:p>
      <w:pPr>
        <w:spacing w:before="40" w:after="80"/>
        <w:ind w:left="0"/>
      </w:pPr>
      <w:r>
        <w:rPr>
          <w:rFonts w:ascii="Arial" w:hAnsi="Arial"/>
          <w:b/>
          <w:color w:val="44546A"/>
          <w:sz w:val="17"/>
        </w:rPr>
        <w:t xml:space="preserve">FINDING  </w:t>
      </w:r>
      <w:r>
        <w:rPr>
          <w:rFonts w:ascii="Times New Roman" w:hAnsi="Times New Roman"/>
          <w:sz w:val="20"/>
        </w:rPr>
        <w:t>Role-based access control is enforced through Okta with quarterly recertification for production systems. Recertification does not extend to Snowflake, where 41 analyst accounts hold read access to unmasked customer tables, including 7 belonging to former contractors whose engagements have ended.</w:t>
      </w:r>
    </w:p>
    <w:p>
      <w:pPr>
        <w:spacing w:before="80" w:after="120"/>
        <w:pBdr>
          <w:bottom w:val="single" w:sz="6" w:space="1" w:color="BFBFBF"/>
        </w:pBdr>
      </w:pPr>
    </w:p>
    <w:p>
      <w:pPr>
        <w:pStyle w:val="Heading3"/>
        <w:keepNext/>
        <w:spacing w:before="200" w:after="80"/>
      </w:pPr>
      <w:r>
        <w:rPr>
          <w:rFonts w:ascii="Arial" w:hAnsi="Arial"/>
          <w:b/>
          <w:color w:val="1F3552"/>
          <w:sz w:val="22"/>
        </w:rPr>
        <w:t>SEC-03   Encryption, masking or obfuscation of personal data</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WP-092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Reasonable security safeguards are understood to include measures such as encryption, obfuscation, masking or the use of virtual tokens to protect personal data.</w:t>
      </w:r>
    </w:p>
    <w:p>
      <w:pPr>
        <w:spacing w:before="40" w:after="80"/>
        <w:ind w:left="0"/>
      </w:pPr>
      <w:r>
        <w:rPr>
          <w:rFonts w:ascii="Arial" w:hAnsi="Arial"/>
          <w:b/>
          <w:color w:val="44546A"/>
          <w:sz w:val="17"/>
        </w:rPr>
        <w:t xml:space="preserve">STATUTORY BASIS  </w:t>
      </w:r>
      <w:r>
        <w:rPr>
          <w:rFonts w:ascii="Times New Roman" w:hAnsi="Times New Roman"/>
          <w:sz w:val="20"/>
        </w:rPr>
        <w:t>s.8(5) read with the Rules,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encryption configuration for transport and storage; test non-production environments and logs for unmasked personal data.</w:t>
      </w:r>
    </w:p>
    <w:p>
      <w:pPr>
        <w:spacing w:before="40" w:after="80"/>
        <w:ind w:left="0"/>
      </w:pPr>
      <w:r>
        <w:rPr>
          <w:rFonts w:ascii="Arial" w:hAnsi="Arial"/>
          <w:b/>
          <w:color w:val="44546A"/>
          <w:sz w:val="17"/>
        </w:rPr>
        <w:t xml:space="preserve">FINDING  </w:t>
      </w:r>
      <w:r>
        <w:rPr>
          <w:rFonts w:ascii="Times New Roman" w:hAnsi="Times New Roman"/>
          <w:sz w:val="20"/>
        </w:rPr>
        <w:t>Data is encrypted at rest with AWS KMS and in transit with TLS 1.2 or above. Column-level masking is applied in the production database but not in Snowflake or in the pre-production environments, which are refreshed from production without obfuscation.</w:t>
      </w:r>
    </w:p>
    <w:p>
      <w:pPr>
        <w:spacing w:before="80" w:after="120"/>
        <w:pBdr>
          <w:bottom w:val="single" w:sz="6" w:space="1" w:color="BFBFBF"/>
        </w:pBdr>
      </w:pPr>
    </w:p>
    <w:p>
      <w:pPr>
        <w:pStyle w:val="Heading3"/>
        <w:keepNext/>
        <w:spacing w:before="200" w:after="80"/>
      </w:pPr>
      <w:r>
        <w:rPr>
          <w:rFonts w:ascii="Arial" w:hAnsi="Arial"/>
          <w:b/>
          <w:color w:val="1F3552"/>
          <w:sz w:val="22"/>
        </w:rPr>
        <w:t>SEC-04   Logging, monitoring and detection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D2E7C4"/>
          </w:tcPr>
          <w:p>
            <w:pPr>
              <w:spacing w:before="20" w:after="20"/>
              <w:jc w:val="center"/>
            </w:pPr>
            <w:r/>
            <w:r>
              <w:rPr>
                <w:rFonts w:ascii="Arial" w:hAnsi="Arial"/>
                <w:b/>
                <w:i w:val="0"/>
                <w:sz w:val="18"/>
              </w:rPr>
              <w:t>4 of 4</w:t>
            </w:r>
          </w:p>
        </w:tc>
        <w:tc>
          <w:tcPr>
            <w:tcW w:type="dxa" w:w="2499"/>
          </w:tcPr>
          <w:p>
            <w:pPr>
              <w:spacing w:before="20" w:after="20"/>
              <w:jc w:val="center"/>
            </w:pPr>
            <w:r/>
            <w:r>
              <w:rPr>
                <w:rFonts w:ascii="Arial" w:hAnsi="Arial"/>
                <w:b/>
                <w:i w:val="0"/>
                <w:sz w:val="18"/>
              </w:rPr>
              <w:t>Compliant</w:t>
            </w:r>
          </w:p>
        </w:tc>
        <w:tc>
          <w:tcPr>
            <w:tcW w:type="dxa" w:w="1062"/>
            <w:shd w:val="clear" w:color="auto" w:fill="EDEDED"/>
          </w:tcPr>
          <w:p>
            <w:pPr>
              <w:spacing w:before="20" w:after="20"/>
              <w:jc w:val="center"/>
            </w:pPr>
            <w:r/>
            <w:r>
              <w:rPr>
                <w:rFonts w:ascii="Arial" w:hAnsi="Arial"/>
                <w:b/>
                <w:i w:val="0"/>
                <w:sz w:val="18"/>
              </w:rPr>
              <w:t>0 of 16</w:t>
            </w:r>
          </w:p>
        </w:tc>
        <w:tc>
          <w:tcPr>
            <w:tcW w:type="dxa" w:w="1125"/>
          </w:tcPr>
          <w:p>
            <w:pPr>
              <w:spacing w:before="20" w:after="20"/>
              <w:jc w:val="center"/>
            </w:pPr>
            <w:r/>
            <w:r>
              <w:rPr>
                <w:rFonts w:ascii="Arial" w:hAnsi="Arial"/>
                <w:b w:val="0"/>
                <w:i w:val="0"/>
                <w:sz w:val="18"/>
              </w:rPr>
              <w:t>None</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WP-093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Safeguards to prevent a personal data breach include the ability to detect unauthorised access, and the retention of logs to enable investigation.</w:t>
      </w:r>
    </w:p>
    <w:p>
      <w:pPr>
        <w:spacing w:before="40" w:after="80"/>
        <w:ind w:left="0"/>
      </w:pPr>
      <w:r>
        <w:rPr>
          <w:rFonts w:ascii="Arial" w:hAnsi="Arial"/>
          <w:b/>
          <w:color w:val="44546A"/>
          <w:sz w:val="17"/>
        </w:rPr>
        <w:t xml:space="preserve">STATUTORY BASIS  </w:t>
      </w:r>
      <w:r>
        <w:rPr>
          <w:rFonts w:ascii="Times New Roman" w:hAnsi="Times New Roman"/>
          <w:sz w:val="20"/>
        </w:rPr>
        <w:t>s.8(5) read with the Rules,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logging coverage and retention configuration; test alerting by reviewing recent detections and their handling; assess log integrity controls.</w:t>
      </w:r>
    </w:p>
    <w:p>
      <w:pPr>
        <w:spacing w:before="40" w:after="80"/>
        <w:ind w:left="0"/>
      </w:pPr>
      <w:r>
        <w:rPr>
          <w:rFonts w:ascii="Arial" w:hAnsi="Arial"/>
          <w:b/>
          <w:color w:val="44546A"/>
          <w:sz w:val="17"/>
        </w:rPr>
        <w:t xml:space="preserve">FINDING  </w:t>
      </w:r>
      <w:r>
        <w:rPr>
          <w:rFonts w:ascii="Times New Roman" w:hAnsi="Times New Roman"/>
          <w:sz w:val="20"/>
        </w:rPr>
        <w:t>Centralised logging into a managed SIEM covers all in-scope production systems, with documented use cases for privileged access, bulk export and anomalous query patterns. Alert tuning is reviewed monthly and the 24x7 monitoring arrangement was evidenced through three sampled alerts and their disposition.</w:t>
      </w:r>
    </w:p>
    <w:p>
      <w:pPr>
        <w:spacing w:before="80" w:after="120"/>
        <w:pBdr>
          <w:bottom w:val="single" w:sz="6" w:space="1" w:color="BFBFBF"/>
        </w:pBdr>
      </w:pPr>
    </w:p>
    <w:p>
      <w:pPr>
        <w:pStyle w:val="Heading3"/>
        <w:keepNext/>
        <w:spacing w:before="200" w:after="80"/>
      </w:pPr>
      <w:r>
        <w:rPr>
          <w:rFonts w:ascii="Arial" w:hAnsi="Arial"/>
          <w:b/>
          <w:color w:val="1F3552"/>
          <w:sz w:val="22"/>
        </w:rPr>
        <w:t>SEC-05   Vulnerability management and patching</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WP-094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Taking reasonable safeguards to prevent a breach requires identification and remediation of known vulnerabilities in systems processing personal data.</w:t>
      </w:r>
    </w:p>
    <w:p>
      <w:pPr>
        <w:spacing w:before="40" w:after="80"/>
        <w:ind w:left="0"/>
      </w:pPr>
      <w:r>
        <w:rPr>
          <w:rFonts w:ascii="Arial" w:hAnsi="Arial"/>
          <w:b/>
          <w:color w:val="44546A"/>
          <w:sz w:val="17"/>
        </w:rPr>
        <w:t xml:space="preserve">STATUTORY BASIS  </w:t>
      </w:r>
      <w:r>
        <w:rPr>
          <w:rFonts w:ascii="Times New Roman" w:hAnsi="Times New Roman"/>
          <w:sz w:val="20"/>
        </w:rPr>
        <w:t>s.8(5),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scan and test reports; test remediation timeliness against stated timescales; review the aged backlog for overdue critical findings.</w:t>
      </w:r>
    </w:p>
    <w:p>
      <w:pPr>
        <w:spacing w:before="40" w:after="80"/>
        <w:ind w:left="0"/>
      </w:pPr>
      <w:r>
        <w:rPr>
          <w:rFonts w:ascii="Arial" w:hAnsi="Arial"/>
          <w:b/>
          <w:color w:val="44546A"/>
          <w:sz w:val="17"/>
        </w:rPr>
        <w:t xml:space="preserve">FINDING  </w:t>
      </w:r>
      <w:r>
        <w:rPr>
          <w:rFonts w:ascii="Times New Roman" w:hAnsi="Times New Roman"/>
          <w:sz w:val="20"/>
        </w:rPr>
        <w:t>Vulnerability scanning runs weekly with defined remediation SLAs. Of 23 critical findings raised in the period, 19 were closed within SLA; the four exceptions relate to the legacy PPI ledger and have been open for over 120 days without a documented risk acceptance.</w:t>
      </w:r>
    </w:p>
    <w:p>
      <w:pPr>
        <w:spacing w:before="80" w:after="120"/>
        <w:pBdr>
          <w:bottom w:val="single" w:sz="6" w:space="1" w:color="BFBFBF"/>
        </w:pBdr>
      </w:pPr>
    </w:p>
    <w:p>
      <w:pPr>
        <w:pStyle w:val="Heading3"/>
        <w:keepNext/>
        <w:spacing w:before="200" w:after="80"/>
      </w:pPr>
      <w:r>
        <w:rPr>
          <w:rFonts w:ascii="Arial" w:hAnsi="Arial"/>
          <w:b/>
          <w:color w:val="1F3552"/>
          <w:sz w:val="22"/>
        </w:rPr>
        <w:t>SEC-06   Secure development and change control</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WP-095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Appropriate technical and organisational measures extend to the process by which systems processing personal data are built and changed.</w:t>
      </w:r>
    </w:p>
    <w:p>
      <w:pPr>
        <w:spacing w:before="40" w:after="80"/>
        <w:ind w:left="0"/>
      </w:pPr>
      <w:r>
        <w:rPr>
          <w:rFonts w:ascii="Arial" w:hAnsi="Arial"/>
          <w:b/>
          <w:color w:val="44546A"/>
          <w:sz w:val="17"/>
        </w:rPr>
        <w:t xml:space="preserve">STATUTORY BASIS  </w:t>
      </w:r>
      <w:r>
        <w:rPr>
          <w:rFonts w:ascii="Times New Roman" w:hAnsi="Times New Roman"/>
          <w:sz w:val="20"/>
        </w:rPr>
        <w:t>s.8(4), s.8(5),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the change control process; sample recent changes to personal-data systems for evidence of review and approval; test secrets handling in the repository.</w:t>
      </w:r>
    </w:p>
    <w:p>
      <w:pPr>
        <w:spacing w:before="40" w:after="80"/>
        <w:ind w:left="0"/>
      </w:pPr>
      <w:r>
        <w:rPr>
          <w:rFonts w:ascii="Arial" w:hAnsi="Arial"/>
          <w:b/>
          <w:color w:val="44546A"/>
          <w:sz w:val="17"/>
        </w:rPr>
        <w:t xml:space="preserve">FINDING  </w:t>
      </w:r>
      <w:r>
        <w:rPr>
          <w:rFonts w:ascii="Times New Roman" w:hAnsi="Times New Roman"/>
          <w:sz w:val="20"/>
        </w:rPr>
        <w:t>Change management is enforced through Freshservice with peer review and automated security testing in the pipeline. Emergency changes bypass the control and 14 per cent of production changes in the period were classified as emergency, which is high enough to weaken the assurance the control provides.</w:t>
      </w:r>
    </w:p>
    <w:p>
      <w:pPr>
        <w:spacing w:before="80" w:after="120"/>
        <w:pBdr>
          <w:bottom w:val="single" w:sz="6" w:space="1" w:color="BFBFBF"/>
        </w:pBdr>
      </w:pPr>
    </w:p>
    <w:p>
      <w:pPr>
        <w:pStyle w:val="Heading3"/>
        <w:keepNext/>
        <w:spacing w:before="200" w:after="80"/>
      </w:pPr>
      <w:r>
        <w:rPr>
          <w:rFonts w:ascii="Arial" w:hAnsi="Arial"/>
          <w:b/>
          <w:color w:val="1F3552"/>
          <w:sz w:val="22"/>
        </w:rPr>
        <w:t>SEC-07   Backup, recovery and integrity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D2E7C4"/>
          </w:tcPr>
          <w:p>
            <w:pPr>
              <w:spacing w:before="20" w:after="20"/>
              <w:jc w:val="center"/>
            </w:pPr>
            <w:r/>
            <w:r>
              <w:rPr>
                <w:rFonts w:ascii="Arial" w:hAnsi="Arial"/>
                <w:b/>
                <w:i w:val="0"/>
                <w:sz w:val="18"/>
              </w:rPr>
              <w:t>4 of 4</w:t>
            </w:r>
          </w:p>
        </w:tc>
        <w:tc>
          <w:tcPr>
            <w:tcW w:type="dxa" w:w="2499"/>
          </w:tcPr>
          <w:p>
            <w:pPr>
              <w:spacing w:before="20" w:after="20"/>
              <w:jc w:val="center"/>
            </w:pPr>
            <w:r/>
            <w:r>
              <w:rPr>
                <w:rFonts w:ascii="Arial" w:hAnsi="Arial"/>
                <w:b/>
                <w:i w:val="0"/>
                <w:sz w:val="18"/>
              </w:rPr>
              <w:t>Compliant</w:t>
            </w:r>
          </w:p>
        </w:tc>
        <w:tc>
          <w:tcPr>
            <w:tcW w:type="dxa" w:w="1062"/>
            <w:shd w:val="clear" w:color="auto" w:fill="EDEDED"/>
          </w:tcPr>
          <w:p>
            <w:pPr>
              <w:spacing w:before="20" w:after="20"/>
              <w:jc w:val="center"/>
            </w:pPr>
            <w:r/>
            <w:r>
              <w:rPr>
                <w:rFonts w:ascii="Arial" w:hAnsi="Arial"/>
                <w:b/>
                <w:i w:val="0"/>
                <w:sz w:val="18"/>
              </w:rPr>
              <w:t>0 of 16</w:t>
            </w:r>
          </w:p>
        </w:tc>
        <w:tc>
          <w:tcPr>
            <w:tcW w:type="dxa" w:w="1125"/>
          </w:tcPr>
          <w:p>
            <w:pPr>
              <w:spacing w:before="20" w:after="20"/>
              <w:jc w:val="center"/>
            </w:pPr>
            <w:r/>
            <w:r>
              <w:rPr>
                <w:rFonts w:ascii="Arial" w:hAnsi="Arial"/>
                <w:b w:val="0"/>
                <w:i w:val="0"/>
                <w:sz w:val="18"/>
              </w:rPr>
              <w:t>None</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WP-096</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Safeguards are understood to include measures for continued processing in the event of loss of availability, including backups, and for maintaining the integrity of personal data.</w:t>
      </w:r>
    </w:p>
    <w:p>
      <w:pPr>
        <w:spacing w:before="40" w:after="80"/>
        <w:ind w:left="0"/>
      </w:pPr>
      <w:r>
        <w:rPr>
          <w:rFonts w:ascii="Arial" w:hAnsi="Arial"/>
          <w:b/>
          <w:color w:val="44546A"/>
          <w:sz w:val="17"/>
        </w:rPr>
        <w:t xml:space="preserve">STATUTORY BASIS  </w:t>
      </w:r>
      <w:r>
        <w:rPr>
          <w:rFonts w:ascii="Times New Roman" w:hAnsi="Times New Roman"/>
          <w:sz w:val="20"/>
        </w:rPr>
        <w:t>s.8(4), s.8(5) read with the Rules,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backup configuration and encryption; review restore test records; assess how erasure requests are reconciled against backup media.</w:t>
      </w:r>
    </w:p>
    <w:p>
      <w:pPr>
        <w:spacing w:before="40" w:after="80"/>
        <w:ind w:left="0"/>
      </w:pPr>
      <w:r>
        <w:rPr>
          <w:rFonts w:ascii="Arial" w:hAnsi="Arial"/>
          <w:b/>
          <w:color w:val="44546A"/>
          <w:sz w:val="17"/>
        </w:rPr>
        <w:t xml:space="preserve">FINDING  </w:t>
      </w:r>
      <w:r>
        <w:rPr>
          <w:rFonts w:ascii="Times New Roman" w:hAnsi="Times New Roman"/>
          <w:sz w:val="20"/>
        </w:rPr>
        <w:t>Backups are encrypted, replicated across availability zones and restore-tested quarterly. The two restore tests in the period met their objectives and are documented with evidence of data integrity verification.</w:t>
      </w:r>
    </w:p>
    <w:p>
      <w:pPr>
        <w:spacing w:before="80" w:after="120"/>
        <w:pBdr>
          <w:bottom w:val="single" w:sz="6" w:space="1" w:color="BFBFBF"/>
        </w:pBdr>
      </w:pPr>
    </w:p>
    <w:p>
      <w:pPr>
        <w:pStyle w:val="Heading3"/>
        <w:keepNext/>
        <w:spacing w:before="200" w:after="80"/>
      </w:pPr>
      <w:r>
        <w:rPr>
          <w:rFonts w:ascii="Arial" w:hAnsi="Arial"/>
          <w:b/>
          <w:color w:val="1F3552"/>
          <w:sz w:val="22"/>
        </w:rPr>
        <w:t>SEC-08   Personnel, endpoint and physical safeguards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WP-097</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Organisational safeguards extend to the people and devices through which personal data is accessed, and to physical records where digitised data originates.</w:t>
      </w:r>
    </w:p>
    <w:p>
      <w:pPr>
        <w:spacing w:before="40" w:after="80"/>
        <w:ind w:left="0"/>
      </w:pPr>
      <w:r>
        <w:rPr>
          <w:rFonts w:ascii="Arial" w:hAnsi="Arial"/>
          <w:b/>
          <w:color w:val="44546A"/>
          <w:sz w:val="17"/>
        </w:rPr>
        <w:t xml:space="preserve">STATUTORY BASIS  </w:t>
      </w:r>
      <w:r>
        <w:rPr>
          <w:rFonts w:ascii="Times New Roman" w:hAnsi="Times New Roman"/>
          <w:sz w:val="20"/>
        </w:rPr>
        <w:t>s.8(4), s.8(5),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personnel screening and confidentiality records; test endpoint management coverage; assess controls over bulk export and removable media.</w:t>
      </w:r>
    </w:p>
    <w:p>
      <w:pPr>
        <w:spacing w:before="40" w:after="80"/>
        <w:ind w:left="0"/>
      </w:pPr>
      <w:r>
        <w:rPr>
          <w:rFonts w:ascii="Arial" w:hAnsi="Arial"/>
          <w:b/>
          <w:color w:val="44546A"/>
          <w:sz w:val="17"/>
        </w:rPr>
        <w:t xml:space="preserve">FINDING  </w:t>
      </w:r>
      <w:r>
        <w:rPr>
          <w:rFonts w:ascii="Times New Roman" w:hAnsi="Times New Roman"/>
          <w:sz w:val="20"/>
        </w:rPr>
        <w:t>Background verification, confidentiality undertakings, endpoint management and data loss prevention are in place for employees. Contractors in the collections subsidiary use personally-owned devices with no endpoint control, and physical access to the collections floor is not restricted from the general office area.</w:t>
      </w:r>
    </w:p>
    <w:p>
      <w:pPr>
        <w:spacing w:before="80" w:after="120"/>
        <w:pBdr>
          <w:bottom w:val="single" w:sz="6" w:space="1" w:color="BFBFBF"/>
        </w:pBdr>
      </w:pPr>
    </w:p>
    <w:p>
      <w:pPr>
        <w:pStyle w:val="Heading3"/>
        <w:keepNext/>
        <w:spacing w:before="200" w:after="80"/>
      </w:pPr>
      <w:r>
        <w:rPr>
          <w:rFonts w:ascii="Arial" w:hAnsi="Arial"/>
          <w:b/>
          <w:color w:val="1F3552"/>
          <w:sz w:val="22"/>
        </w:rPr>
        <w:t>SEC-09   Effectiveness of safeguards independently tested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WP-098</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standard in section 8(5) is reasonableness, which is assessed against outcomes rather than intent. An entity relying on untested controls cannot demonstrate that its safeguards are reasonable.</w:t>
      </w:r>
    </w:p>
    <w:p>
      <w:pPr>
        <w:spacing w:before="40" w:after="80"/>
        <w:ind w:left="0"/>
      </w:pPr>
      <w:r>
        <w:rPr>
          <w:rFonts w:ascii="Arial" w:hAnsi="Arial"/>
          <w:b/>
          <w:color w:val="44546A"/>
          <w:sz w:val="17"/>
        </w:rPr>
        <w:t xml:space="preserve">STATUTORY BASIS  </w:t>
      </w:r>
      <w:r>
        <w:rPr>
          <w:rFonts w:ascii="Times New Roman" w:hAnsi="Times New Roman"/>
          <w:sz w:val="20"/>
        </w:rPr>
        <w:t>s.8(5),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independent assessment reports and management responses; test whether findings were remediated and validated by retest.</w:t>
      </w:r>
    </w:p>
    <w:p>
      <w:pPr>
        <w:spacing w:before="40" w:after="80"/>
        <w:ind w:left="0"/>
      </w:pPr>
      <w:r>
        <w:rPr>
          <w:rFonts w:ascii="Arial" w:hAnsi="Arial"/>
          <w:b/>
          <w:color w:val="44546A"/>
          <w:sz w:val="17"/>
        </w:rPr>
        <w:t xml:space="preserve">FINDING  </w:t>
      </w:r>
      <w:r>
        <w:rPr>
          <w:rFonts w:ascii="Times New Roman" w:hAnsi="Times New Roman"/>
          <w:sz w:val="20"/>
        </w:rPr>
        <w:t>Annual penetration testing by an external firm covers the application and infrastructure, and the most recent report is dated March 2026 with findings tracked to closure. Testing has never been directed at the privacy controls themselves — consent enforcement, erasure completeness or access segregation in the warehouse.</w:t>
      </w:r>
    </w:p>
    <w:p>
      <w:pPr>
        <w:spacing w:before="80" w:after="120"/>
        <w:pBdr>
          <w:bottom w:val="single" w:sz="6" w:space="1" w:color="BFBFBF"/>
        </w:pBdr>
      </w:pPr>
    </w:p>
    <w:p>
      <w:pPr>
        <w:pStyle w:val="Heading2"/>
        <w:keepNext/>
        <w:spacing w:before="280" w:after="120"/>
      </w:pPr>
      <w:r>
        <w:rPr>
          <w:rFonts w:ascii="Arial" w:hAnsi="Arial"/>
          <w:b/>
          <w:color w:val="1F3552"/>
          <w:sz w:val="26"/>
        </w:rPr>
        <w:t>4.12  BRC — Personal Data Breach Notification</w:t>
      </w:r>
    </w:p>
    <w:p>
      <w:pPr>
        <w:spacing w:before="0" w:after="120"/>
        <w:jc w:val="both"/>
      </w:pPr>
      <w:r>
        <w:rPr>
          <w:rFonts w:ascii="Times New Roman" w:hAnsi="Times New Roman"/>
          <w:b w:val="0"/>
          <w:i/>
          <w:color w:val="44546A"/>
          <w:sz w:val="20"/>
        </w:rPr>
        <w:t>Section 8(6) requires intimation to the Board and to each affected Data Principal, with penalty exposure up to INR 200 crore. The Act draws no materiality threshold on its face — the assumption that only "significant" breaches are reportable is a common and expensive misreading. Notification to every affected individual is operationally demanding and needs to be rehearsed, not merely documented.</w:t>
      </w:r>
    </w:p>
    <w:p>
      <w:pPr>
        <w:spacing w:before="40" w:after="80"/>
        <w:ind w:left="0"/>
      </w:pPr>
      <w:r>
        <w:rPr>
          <w:rFonts w:ascii="Arial" w:hAnsi="Arial"/>
          <w:b/>
          <w:color w:val="44546A"/>
          <w:sz w:val="17"/>
        </w:rPr>
        <w:t xml:space="preserve">SCOPE QUESTION  </w:t>
      </w:r>
      <w:r>
        <w:rPr>
          <w:rFonts w:ascii="Times New Roman" w:hAnsi="Times New Roman"/>
          <w:sz w:val="20"/>
        </w:rPr>
        <w:t>Can the entity detect, assess and intimate a personal data breach to the Board and to every affected Data Principal, in the prescribed manner?</w:t>
      </w:r>
    </w:p>
    <w:p>
      <w:pPr>
        <w:spacing w:before="40" w:after="80"/>
        <w:ind w:left="0"/>
      </w:pPr>
      <w:r>
        <w:rPr>
          <w:rFonts w:ascii="Arial" w:hAnsi="Arial"/>
          <w:b/>
          <w:color w:val="44546A"/>
          <w:sz w:val="17"/>
        </w:rPr>
        <w:t xml:space="preserve">RESULT  </w:t>
      </w:r>
      <w:r>
        <w:rPr>
          <w:rFonts w:ascii="Times New Roman" w:hAnsi="Times New Roman"/>
          <w:sz w:val="20"/>
        </w:rPr>
        <w:t>Domain maturity 62.3% (Managed). 6 controls in scope, 6 assessed, 3 gaps of which 2 attach to critical obligations. Highest residual risk in the domain is 8 of 16.</w:t>
      </w:r>
    </w:p>
    <w:p>
      <w:pPr>
        <w:spacing w:before="40" w:after="120"/>
        <w:pBdr>
          <w:bottom w:val="single" w:sz="6" w:space="1" w:color="BFBFBF"/>
        </w:pBdr>
      </w:pPr>
    </w:p>
    <w:p>
      <w:pPr>
        <w:pStyle w:val="Heading3"/>
        <w:keepNext/>
        <w:spacing w:before="200" w:after="80"/>
      </w:pPr>
      <w:r>
        <w:rPr>
          <w:rFonts w:ascii="Arial" w:hAnsi="Arial"/>
          <w:b/>
          <w:color w:val="1F3552"/>
          <w:sz w:val="22"/>
        </w:rPr>
        <w:t>BRC-01   Personal data breach correctly defined in internal procedure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WP-100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personal data breach means any unauthorised processing of personal data or accidental disclosure, acquisition, sharing, use, alteration, destruction or loss of access to personal data that compromises its confidentiality, integrity or availability.</w:t>
      </w:r>
    </w:p>
    <w:p>
      <w:pPr>
        <w:spacing w:before="40" w:after="80"/>
        <w:ind w:left="0"/>
      </w:pPr>
      <w:r>
        <w:rPr>
          <w:rFonts w:ascii="Arial" w:hAnsi="Arial"/>
          <w:b/>
          <w:color w:val="44546A"/>
          <w:sz w:val="17"/>
        </w:rPr>
        <w:t xml:space="preserve">STATUTORY BASIS  </w:t>
      </w:r>
      <w:r>
        <w:rPr>
          <w:rFonts w:ascii="Times New Roman" w:hAnsi="Times New Roman"/>
          <w:sz w:val="20"/>
        </w:rPr>
        <w:t>s.2(u), DPDP Act, 2023  ·  Penalty: Up to INR 200 crore (Schedule entry 2)</w:t>
      </w:r>
    </w:p>
    <w:p>
      <w:pPr>
        <w:spacing w:before="40" w:after="80"/>
        <w:ind w:left="0"/>
      </w:pPr>
      <w:r>
        <w:rPr>
          <w:rFonts w:ascii="Arial" w:hAnsi="Arial"/>
          <w:b/>
          <w:color w:val="44546A"/>
          <w:sz w:val="17"/>
        </w:rPr>
        <w:t xml:space="preserve">TESTED BY  </w:t>
      </w:r>
      <w:r>
        <w:rPr>
          <w:rFonts w:ascii="Times New Roman" w:hAnsi="Times New Roman"/>
          <w:sz w:val="20"/>
        </w:rPr>
        <w:t>Inspect the incident procedure definition against the statutory wording; test classification of a sample of past incidents against it.</w:t>
      </w:r>
    </w:p>
    <w:p>
      <w:pPr>
        <w:spacing w:before="40" w:after="80"/>
        <w:ind w:left="0"/>
      </w:pPr>
      <w:r>
        <w:rPr>
          <w:rFonts w:ascii="Arial" w:hAnsi="Arial"/>
          <w:b/>
          <w:color w:val="44546A"/>
          <w:sz w:val="17"/>
        </w:rPr>
        <w:t xml:space="preserve">FINDING  </w:t>
      </w:r>
      <w:r>
        <w:rPr>
          <w:rFonts w:ascii="Times New Roman" w:hAnsi="Times New Roman"/>
          <w:sz w:val="20"/>
        </w:rPr>
        <w:t>The incident response procedure defines a personal data breach and correctly captures unauthorised disclosure, acquisition, sharing, use, alteration, destruction and loss of access. The definition is annexed to the security procedure rather than integrated into triage, and the severity matrix used by the on-call team is framed around availability and financial impact only, so a confidentiality-only event scores low and may not escalate.</w:t>
      </w:r>
    </w:p>
    <w:p>
      <w:pPr>
        <w:spacing w:before="80" w:after="120"/>
        <w:pBdr>
          <w:bottom w:val="single" w:sz="6" w:space="1" w:color="BFBFBF"/>
        </w:pBdr>
      </w:pPr>
    </w:p>
    <w:p>
      <w:pPr>
        <w:pStyle w:val="Heading3"/>
        <w:keepNext/>
        <w:spacing w:before="200" w:after="80"/>
      </w:pPr>
      <w:r>
        <w:rPr>
          <w:rFonts w:ascii="Arial" w:hAnsi="Arial"/>
          <w:b/>
          <w:color w:val="1F3552"/>
          <w:sz w:val="22"/>
        </w:rPr>
        <w:t>BRC-02   Detection and escalation capability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WP-101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obligation to intimate a breach presupposes the capability to become aware of it. Detection and internal escalation must be sufficient to bring a breach to the attention of those responsible for notification within the prescribed window.</w:t>
      </w:r>
    </w:p>
    <w:p>
      <w:pPr>
        <w:spacing w:before="40" w:after="80"/>
        <w:ind w:left="0"/>
      </w:pPr>
      <w:r>
        <w:rPr>
          <w:rFonts w:ascii="Arial" w:hAnsi="Arial"/>
          <w:b/>
          <w:color w:val="44546A"/>
          <w:sz w:val="17"/>
        </w:rPr>
        <w:t xml:space="preserve">STATUTORY BASIS  </w:t>
      </w:r>
      <w:r>
        <w:rPr>
          <w:rFonts w:ascii="Times New Roman" w:hAnsi="Times New Roman"/>
          <w:sz w:val="20"/>
        </w:rPr>
        <w:t>s.8(5), s.8(6), DPDP Act, 2023  ·  Rules: [Rules citation to be verified]  ·  Penalty: Up to INR 200 crore (Schedule entry 2)</w:t>
      </w:r>
    </w:p>
    <w:p>
      <w:pPr>
        <w:spacing w:before="40" w:after="80"/>
        <w:ind w:left="0"/>
      </w:pPr>
      <w:r>
        <w:rPr>
          <w:rFonts w:ascii="Arial" w:hAnsi="Arial"/>
          <w:b/>
          <w:color w:val="44546A"/>
          <w:sz w:val="17"/>
        </w:rPr>
        <w:t xml:space="preserve">TESTED BY  </w:t>
      </w:r>
      <w:r>
        <w:rPr>
          <w:rFonts w:ascii="Times New Roman" w:hAnsi="Times New Roman"/>
          <w:sz w:val="20"/>
        </w:rPr>
        <w:t>Inspect detection sources and escalation paths; measure escalation time in recent incidents; test the intake route for externally reported breaches.</w:t>
      </w:r>
    </w:p>
    <w:p>
      <w:pPr>
        <w:spacing w:before="40" w:after="80"/>
        <w:ind w:left="0"/>
      </w:pPr>
      <w:r>
        <w:rPr>
          <w:rFonts w:ascii="Arial" w:hAnsi="Arial"/>
          <w:b/>
          <w:color w:val="44546A"/>
          <w:sz w:val="17"/>
        </w:rPr>
        <w:t xml:space="preserve">FINDING  </w:t>
      </w:r>
      <w:r>
        <w:rPr>
          <w:rFonts w:ascii="Times New Roman" w:hAnsi="Times New Roman"/>
          <w:sz w:val="20"/>
        </w:rPr>
        <w:t>Detection is strong for infrastructure and application events. Detection of breaches arising from misuse of legitimate access — the Snowflake exposure at SEC-02 being the clearest example — is not covered by any use case, and the two incidents in the period were both identified through customer complaint rather than monitoring.</w:t>
      </w:r>
    </w:p>
    <w:p>
      <w:pPr>
        <w:spacing w:before="80" w:after="120"/>
        <w:pBdr>
          <w:bottom w:val="single" w:sz="6" w:space="1" w:color="BFBFBF"/>
        </w:pBdr>
      </w:pPr>
    </w:p>
    <w:p>
      <w:pPr>
        <w:pStyle w:val="Heading3"/>
        <w:keepNext/>
        <w:spacing w:before="200" w:after="80"/>
      </w:pPr>
      <w:r>
        <w:rPr>
          <w:rFonts w:ascii="Arial" w:hAnsi="Arial"/>
          <w:b/>
          <w:color w:val="1F3552"/>
          <w:sz w:val="22"/>
        </w:rPr>
        <w:t>BRC-03   Intimation to the Board in the prescribed form and time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WP-102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In the event of a personal data breach, the Data Fiduciary must give the Board intimation of the breach in such form and manner as may be prescribed.</w:t>
      </w:r>
    </w:p>
    <w:p>
      <w:pPr>
        <w:spacing w:before="40" w:after="80"/>
        <w:ind w:left="0"/>
      </w:pPr>
      <w:r>
        <w:rPr>
          <w:rFonts w:ascii="Arial" w:hAnsi="Arial"/>
          <w:b/>
          <w:color w:val="44546A"/>
          <w:sz w:val="17"/>
        </w:rPr>
        <w:t xml:space="preserve">STATUTORY BASIS  </w:t>
      </w:r>
      <w:r>
        <w:rPr>
          <w:rFonts w:ascii="Times New Roman" w:hAnsi="Times New Roman"/>
          <w:sz w:val="20"/>
        </w:rPr>
        <w:t>s.8(6), DPDP Act, 2023  ·  Rules: [Rules citation to be verified]  ·  Penalty: Up to INR 200 crore (Schedule entry 2)</w:t>
      </w:r>
    </w:p>
    <w:p>
      <w:pPr>
        <w:spacing w:before="40" w:after="80"/>
        <w:ind w:left="0"/>
      </w:pPr>
      <w:r>
        <w:rPr>
          <w:rFonts w:ascii="Arial" w:hAnsi="Arial"/>
          <w:b/>
          <w:color w:val="44546A"/>
          <w:sz w:val="17"/>
        </w:rPr>
        <w:t xml:space="preserve">TESTED BY  </w:t>
      </w:r>
      <w:r>
        <w:rPr>
          <w:rFonts w:ascii="Times New Roman" w:hAnsi="Times New Roman"/>
          <w:sz w:val="20"/>
        </w:rPr>
        <w:t>Inspect the runbook and notification template against the prescribed requirements; test the availability of the signatory and the submission channel.</w:t>
      </w:r>
    </w:p>
    <w:p>
      <w:pPr>
        <w:spacing w:before="40" w:after="80"/>
        <w:ind w:left="0"/>
      </w:pPr>
      <w:r>
        <w:rPr>
          <w:rFonts w:ascii="Arial" w:hAnsi="Arial"/>
          <w:b/>
          <w:color w:val="44546A"/>
          <w:sz w:val="17"/>
        </w:rPr>
        <w:t xml:space="preserve">FINDING  </w:t>
      </w:r>
      <w:r>
        <w:rPr>
          <w:rFonts w:ascii="Times New Roman" w:hAnsi="Times New Roman"/>
          <w:sz w:val="20"/>
        </w:rPr>
        <w:t>The procedure requires intimation to the Board but names neither the form nor the period, both of which are left as 'per applicable law'. Neither of the two incidents in the period was assessed for reportability, and no intimation has ever been prepared or rehearsed. Given that s.8(6) carries the second highest penalty in the Schedule, the absence of an operable mechanism is a material exposure.</w:t>
      </w:r>
    </w:p>
    <w:p>
      <w:pPr>
        <w:spacing w:before="40" w:after="80"/>
        <w:ind w:left="0"/>
      </w:pPr>
      <w:r>
        <w:rPr>
          <w:rFonts w:ascii="Arial" w:hAnsi="Arial"/>
          <w:b/>
          <w:color w:val="44546A"/>
          <w:sz w:val="17"/>
        </w:rPr>
        <w:t xml:space="preserve">TARGET STATE  </w:t>
      </w:r>
      <w:r>
        <w:rPr>
          <w:rFonts w:ascii="Times New Roman" w:hAnsi="Times New Roman"/>
          <w:sz w:val="20"/>
        </w:rPr>
        <w:t>A pre-drafted template covers every prescribed field, the timescale is embedded with escalation, the signatory has a deputy, and the submission route has been tested.</w:t>
      </w:r>
    </w:p>
    <w:p>
      <w:pPr>
        <w:spacing w:before="40" w:after="80"/>
        <w:ind w:left="0"/>
      </w:pPr>
      <w:r>
        <w:rPr>
          <w:rFonts w:ascii="Arial" w:hAnsi="Arial"/>
          <w:b/>
          <w:color w:val="44546A"/>
          <w:sz w:val="17"/>
        </w:rPr>
        <w:t xml:space="preserve">TRACKED AS  </w:t>
      </w:r>
      <w:r>
        <w:rPr>
          <w:rFonts w:ascii="Times New Roman" w:hAnsi="Times New Roman"/>
          <w:sz w:val="20"/>
        </w:rPr>
        <w:t>G023 · priority P2 · target date 2026-10-13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BRC-04   Intimation to each affected Data Principal</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WP-103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Data Fiduciary must give intimation of a personal data breach to each affected Data Principal, in such form and manner as may be prescribed.</w:t>
      </w:r>
    </w:p>
    <w:p>
      <w:pPr>
        <w:spacing w:before="40" w:after="80"/>
        <w:ind w:left="0"/>
      </w:pPr>
      <w:r>
        <w:rPr>
          <w:rFonts w:ascii="Arial" w:hAnsi="Arial"/>
          <w:b/>
          <w:color w:val="44546A"/>
          <w:sz w:val="17"/>
        </w:rPr>
        <w:t xml:space="preserve">STATUTORY BASIS  </w:t>
      </w:r>
      <w:r>
        <w:rPr>
          <w:rFonts w:ascii="Times New Roman" w:hAnsi="Times New Roman"/>
          <w:sz w:val="20"/>
        </w:rPr>
        <w:t>s.8(6), DPDP Act, 2023  ·  Rules: [Rules citation to be verified]  ·  Penalty: Up to INR 200 crore (Schedule entry 2)</w:t>
      </w:r>
    </w:p>
    <w:p>
      <w:pPr>
        <w:spacing w:before="40" w:after="80"/>
        <w:ind w:left="0"/>
      </w:pPr>
      <w:r>
        <w:rPr>
          <w:rFonts w:ascii="Arial" w:hAnsi="Arial"/>
          <w:b/>
          <w:color w:val="44546A"/>
          <w:sz w:val="17"/>
        </w:rPr>
        <w:t xml:space="preserve">TESTED BY  </w:t>
      </w:r>
      <w:r>
        <w:rPr>
          <w:rFonts w:ascii="Times New Roman" w:hAnsi="Times New Roman"/>
          <w:sz w:val="20"/>
        </w:rPr>
        <w:t>Re-performance: for a hypothetical breach of a defined dataset, require the entity to produce the affected population and demonstrate the notification mechanism at that volume.</w:t>
      </w:r>
    </w:p>
    <w:p>
      <w:pPr>
        <w:spacing w:before="40" w:after="80"/>
        <w:ind w:left="0"/>
      </w:pPr>
      <w:r>
        <w:rPr>
          <w:rFonts w:ascii="Arial" w:hAnsi="Arial"/>
          <w:b/>
          <w:color w:val="44546A"/>
          <w:sz w:val="17"/>
        </w:rPr>
        <w:t xml:space="preserve">FINDING  </w:t>
      </w:r>
      <w:r>
        <w:rPr>
          <w:rFonts w:ascii="Times New Roman" w:hAnsi="Times New Roman"/>
          <w:sz w:val="20"/>
        </w:rPr>
        <w:t>There is no template, channel or owner for intimation to affected Data Principals. The one incident in the period that affected identifiable individuals — 3,400 loan applicants whose data was exposed through a misconfigured partner API — was handled by customer service on a reactive basis, with no proactive intimation and no record of who was told what.</w:t>
      </w:r>
    </w:p>
    <w:p>
      <w:pPr>
        <w:spacing w:before="40" w:after="80"/>
        <w:ind w:left="0"/>
      </w:pPr>
      <w:r>
        <w:rPr>
          <w:rFonts w:ascii="Arial" w:hAnsi="Arial"/>
          <w:b/>
          <w:color w:val="44546A"/>
          <w:sz w:val="17"/>
        </w:rPr>
        <w:t xml:space="preserve">TARGET STATE  </w:t>
      </w:r>
      <w:r>
        <w:rPr>
          <w:rFonts w:ascii="Times New Roman" w:hAnsi="Times New Roman"/>
          <w:sz w:val="20"/>
        </w:rPr>
        <w:t>The affected population can be derived promptly from breach scope, mass notification is tested at realistic volume across channels, and a documented approach covers unreachable individuals.</w:t>
      </w:r>
    </w:p>
    <w:p>
      <w:pPr>
        <w:spacing w:before="40" w:after="80"/>
        <w:ind w:left="0"/>
      </w:pPr>
      <w:r>
        <w:rPr>
          <w:rFonts w:ascii="Arial" w:hAnsi="Arial"/>
          <w:b/>
          <w:color w:val="44546A"/>
          <w:sz w:val="17"/>
        </w:rPr>
        <w:t xml:space="preserve">TRACKED AS  </w:t>
      </w:r>
      <w:r>
        <w:rPr>
          <w:rFonts w:ascii="Times New Roman" w:hAnsi="Times New Roman"/>
          <w:sz w:val="20"/>
        </w:rPr>
        <w:t>G024 · priority P2 · target date 2026-10-13 · owner Anita Desai, Head of Customer Experience</w:t>
      </w:r>
    </w:p>
    <w:p>
      <w:pPr>
        <w:spacing w:before="80" w:after="120"/>
        <w:pBdr>
          <w:bottom w:val="single" w:sz="6" w:space="1" w:color="BFBFBF"/>
        </w:pBdr>
      </w:pPr>
    </w:p>
    <w:p>
      <w:pPr>
        <w:pStyle w:val="Heading3"/>
        <w:keepNext/>
        <w:spacing w:before="200" w:after="80"/>
      </w:pPr>
      <w:r>
        <w:rPr>
          <w:rFonts w:ascii="Arial" w:hAnsi="Arial"/>
          <w:b/>
          <w:color w:val="1F3552"/>
          <w:sz w:val="22"/>
        </w:rPr>
        <w:t>BRC-05   Breach register and documentation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WP-104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Demonstrating compliance with section 8(6), and relying on mitigation as a factor in the determination of penalty under section 33(2), both require a contemporaneous record of breaches, decisions and actions taken.</w:t>
      </w:r>
    </w:p>
    <w:p>
      <w:pPr>
        <w:spacing w:before="40" w:after="80"/>
        <w:ind w:left="0"/>
      </w:pPr>
      <w:r>
        <w:rPr>
          <w:rFonts w:ascii="Arial" w:hAnsi="Arial"/>
          <w:b/>
          <w:color w:val="44546A"/>
          <w:sz w:val="17"/>
        </w:rPr>
        <w:t xml:space="preserve">STATUTORY BASIS  </w:t>
      </w:r>
      <w:r>
        <w:rPr>
          <w:rFonts w:ascii="Times New Roman" w:hAnsi="Times New Roman"/>
          <w:sz w:val="20"/>
        </w:rPr>
        <w:t>s.8(6), s.33(2), DPDP Act, 2023  ·  Penalty: Up to INR 200 crore (Schedule entry 2)</w:t>
      </w:r>
    </w:p>
    <w:p>
      <w:pPr>
        <w:spacing w:before="40" w:after="80"/>
        <w:ind w:left="0"/>
      </w:pPr>
      <w:r>
        <w:rPr>
          <w:rFonts w:ascii="Arial" w:hAnsi="Arial"/>
          <w:b/>
          <w:color w:val="44546A"/>
          <w:sz w:val="17"/>
        </w:rPr>
        <w:t xml:space="preserve">TESTED BY  </w:t>
      </w:r>
      <w:r>
        <w:rPr>
          <w:rFonts w:ascii="Times New Roman" w:hAnsi="Times New Roman"/>
          <w:sz w:val="20"/>
        </w:rPr>
        <w:t>Inspect the breach register for completeness; reconcile against security incident tickets to detect breaches recorded only as technical incidents.</w:t>
      </w:r>
    </w:p>
    <w:p>
      <w:pPr>
        <w:spacing w:before="40" w:after="80"/>
        <w:ind w:left="0"/>
      </w:pPr>
      <w:r>
        <w:rPr>
          <w:rFonts w:ascii="Arial" w:hAnsi="Arial"/>
          <w:b/>
          <w:color w:val="44546A"/>
          <w:sz w:val="17"/>
        </w:rPr>
        <w:t xml:space="preserve">FINDING  </w:t>
      </w:r>
      <w:r>
        <w:rPr>
          <w:rFonts w:ascii="Times New Roman" w:hAnsi="Times New Roman"/>
          <w:sz w:val="20"/>
        </w:rPr>
        <w:t>A breach register is maintained in Freshservice with cause, systems affected and remediation. Entries do not record the categories or volume of personal data affected, or the reportability assessment, both of which would be the first things sought in an inquiry.</w:t>
      </w:r>
    </w:p>
    <w:p>
      <w:pPr>
        <w:spacing w:before="80" w:after="120"/>
        <w:pBdr>
          <w:bottom w:val="single" w:sz="6" w:space="1" w:color="BFBFBF"/>
        </w:pBdr>
      </w:pPr>
    </w:p>
    <w:p>
      <w:pPr>
        <w:pStyle w:val="Heading3"/>
        <w:keepNext/>
        <w:spacing w:before="200" w:after="80"/>
      </w:pPr>
      <w:r>
        <w:rPr>
          <w:rFonts w:ascii="Arial" w:hAnsi="Arial"/>
          <w:b/>
          <w:color w:val="1F3552"/>
          <w:sz w:val="22"/>
        </w:rPr>
        <w:t>BRC-06   Breach response rehearsed and post-incident remediation tracked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WP-105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Section 33(2) makes the promptness, effectiveness and timeliness of mitigating action an express factor in determining the quantum of any penalty, which makes tested response capability directly material to exposure.</w:t>
      </w:r>
    </w:p>
    <w:p>
      <w:pPr>
        <w:spacing w:before="40" w:after="80"/>
        <w:ind w:left="0"/>
      </w:pPr>
      <w:r>
        <w:rPr>
          <w:rFonts w:ascii="Arial" w:hAnsi="Arial"/>
          <w:b/>
          <w:color w:val="44546A"/>
          <w:sz w:val="17"/>
        </w:rPr>
        <w:t xml:space="preserve">STATUTORY BASIS  </w:t>
      </w:r>
      <w:r>
        <w:rPr>
          <w:rFonts w:ascii="Times New Roman" w:hAnsi="Times New Roman"/>
          <w:sz w:val="20"/>
        </w:rPr>
        <w:t>s.8(6), s.33(2), DPDP Act, 2023  ·  Penalty: Up to INR 200 crore (Schedule entry 2)</w:t>
      </w:r>
    </w:p>
    <w:p>
      <w:pPr>
        <w:spacing w:before="40" w:after="80"/>
        <w:ind w:left="0"/>
      </w:pPr>
      <w:r>
        <w:rPr>
          <w:rFonts w:ascii="Arial" w:hAnsi="Arial"/>
          <w:b/>
          <w:color w:val="44546A"/>
          <w:sz w:val="17"/>
        </w:rPr>
        <w:t xml:space="preserve">TESTED BY  </w:t>
      </w:r>
      <w:r>
        <w:rPr>
          <w:rFonts w:ascii="Times New Roman" w:hAnsi="Times New Roman"/>
          <w:sz w:val="20"/>
        </w:rPr>
        <w:t>Inspect rehearsal records and after-action reports; test whether identified deficiencies were remediated.</w:t>
      </w:r>
    </w:p>
    <w:p>
      <w:pPr>
        <w:spacing w:before="40" w:after="80"/>
        <w:ind w:left="0"/>
      </w:pPr>
      <w:r>
        <w:rPr>
          <w:rFonts w:ascii="Arial" w:hAnsi="Arial"/>
          <w:b/>
          <w:color w:val="44546A"/>
          <w:sz w:val="17"/>
        </w:rPr>
        <w:t xml:space="preserve">FINDING  </w:t>
      </w:r>
      <w:r>
        <w:rPr>
          <w:rFonts w:ascii="Times New Roman" w:hAnsi="Times New Roman"/>
          <w:sz w:val="20"/>
        </w:rPr>
        <w:t>A tabletop exercise was conducted in October 2025 covering a ransomware scenario. No exercise has tested a personal data breach requiring regulatory and Data Principal intimation. Post-incident actions from the partner API incident remain open six months later with no owner recorded.</w:t>
      </w:r>
    </w:p>
    <w:p>
      <w:pPr>
        <w:spacing w:before="40" w:after="80"/>
        <w:ind w:left="0"/>
      </w:pPr>
      <w:r>
        <w:rPr>
          <w:rFonts w:ascii="Arial" w:hAnsi="Arial"/>
          <w:b/>
          <w:color w:val="44546A"/>
          <w:sz w:val="17"/>
        </w:rPr>
        <w:t xml:space="preserve">TARGET STATE  </w:t>
      </w:r>
      <w:r>
        <w:rPr>
          <w:rFonts w:ascii="Times New Roman" w:hAnsi="Times New Roman"/>
          <w:sz w:val="20"/>
        </w:rPr>
        <w:t>Rehearsals occur at least annually against notification-triggering scenarios, exercise both Board and Data Principal intimation, and after-action items are tracked to closure and retested.</w:t>
      </w:r>
    </w:p>
    <w:p>
      <w:pPr>
        <w:spacing w:before="40" w:after="80"/>
        <w:ind w:left="0"/>
      </w:pPr>
      <w:r>
        <w:rPr>
          <w:rFonts w:ascii="Arial" w:hAnsi="Arial"/>
          <w:b/>
          <w:color w:val="44546A"/>
          <w:sz w:val="17"/>
        </w:rPr>
        <w:t xml:space="preserve">TRACKED AS  </w:t>
      </w:r>
      <w:r>
        <w:rPr>
          <w:rFonts w:ascii="Times New Roman" w:hAnsi="Times New Roman"/>
          <w:sz w:val="20"/>
        </w:rPr>
        <w:t>G038 · priority P3 · target date 2026-11-12 · owner Arjun Nair, Chief Information Security Officer</w:t>
      </w:r>
    </w:p>
    <w:p>
      <w:pPr>
        <w:spacing w:before="80" w:after="120"/>
        <w:pBdr>
          <w:bottom w:val="single" w:sz="6" w:space="1" w:color="BFBFBF"/>
        </w:pBdr>
      </w:pPr>
    </w:p>
    <w:p>
      <w:pPr>
        <w:pStyle w:val="Heading2"/>
        <w:keepNext/>
        <w:spacing w:before="280" w:after="120"/>
      </w:pPr>
      <w:r>
        <w:rPr>
          <w:rFonts w:ascii="Arial" w:hAnsi="Arial"/>
          <w:b/>
          <w:color w:val="1F3552"/>
          <w:sz w:val="26"/>
        </w:rPr>
        <w:t>4.13  CHD — Children &amp; Persons with Disability</w:t>
      </w:r>
    </w:p>
    <w:p>
      <w:pPr>
        <w:spacing w:before="0" w:after="120"/>
        <w:jc w:val="both"/>
      </w:pPr>
      <w:r>
        <w:rPr>
          <w:rFonts w:ascii="Times New Roman" w:hAnsi="Times New Roman"/>
          <w:b w:val="0"/>
          <w:i/>
          <w:color w:val="44546A"/>
          <w:sz w:val="20"/>
        </w:rPr>
        <w:t>Section 9 sets the age of a child at below eighteen years — materially higher than the thirteen-to-sixteen range most global platforms are built for — and prohibits tracking, behavioural monitoring and targeted advertising directed at children outright, with no consent-based cure. Penalty exposure is up to INR 200 crore. The same regime extends to persons with disability who have a lawful guardian.</w:t>
      </w:r>
    </w:p>
    <w:p>
      <w:pPr>
        <w:spacing w:before="40" w:after="80"/>
        <w:ind w:left="0"/>
      </w:pPr>
      <w:r>
        <w:rPr>
          <w:rFonts w:ascii="Arial" w:hAnsi="Arial"/>
          <w:b/>
          <w:color w:val="44546A"/>
          <w:sz w:val="17"/>
        </w:rPr>
        <w:t xml:space="preserve">SCOPE QUESTION  </w:t>
      </w:r>
      <w:r>
        <w:rPr>
          <w:rFonts w:ascii="Times New Roman" w:hAnsi="Times New Roman"/>
          <w:sz w:val="20"/>
        </w:rPr>
        <w:t>Is verifiable parental or guardian consent obtained, and are tracking, behavioural monitoring and targeted advertising to children prevented?</w:t>
      </w:r>
    </w:p>
    <w:p>
      <w:pPr>
        <w:spacing w:before="40" w:after="80"/>
        <w:ind w:left="0"/>
      </w:pPr>
      <w:r>
        <w:rPr>
          <w:rFonts w:ascii="Arial" w:hAnsi="Arial"/>
          <w:b/>
          <w:color w:val="44546A"/>
          <w:sz w:val="17"/>
        </w:rPr>
        <w:t xml:space="preserve">RESULT  </w:t>
      </w:r>
      <w:r>
        <w:rPr>
          <w:rFonts w:ascii="Times New Roman" w:hAnsi="Times New Roman"/>
          <w:sz w:val="20"/>
        </w:rPr>
        <w:t>Domain maturity 34.8% (Initial). 5 controls in scope, 5 assessed, 5 gaps of which 3 attach to critical obligations. Highest residual risk in the domain is 16 of 16.</w:t>
      </w:r>
    </w:p>
    <w:p>
      <w:pPr>
        <w:spacing w:before="40" w:after="120"/>
        <w:pBdr>
          <w:bottom w:val="single" w:sz="6" w:space="1" w:color="BFBFBF"/>
        </w:pBdr>
      </w:pPr>
    </w:p>
    <w:p>
      <w:pPr>
        <w:pStyle w:val="Heading3"/>
        <w:keepNext/>
        <w:spacing w:before="200" w:after="80"/>
      </w:pPr>
      <w:r>
        <w:rPr>
          <w:rFonts w:ascii="Arial" w:hAnsi="Arial"/>
          <w:b/>
          <w:color w:val="1F3552"/>
          <w:sz w:val="22"/>
        </w:rPr>
        <w:t>CHD-01   Age determination and identification of child users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WP-110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child means an individual who has not completed eighteen years of age. Obligations in relation to children attach to the processing of a child's personal data, which presupposes the ability to identify such data.</w:t>
      </w:r>
    </w:p>
    <w:p>
      <w:pPr>
        <w:spacing w:before="40" w:after="80"/>
        <w:ind w:left="0"/>
      </w:pPr>
      <w:r>
        <w:rPr>
          <w:rFonts w:ascii="Arial" w:hAnsi="Arial"/>
          <w:b/>
          <w:color w:val="44546A"/>
          <w:sz w:val="17"/>
        </w:rPr>
        <w:t xml:space="preserve">STATUTORY BASIS  </w:t>
      </w:r>
      <w:r>
        <w:rPr>
          <w:rFonts w:ascii="Times New Roman" w:hAnsi="Times New Roman"/>
          <w:sz w:val="20"/>
        </w:rPr>
        <w:t>s.2(f), s.9(1), DPDP Act, 2023  ·  Rules: [Rules citation to be verified]  ·  Penalty: Up to INR 200 crore (Schedule entry 3)</w:t>
      </w:r>
    </w:p>
    <w:p>
      <w:pPr>
        <w:spacing w:before="40" w:after="80"/>
        <w:ind w:left="0"/>
      </w:pPr>
      <w:r>
        <w:rPr>
          <w:rFonts w:ascii="Arial" w:hAnsi="Arial"/>
          <w:b/>
          <w:color w:val="44546A"/>
          <w:sz w:val="17"/>
        </w:rPr>
        <w:t xml:space="preserve">TESTED BY  </w:t>
      </w:r>
      <w:r>
        <w:rPr>
          <w:rFonts w:ascii="Times New Roman" w:hAnsi="Times New Roman"/>
          <w:sz w:val="20"/>
        </w:rPr>
        <w:t>Inspect the age determination mechanism and the threshold configured; test the treatment of users of unknown age and the response to indications of misstatement.</w:t>
      </w:r>
    </w:p>
    <w:p>
      <w:pPr>
        <w:spacing w:before="40" w:after="80"/>
        <w:ind w:left="0"/>
      </w:pPr>
      <w:r>
        <w:rPr>
          <w:rFonts w:ascii="Arial" w:hAnsi="Arial"/>
          <w:b/>
          <w:color w:val="44546A"/>
          <w:sz w:val="17"/>
        </w:rPr>
        <w:t xml:space="preserve">FINDING  </w:t>
      </w:r>
      <w:r>
        <w:rPr>
          <w:rFonts w:ascii="Times New Roman" w:hAnsi="Times New Roman"/>
          <w:sz w:val="20"/>
        </w:rPr>
        <w:t>Kavach Junior collects date of birth and is designed for 13-17 year olds, so child users are identified within that product. The main KavachPay application relies on a self-declared 18-plus checkbox with no verification, and analysis of KYC data during this assessment identified 1,847 accounts whose bureau or document date of birth indicates the holder is under 18.</w:t>
      </w:r>
    </w:p>
    <w:p>
      <w:pPr>
        <w:spacing w:before="40" w:after="80"/>
        <w:ind w:left="0"/>
      </w:pPr>
      <w:r>
        <w:rPr>
          <w:rFonts w:ascii="Arial" w:hAnsi="Arial"/>
          <w:b/>
          <w:color w:val="44546A"/>
          <w:sz w:val="17"/>
        </w:rPr>
        <w:t xml:space="preserve">TARGET STATE  </w:t>
      </w:r>
      <w:r>
        <w:rPr>
          <w:rFonts w:ascii="Times New Roman" w:hAnsi="Times New Roman"/>
          <w:sz w:val="20"/>
        </w:rPr>
        <w:t>The threshold is eighteen, age determination is supported by proportionate signals rather than bare self-declaration, unknown-age users receive a documented default, and misstatement signals trigger review.</w:t>
      </w:r>
    </w:p>
    <w:p>
      <w:pPr>
        <w:spacing w:before="40" w:after="80"/>
        <w:ind w:left="0"/>
      </w:pPr>
      <w:r>
        <w:rPr>
          <w:rFonts w:ascii="Arial" w:hAnsi="Arial"/>
          <w:b/>
          <w:color w:val="44546A"/>
          <w:sz w:val="17"/>
        </w:rPr>
        <w:t xml:space="preserve">TRACKED AS  </w:t>
      </w:r>
      <w:r>
        <w:rPr>
          <w:rFonts w:ascii="Times New Roman" w:hAnsi="Times New Roman"/>
          <w:sz w:val="20"/>
        </w:rPr>
        <w:t>G025 · priority P2 · target date 2026-10-13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CHD-02   Verifiable consent of parent or lawful guardian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WP-111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Before processing any personal data of a child, or of a person with a disability who has a lawful guardian, the Data Fiduciary must obtain verifiable consent of the parent or of such lawful guardian.</w:t>
      </w:r>
    </w:p>
    <w:p>
      <w:pPr>
        <w:spacing w:before="40" w:after="80"/>
        <w:ind w:left="0"/>
      </w:pPr>
      <w:r>
        <w:rPr>
          <w:rFonts w:ascii="Arial" w:hAnsi="Arial"/>
          <w:b/>
          <w:color w:val="44546A"/>
          <w:sz w:val="17"/>
        </w:rPr>
        <w:t xml:space="preserve">STATUTORY BASIS  </w:t>
      </w:r>
      <w:r>
        <w:rPr>
          <w:rFonts w:ascii="Times New Roman" w:hAnsi="Times New Roman"/>
          <w:sz w:val="20"/>
        </w:rPr>
        <w:t>s.9(1), DPDP Act, 2023  ·  Rules: [Rules citation to be verified]  ·  Penalty: Up to INR 200 crore (Schedule entry 3)</w:t>
      </w:r>
    </w:p>
    <w:p>
      <w:pPr>
        <w:spacing w:before="40" w:after="80"/>
        <w:ind w:left="0"/>
      </w:pPr>
      <w:r>
        <w:rPr>
          <w:rFonts w:ascii="Arial" w:hAnsi="Arial"/>
          <w:b/>
          <w:color w:val="44546A"/>
          <w:sz w:val="17"/>
        </w:rPr>
        <w:t xml:space="preserve">TESTED BY  </w:t>
      </w:r>
      <w:r>
        <w:rPr>
          <w:rFonts w:ascii="Times New Roman" w:hAnsi="Times New Roman"/>
          <w:sz w:val="20"/>
        </w:rPr>
        <w:t>Re-performance: complete the child onboarding journey and assess what verification is actually performed; inspect the artefacts retained.</w:t>
      </w:r>
    </w:p>
    <w:p>
      <w:pPr>
        <w:spacing w:before="40" w:after="80"/>
        <w:ind w:left="0"/>
      </w:pPr>
      <w:r>
        <w:rPr>
          <w:rFonts w:ascii="Arial" w:hAnsi="Arial"/>
          <w:b/>
          <w:color w:val="44546A"/>
          <w:sz w:val="17"/>
        </w:rPr>
        <w:t xml:space="preserve">FINDING  </w:t>
      </w:r>
      <w:r>
        <w:rPr>
          <w:rFonts w:ascii="Times New Roman" w:hAnsi="Times New Roman"/>
          <w:sz w:val="20"/>
        </w:rPr>
        <w:t>The Kavach Junior journey requires the parent to initiate the account from their own authenticated, KYC-verified session, which is a reasonable foundation. The relationship between parent and child is self-declared and unverified, and the consent captured from the parent is the same bundled consent described at CON-01 rather than a consent directed at the child's data.</w:t>
      </w:r>
    </w:p>
    <w:p>
      <w:pPr>
        <w:spacing w:before="40" w:after="80"/>
        <w:ind w:left="0"/>
      </w:pPr>
      <w:r>
        <w:rPr>
          <w:rFonts w:ascii="Arial" w:hAnsi="Arial"/>
          <w:b/>
          <w:color w:val="44546A"/>
          <w:sz w:val="17"/>
        </w:rPr>
        <w:t xml:space="preserve">TARGET STATE  </w:t>
      </w:r>
      <w:r>
        <w:rPr>
          <w:rFonts w:ascii="Times New Roman" w:hAnsi="Times New Roman"/>
          <w:sz w:val="20"/>
        </w:rPr>
        <w:t>Verification establishes both the adult's identity and the guardian relationship through proportionate means, artefacts link parent to child record, and processing demonstrably does not begin until consent is complete.</w:t>
      </w:r>
    </w:p>
    <w:p>
      <w:pPr>
        <w:spacing w:before="40" w:after="80"/>
        <w:ind w:left="0"/>
      </w:pPr>
      <w:r>
        <w:rPr>
          <w:rFonts w:ascii="Arial" w:hAnsi="Arial"/>
          <w:b/>
          <w:color w:val="44546A"/>
          <w:sz w:val="17"/>
        </w:rPr>
        <w:t xml:space="preserve">TRACKED AS  </w:t>
      </w:r>
      <w:r>
        <w:rPr>
          <w:rFonts w:ascii="Times New Roman" w:hAnsi="Times New Roman"/>
          <w:sz w:val="20"/>
        </w:rPr>
        <w:t>G026 · priority P2 · target date 2026-10-13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CHD-03   No tracking, behavioural monitoring or targeted advertising to children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0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16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WP-112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must not undertake tracking or behavioural monitoring of children, or targeted advertising directed at children.</w:t>
      </w:r>
    </w:p>
    <w:p>
      <w:pPr>
        <w:spacing w:before="40" w:after="80"/>
        <w:ind w:left="0"/>
      </w:pPr>
      <w:r>
        <w:rPr>
          <w:rFonts w:ascii="Arial" w:hAnsi="Arial"/>
          <w:b/>
          <w:color w:val="44546A"/>
          <w:sz w:val="17"/>
        </w:rPr>
        <w:t xml:space="preserve">STATUTORY BASIS  </w:t>
      </w:r>
      <w:r>
        <w:rPr>
          <w:rFonts w:ascii="Times New Roman" w:hAnsi="Times New Roman"/>
          <w:sz w:val="20"/>
        </w:rPr>
        <w:t>s.9(3), DPDP Act, 2023  ·  Rules: [Rules citation to be verified]  ·  Penalty: Up to INR 200 crore (Schedule entry 3)</w:t>
      </w:r>
    </w:p>
    <w:p>
      <w:pPr>
        <w:spacing w:before="40" w:after="80"/>
        <w:ind w:left="0"/>
      </w:pPr>
      <w:r>
        <w:rPr>
          <w:rFonts w:ascii="Arial" w:hAnsi="Arial"/>
          <w:b/>
          <w:color w:val="44546A"/>
          <w:sz w:val="17"/>
        </w:rPr>
        <w:t xml:space="preserve">TESTED BY  </w:t>
      </w:r>
      <w:r>
        <w:rPr>
          <w:rFonts w:ascii="Times New Roman" w:hAnsi="Times New Roman"/>
          <w:sz w:val="20"/>
        </w:rPr>
        <w:t>Re-performance: instrument a child-flagged test account and inspect outbound requests, cookies, SDK activity and advertising identifiers.</w:t>
      </w:r>
    </w:p>
    <w:p>
      <w:pPr>
        <w:spacing w:before="40" w:after="80"/>
        <w:ind w:left="0"/>
      </w:pPr>
      <w:r>
        <w:rPr>
          <w:rFonts w:ascii="Arial" w:hAnsi="Arial"/>
          <w:b/>
          <w:color w:val="44546A"/>
          <w:sz w:val="17"/>
        </w:rPr>
        <w:t xml:space="preserve">FINDING  </w:t>
      </w:r>
      <w:r>
        <w:rPr>
          <w:rFonts w:ascii="Times New Roman" w:hAnsi="Times New Roman"/>
          <w:sz w:val="20"/>
        </w:rPr>
        <w:t>The advertising and analytics SDKs embedded in the KavachPay application are active in the Kavach Junior experience. Testing confirmed that device identifiers and in-app behavioural events for accounts flagged as minors are transmitted to CleverTap and to the Meta SDK, and that those accounts are eligible for inclusion in lookalike audiences. Children are therefore subject to tracking, behavioural monitoring and targeted advertising. The prohibition is absolute and is not cured by the parental consent obtained, and the conduct engages the third highest penalty entry in the Schedule.</w:t>
      </w:r>
    </w:p>
    <w:p>
      <w:pPr>
        <w:spacing w:before="40" w:after="80"/>
        <w:ind w:left="0"/>
      </w:pPr>
      <w:r>
        <w:rPr>
          <w:rFonts w:ascii="Arial" w:hAnsi="Arial"/>
          <w:b/>
          <w:color w:val="44546A"/>
          <w:sz w:val="17"/>
        </w:rPr>
        <w:t xml:space="preserve">NOTE  </w:t>
      </w:r>
      <w:r>
        <w:rPr>
          <w:rFonts w:ascii="Times New Roman" w:hAnsi="Times New Roman"/>
          <w:sz w:val="20"/>
        </w:rPr>
        <w:t>This prohibition is not curable by consent. Parental consent does not authorise tracking or targeted advertising directed at a child.</w:t>
      </w:r>
    </w:p>
    <w:p>
      <w:pPr>
        <w:spacing w:before="40" w:after="80"/>
        <w:ind w:left="0"/>
      </w:pPr>
      <w:r>
        <w:rPr>
          <w:rFonts w:ascii="Arial" w:hAnsi="Arial"/>
          <w:b/>
          <w:color w:val="44546A"/>
          <w:sz w:val="17"/>
        </w:rPr>
        <w:t xml:space="preserve">TARGET STATE  </w:t>
      </w:r>
      <w:r>
        <w:rPr>
          <w:rFonts w:ascii="Times New Roman" w:hAnsi="Times New Roman"/>
          <w:sz w:val="20"/>
        </w:rPr>
        <w:t>Tracking, behavioural monitoring and targeted advertising are technically suppressed for child accounts across first and third-party components, verified by instrumented testing.</w:t>
      </w:r>
    </w:p>
    <w:p>
      <w:pPr>
        <w:spacing w:before="40" w:after="80"/>
        <w:ind w:left="0"/>
      </w:pPr>
      <w:r>
        <w:rPr>
          <w:rFonts w:ascii="Arial" w:hAnsi="Arial"/>
          <w:b/>
          <w:color w:val="44546A"/>
          <w:sz w:val="17"/>
        </w:rPr>
        <w:t xml:space="preserve">TRACKED AS  </w:t>
      </w:r>
      <w:r>
        <w:rPr>
          <w:rFonts w:ascii="Times New Roman" w:hAnsi="Times New Roman"/>
          <w:sz w:val="20"/>
        </w:rPr>
        <w:t>G001 · priority P1 · target date 2026-09-13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CHD-04   No processing likely to cause detrimental effect on a child's wellbeing</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WP-113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must not undertake processing of personal data that is likely to cause any detrimental effect on the wellbeing of a child.</w:t>
      </w:r>
    </w:p>
    <w:p>
      <w:pPr>
        <w:spacing w:before="40" w:after="80"/>
        <w:ind w:left="0"/>
      </w:pPr>
      <w:r>
        <w:rPr>
          <w:rFonts w:ascii="Arial" w:hAnsi="Arial"/>
          <w:b/>
          <w:color w:val="44546A"/>
          <w:sz w:val="17"/>
        </w:rPr>
        <w:t xml:space="preserve">STATUTORY BASIS  </w:t>
      </w:r>
      <w:r>
        <w:rPr>
          <w:rFonts w:ascii="Times New Roman" w:hAnsi="Times New Roman"/>
          <w:sz w:val="20"/>
        </w:rPr>
        <w:t>s.9(2), DPDP Act, 2023  ·  Penalty: Up to INR 200 crore (Schedule entry 3)</w:t>
      </w:r>
    </w:p>
    <w:p>
      <w:pPr>
        <w:spacing w:before="40" w:after="80"/>
        <w:ind w:left="0"/>
      </w:pPr>
      <w:r>
        <w:rPr>
          <w:rFonts w:ascii="Arial" w:hAnsi="Arial"/>
          <w:b/>
          <w:color w:val="44546A"/>
          <w:sz w:val="17"/>
        </w:rPr>
        <w:t xml:space="preserve">TESTED BY  </w:t>
      </w:r>
      <w:r>
        <w:rPr>
          <w:rFonts w:ascii="Times New Roman" w:hAnsi="Times New Roman"/>
          <w:sz w:val="20"/>
        </w:rPr>
        <w:t>Inspect wellbeing impact assessments for child-affecting features; test whether engagement-optimising mechanics were assessed and, where necessary, modified.</w:t>
      </w:r>
    </w:p>
    <w:p>
      <w:pPr>
        <w:spacing w:before="40" w:after="80"/>
        <w:ind w:left="0"/>
      </w:pPr>
      <w:r>
        <w:rPr>
          <w:rFonts w:ascii="Arial" w:hAnsi="Arial"/>
          <w:b/>
          <w:color w:val="44546A"/>
          <w:sz w:val="17"/>
        </w:rPr>
        <w:t xml:space="preserve">FINDING  </w:t>
      </w:r>
      <w:r>
        <w:rPr>
          <w:rFonts w:ascii="Times New Roman" w:hAnsi="Times New Roman"/>
          <w:sz w:val="20"/>
        </w:rPr>
        <w:t>No assessment of detrimental effect on children's wellbeing has been performed for Kavach Junior. Features that warrant such an assessment — spending streak rewards, peer comparison of savings, and push notifications timed to school hours — were designed without privacy or wellbeing review, consistent with the gate failure at PUR-05.</w:t>
      </w:r>
    </w:p>
    <w:p>
      <w:pPr>
        <w:spacing w:before="40" w:after="80"/>
        <w:ind w:left="0"/>
      </w:pPr>
      <w:r>
        <w:rPr>
          <w:rFonts w:ascii="Arial" w:hAnsi="Arial"/>
          <w:b/>
          <w:color w:val="44546A"/>
          <w:sz w:val="17"/>
        </w:rPr>
        <w:t xml:space="preserve">TARGET STATE  </w:t>
      </w:r>
      <w:r>
        <w:rPr>
          <w:rFonts w:ascii="Times New Roman" w:hAnsi="Times New Roman"/>
          <w:sz w:val="20"/>
        </w:rPr>
        <w:t>Documented wellbeing assessments cover features and algorithms affecting children, are reviewed on change, and there is evidence of design changes made on wellbeing grounds.</w:t>
      </w:r>
    </w:p>
    <w:p>
      <w:pPr>
        <w:spacing w:before="40" w:after="80"/>
        <w:ind w:left="0"/>
      </w:pPr>
      <w:r>
        <w:rPr>
          <w:rFonts w:ascii="Arial" w:hAnsi="Arial"/>
          <w:b/>
          <w:color w:val="44546A"/>
          <w:sz w:val="17"/>
        </w:rPr>
        <w:t xml:space="preserve">TRACKED AS  </w:t>
      </w:r>
      <w:r>
        <w:rPr>
          <w:rFonts w:ascii="Times New Roman" w:hAnsi="Times New Roman"/>
          <w:sz w:val="20"/>
        </w:rPr>
        <w:t>G040 · priority P3 · target date 2026-11-12 · owner Rohit Menon, Head of Product</w:t>
      </w:r>
    </w:p>
    <w:p>
      <w:pPr>
        <w:spacing w:before="80" w:after="120"/>
        <w:pBdr>
          <w:bottom w:val="single" w:sz="6" w:space="1" w:color="BFBFBF"/>
        </w:pBdr>
      </w:pPr>
    </w:p>
    <w:p>
      <w:pPr>
        <w:pStyle w:val="Heading3"/>
        <w:keepNext/>
        <w:spacing w:before="200" w:after="80"/>
      </w:pPr>
      <w:r>
        <w:rPr>
          <w:rFonts w:ascii="Arial" w:hAnsi="Arial"/>
          <w:b/>
          <w:color w:val="1F3552"/>
          <w:sz w:val="22"/>
        </w:rPr>
        <w:t>CHD-05   Persons with disability having a lawful guardian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WP-114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requirement of verifiable consent extends to the personal data of a person with a disability who has a lawful guardian, with consent to be obtained from that guardian.</w:t>
      </w:r>
    </w:p>
    <w:p>
      <w:pPr>
        <w:spacing w:before="40" w:after="80"/>
        <w:ind w:left="0"/>
      </w:pPr>
      <w:r>
        <w:rPr>
          <w:rFonts w:ascii="Arial" w:hAnsi="Arial"/>
          <w:b/>
          <w:color w:val="44546A"/>
          <w:sz w:val="17"/>
        </w:rPr>
        <w:t xml:space="preserve">STATUTORY BASIS  </w:t>
      </w:r>
      <w:r>
        <w:rPr>
          <w:rFonts w:ascii="Times New Roman" w:hAnsi="Times New Roman"/>
          <w:sz w:val="20"/>
        </w:rPr>
        <w:t>s.9(1), DPDP Act, 2023  ·  Rules: [Rules citation to be verified]  ·  Penalty: Up to INR 200 crore (Schedule entry 3)</w:t>
      </w:r>
    </w:p>
    <w:p>
      <w:pPr>
        <w:spacing w:before="40" w:after="80"/>
        <w:ind w:left="0"/>
      </w:pPr>
      <w:r>
        <w:rPr>
          <w:rFonts w:ascii="Arial" w:hAnsi="Arial"/>
          <w:b/>
          <w:color w:val="44546A"/>
          <w:sz w:val="17"/>
        </w:rPr>
        <w:t xml:space="preserve">TESTED BY  </w:t>
      </w:r>
      <w:r>
        <w:rPr>
          <w:rFonts w:ascii="Times New Roman" w:hAnsi="Times New Roman"/>
          <w:sz w:val="20"/>
        </w:rPr>
        <w:t>Inspect the guardian consent mechanism and verification approach; test the route by which a guardian can come forward.</w:t>
      </w:r>
    </w:p>
    <w:p>
      <w:pPr>
        <w:spacing w:before="40" w:after="80"/>
        <w:ind w:left="0"/>
      </w:pPr>
      <w:r>
        <w:rPr>
          <w:rFonts w:ascii="Arial" w:hAnsi="Arial"/>
          <w:b/>
          <w:color w:val="44546A"/>
          <w:sz w:val="17"/>
        </w:rPr>
        <w:t xml:space="preserve">FINDING  </w:t>
      </w:r>
      <w:r>
        <w:rPr>
          <w:rFonts w:ascii="Times New Roman" w:hAnsi="Times New Roman"/>
          <w:sz w:val="20"/>
        </w:rPr>
        <w:t>Persons with disability having a lawful guardian are not identified and there is no mechanism for a guardian to act on their behalf. Support agents described handling such cases informally by accepting instructions from family members, which is both an unaddressed obligation and an impersonation risk.</w:t>
      </w:r>
    </w:p>
    <w:p>
      <w:pPr>
        <w:spacing w:before="40" w:after="80"/>
        <w:ind w:left="0"/>
      </w:pPr>
      <w:r>
        <w:rPr>
          <w:rFonts w:ascii="Arial" w:hAnsi="Arial"/>
          <w:b/>
          <w:color w:val="44546A"/>
          <w:sz w:val="17"/>
        </w:rPr>
        <w:t xml:space="preserve">TARGET STATE  </w:t>
      </w:r>
      <w:r>
        <w:rPr>
          <w:rFonts w:ascii="Times New Roman" w:hAnsi="Times New Roman"/>
          <w:sz w:val="20"/>
        </w:rPr>
        <w:t>A defined mechanism captures and verifies guardianship, a published route lets guardians come forward, and records link guardian to Data Principal and support rights exercise.</w:t>
      </w:r>
    </w:p>
    <w:p>
      <w:pPr>
        <w:spacing w:before="40" w:after="80"/>
        <w:ind w:left="0"/>
      </w:pPr>
      <w:r>
        <w:rPr>
          <w:rFonts w:ascii="Arial" w:hAnsi="Arial"/>
          <w:b/>
          <w:color w:val="44546A"/>
          <w:sz w:val="17"/>
        </w:rPr>
        <w:t xml:space="preserve">TRACKED AS  </w:t>
      </w:r>
      <w:r>
        <w:rPr>
          <w:rFonts w:ascii="Times New Roman" w:hAnsi="Times New Roman"/>
          <w:sz w:val="20"/>
        </w:rPr>
        <w:t>G015 · priority P2 · target date 2026-10-13 · owner Anita Desai, Head of Customer Experience</w:t>
      </w:r>
    </w:p>
    <w:p>
      <w:pPr>
        <w:spacing w:before="80" w:after="120"/>
        <w:pBdr>
          <w:bottom w:val="single" w:sz="6" w:space="1" w:color="BFBFBF"/>
        </w:pBdr>
      </w:pPr>
    </w:p>
    <w:p>
      <w:pPr>
        <w:pStyle w:val="Heading2"/>
        <w:keepNext/>
        <w:spacing w:before="280" w:after="120"/>
      </w:pPr>
      <w:r>
        <w:rPr>
          <w:rFonts w:ascii="Arial" w:hAnsi="Arial"/>
          <w:b/>
          <w:color w:val="1F3552"/>
          <w:sz w:val="26"/>
        </w:rPr>
        <w:t>4.14  PRO — Processors &amp; Vendor Contracts</w:t>
      </w:r>
    </w:p>
    <w:p>
      <w:pPr>
        <w:spacing w:before="0" w:after="120"/>
        <w:jc w:val="both"/>
      </w:pPr>
      <w:r>
        <w:rPr>
          <w:rFonts w:ascii="Times New Roman" w:hAnsi="Times New Roman"/>
          <w:b w:val="0"/>
          <w:i/>
          <w:color w:val="44546A"/>
          <w:sz w:val="20"/>
        </w:rPr>
        <w:t>Section 8(1) leaves the Data Fiduciary responsible for a processor's processing, and section 8(2) permits engagement only under a valid contract. The exposure is asymmetric: the vendor's failure is the entity's penalty. Sub-processors are where this domain usually breaks.</w:t>
      </w:r>
    </w:p>
    <w:p>
      <w:pPr>
        <w:spacing w:before="40" w:after="80"/>
        <w:ind w:left="0"/>
      </w:pPr>
      <w:r>
        <w:rPr>
          <w:rFonts w:ascii="Arial" w:hAnsi="Arial"/>
          <w:b/>
          <w:color w:val="44546A"/>
          <w:sz w:val="17"/>
        </w:rPr>
        <w:t xml:space="preserve">SCOPE QUESTION  </w:t>
      </w:r>
      <w:r>
        <w:rPr>
          <w:rFonts w:ascii="Times New Roman" w:hAnsi="Times New Roman"/>
          <w:sz w:val="20"/>
        </w:rPr>
        <w:t>Is every Data Processor engaged under a valid contract, with safeguards, erasure and breach obligations flowed down and monitored?</w:t>
      </w:r>
    </w:p>
    <w:p>
      <w:pPr>
        <w:spacing w:before="40" w:after="80"/>
        <w:ind w:left="0"/>
      </w:pPr>
      <w:r>
        <w:rPr>
          <w:rFonts w:ascii="Arial" w:hAnsi="Arial"/>
          <w:b/>
          <w:color w:val="44546A"/>
          <w:sz w:val="17"/>
        </w:rPr>
        <w:t xml:space="preserve">RESULT  </w:t>
      </w:r>
      <w:r>
        <w:rPr>
          <w:rFonts w:ascii="Times New Roman" w:hAnsi="Times New Roman"/>
          <w:sz w:val="20"/>
        </w:rPr>
        <w:t>Domain maturity 58.2% (Developing). 6 controls in scope, 6 assessed, 4 gaps of which 2 attach to critical obligations. Highest residual risk in the domain is 8 of 16.</w:t>
      </w:r>
    </w:p>
    <w:p>
      <w:pPr>
        <w:spacing w:before="40" w:after="120"/>
        <w:pBdr>
          <w:bottom w:val="single" w:sz="6" w:space="1" w:color="BFBFBF"/>
        </w:pBdr>
      </w:pPr>
    </w:p>
    <w:p>
      <w:pPr>
        <w:pStyle w:val="Heading3"/>
        <w:keepNext/>
        <w:spacing w:before="200" w:after="80"/>
      </w:pPr>
      <w:r>
        <w:rPr>
          <w:rFonts w:ascii="Arial" w:hAnsi="Arial"/>
          <w:b/>
          <w:color w:val="1F3552"/>
          <w:sz w:val="22"/>
        </w:rPr>
        <w:t>PRO-01   Complete inventory of Data Processors and onward recipients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WP-120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remains responsible for compliance in respect of processing undertaken on its behalf by a Data Processor, and must be able to disclose to a Data Principal the identities of all Data Fiduciaries and Data Processors with whom personal data has been shared.</w:t>
      </w:r>
    </w:p>
    <w:p>
      <w:pPr>
        <w:spacing w:before="40" w:after="80"/>
        <w:ind w:left="0"/>
      </w:pPr>
      <w:r>
        <w:rPr>
          <w:rFonts w:ascii="Arial" w:hAnsi="Arial"/>
          <w:b/>
          <w:color w:val="44546A"/>
          <w:sz w:val="17"/>
        </w:rPr>
        <w:t xml:space="preserve">STATUTORY BASIS  </w:t>
      </w:r>
      <w:r>
        <w:rPr>
          <w:rFonts w:ascii="Times New Roman" w:hAnsi="Times New Roman"/>
          <w:sz w:val="20"/>
        </w:rPr>
        <w:t>s.8(1), s.11(1)(b),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inventory; test completeness against accounts payable, expense data and outbound network or SaaS discovery.</w:t>
      </w:r>
    </w:p>
    <w:p>
      <w:pPr>
        <w:spacing w:before="40" w:after="80"/>
        <w:ind w:left="0"/>
      </w:pPr>
      <w:r>
        <w:rPr>
          <w:rFonts w:ascii="Arial" w:hAnsi="Arial"/>
          <w:b/>
          <w:color w:val="44546A"/>
          <w:sz w:val="17"/>
        </w:rPr>
        <w:t xml:space="preserve">FINDING  </w:t>
      </w:r>
      <w:r>
        <w:rPr>
          <w:rFonts w:ascii="Times New Roman" w:hAnsi="Times New Roman"/>
          <w:sz w:val="20"/>
        </w:rPr>
        <w:t>A vendor register lists 96 third parties with 34 flagged as processing personal data. Onward recipients engaged by those processors are not recorded, and four processors identified through expenditure analysis during this assessment were absent from the register, including the third-party data broker noted at PUR-01.</w:t>
      </w:r>
    </w:p>
    <w:p>
      <w:pPr>
        <w:spacing w:before="80" w:after="120"/>
        <w:pBdr>
          <w:bottom w:val="single" w:sz="6" w:space="1" w:color="BFBFBF"/>
        </w:pBdr>
      </w:pPr>
    </w:p>
    <w:p>
      <w:pPr>
        <w:pStyle w:val="Heading3"/>
        <w:keepNext/>
        <w:spacing w:before="200" w:after="80"/>
      </w:pPr>
      <w:r>
        <w:rPr>
          <w:rFonts w:ascii="Arial" w:hAnsi="Arial"/>
          <w:b/>
          <w:color w:val="1F3552"/>
          <w:sz w:val="22"/>
        </w:rPr>
        <w:t>PRO-02   Valid contract in place with every Data Processor</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WP-121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Data Fiduciary may engage, appoint, use or otherwise involve a Data Processor to process personal data on its behalf only under a valid contract.</w:t>
      </w:r>
    </w:p>
    <w:p>
      <w:pPr>
        <w:spacing w:before="40" w:after="80"/>
        <w:ind w:left="0"/>
      </w:pPr>
      <w:r>
        <w:rPr>
          <w:rFonts w:ascii="Arial" w:hAnsi="Arial"/>
          <w:b/>
          <w:color w:val="44546A"/>
          <w:sz w:val="17"/>
        </w:rPr>
        <w:t xml:space="preserve">STATUTORY BASIS  </w:t>
      </w:r>
      <w:r>
        <w:rPr>
          <w:rFonts w:ascii="Times New Roman" w:hAnsi="Times New Roman"/>
          <w:sz w:val="20"/>
        </w:rPr>
        <w:t>s.8(2),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contracts for a sample of processors from the inventory; test currency of execution and completeness of data protection terms.</w:t>
      </w:r>
    </w:p>
    <w:p>
      <w:pPr>
        <w:spacing w:before="40" w:after="80"/>
        <w:ind w:left="0"/>
      </w:pPr>
      <w:r>
        <w:rPr>
          <w:rFonts w:ascii="Arial" w:hAnsi="Arial"/>
          <w:b/>
          <w:color w:val="44546A"/>
          <w:sz w:val="17"/>
        </w:rPr>
        <w:t xml:space="preserve">FINDING  </w:t>
      </w:r>
      <w:r>
        <w:rPr>
          <w:rFonts w:ascii="Times New Roman" w:hAnsi="Times New Roman"/>
          <w:sz w:val="20"/>
        </w:rPr>
        <w:t>Of 34 processors, 26 have an executed agreement containing data protection terms. Eight are engaged on click-through terms or purchase orders alone, including two with access to full customer records. The Act requires a valid contract for engagement of a processor and does not admit a de facto arrangement.</w:t>
      </w:r>
    </w:p>
    <w:p>
      <w:pPr>
        <w:spacing w:before="40" w:after="80"/>
        <w:ind w:left="0"/>
      </w:pPr>
      <w:r>
        <w:rPr>
          <w:rFonts w:ascii="Arial" w:hAnsi="Arial"/>
          <w:b/>
          <w:color w:val="44546A"/>
          <w:sz w:val="17"/>
        </w:rPr>
        <w:t xml:space="preserve">TARGET STATE  </w:t>
      </w:r>
      <w:r>
        <w:rPr>
          <w:rFonts w:ascii="Times New Roman" w:hAnsi="Times New Roman"/>
          <w:sz w:val="20"/>
        </w:rPr>
        <w:t>Every processor in the inventory has a current executed contract with complete data protection terms, tracked for currency with renewal alerts, and exceptions are escalated.</w:t>
      </w:r>
    </w:p>
    <w:p>
      <w:pPr>
        <w:spacing w:before="40" w:after="80"/>
        <w:ind w:left="0"/>
      </w:pPr>
      <w:r>
        <w:rPr>
          <w:rFonts w:ascii="Arial" w:hAnsi="Arial"/>
          <w:b/>
          <w:color w:val="44546A"/>
          <w:sz w:val="17"/>
        </w:rPr>
        <w:t xml:space="preserve">TRACKED AS  </w:t>
      </w:r>
      <w:r>
        <w:rPr>
          <w:rFonts w:ascii="Times New Roman" w:hAnsi="Times New Roman"/>
          <w:sz w:val="20"/>
        </w:rPr>
        <w:t>G032 · priority P2 · target date 2026-10-13 · owner Farhan Qureshi, Head of Vendor Management</w:t>
      </w:r>
    </w:p>
    <w:p>
      <w:pPr>
        <w:spacing w:before="80" w:after="120"/>
        <w:pBdr>
          <w:bottom w:val="single" w:sz="6" w:space="1" w:color="BFBFBF"/>
        </w:pBdr>
      </w:pPr>
    </w:p>
    <w:p>
      <w:pPr>
        <w:pStyle w:val="Heading3"/>
        <w:keepNext/>
        <w:spacing w:before="200" w:after="80"/>
      </w:pPr>
      <w:r>
        <w:rPr>
          <w:rFonts w:ascii="Arial" w:hAnsi="Arial"/>
          <w:b/>
          <w:color w:val="1F3552"/>
          <w:sz w:val="22"/>
        </w:rPr>
        <w:t>PRO-03   Safeguards, erasure and breach obligations flowed down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WP-122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Data Fiduciary's duties to protect personal data and to cause erasure extend to data held by processors, which requires those duties to be reflected in the contract and given effect operationally.</w:t>
      </w:r>
    </w:p>
    <w:p>
      <w:pPr>
        <w:spacing w:before="40" w:after="80"/>
        <w:ind w:left="0"/>
      </w:pPr>
      <w:r>
        <w:rPr>
          <w:rFonts w:ascii="Arial" w:hAnsi="Arial"/>
          <w:b/>
          <w:color w:val="44546A"/>
          <w:sz w:val="17"/>
        </w:rPr>
        <w:t xml:space="preserve">STATUTORY BASIS  </w:t>
      </w:r>
      <w:r>
        <w:rPr>
          <w:rFonts w:ascii="Times New Roman" w:hAnsi="Times New Roman"/>
          <w:sz w:val="20"/>
        </w:rPr>
        <w:t>s.8(1), s.8(5), s.8(7), DPDP Act, 2023  ·  Rules: [Rules citation to be verified]  ·  Penalty: Up to INR 250 crore (Schedule entry 1)</w:t>
      </w:r>
    </w:p>
    <w:p>
      <w:pPr>
        <w:spacing w:before="40" w:after="80"/>
        <w:ind w:left="0"/>
      </w:pPr>
      <w:r>
        <w:rPr>
          <w:rFonts w:ascii="Arial" w:hAnsi="Arial"/>
          <w:b/>
          <w:color w:val="44546A"/>
          <w:sz w:val="17"/>
        </w:rPr>
        <w:t xml:space="preserve">TESTED BY  </w:t>
      </w:r>
      <w:r>
        <w:rPr>
          <w:rFonts w:ascii="Times New Roman" w:hAnsi="Times New Roman"/>
          <w:sz w:val="20"/>
        </w:rPr>
        <w:t>Inspect contract clauses for each requirement; test whether the processor breach notification window is shorter than the entity's own obligation.</w:t>
      </w:r>
    </w:p>
    <w:p>
      <w:pPr>
        <w:spacing w:before="40" w:after="80"/>
        <w:ind w:left="0"/>
      </w:pPr>
      <w:r>
        <w:rPr>
          <w:rFonts w:ascii="Arial" w:hAnsi="Arial"/>
          <w:b/>
          <w:color w:val="44546A"/>
          <w:sz w:val="17"/>
        </w:rPr>
        <w:t xml:space="preserve">FINDING  </w:t>
      </w:r>
      <w:r>
        <w:rPr>
          <w:rFonts w:ascii="Times New Roman" w:hAnsi="Times New Roman"/>
          <w:sz w:val="20"/>
        </w:rPr>
        <w:t>Where agreements exist, security obligations are generally flowed down. Erasure on instruction is absent from 21 of 26 agreements and breach notification to the entity within a defined period is absent from 14. The entity therefore cannot discharge its own erasure and intimation obligations through its processors, which is the practical consequence identified at RET-03 and BRC-03.</w:t>
      </w:r>
    </w:p>
    <w:p>
      <w:pPr>
        <w:spacing w:before="40" w:after="80"/>
        <w:ind w:left="0"/>
      </w:pPr>
      <w:r>
        <w:rPr>
          <w:rFonts w:ascii="Arial" w:hAnsi="Arial"/>
          <w:b/>
          <w:color w:val="44546A"/>
          <w:sz w:val="17"/>
        </w:rPr>
        <w:t xml:space="preserve">TARGET STATE  </w:t>
      </w:r>
      <w:r>
        <w:rPr>
          <w:rFonts w:ascii="Times New Roman" w:hAnsi="Times New Roman"/>
          <w:sz w:val="20"/>
        </w:rPr>
        <w:t>Contracts mandate equivalent safeguards with assurance rights, require notification within a window that leaves the entity time to notify, and impose erasure on instruction and at termination.</w:t>
      </w:r>
    </w:p>
    <w:p>
      <w:pPr>
        <w:spacing w:before="40" w:after="80"/>
        <w:ind w:left="0"/>
      </w:pPr>
      <w:r>
        <w:rPr>
          <w:rFonts w:ascii="Arial" w:hAnsi="Arial"/>
          <w:b/>
          <w:color w:val="44546A"/>
          <w:sz w:val="17"/>
        </w:rPr>
        <w:t xml:space="preserve">TRACKED AS  </w:t>
      </w:r>
      <w:r>
        <w:rPr>
          <w:rFonts w:ascii="Times New Roman" w:hAnsi="Times New Roman"/>
          <w:sz w:val="20"/>
        </w:rPr>
        <w:t>G033 · priority P2 · target date 2026-10-13 · owner Farhan Qureshi, Head of Vendor Management</w:t>
      </w:r>
    </w:p>
    <w:p>
      <w:pPr>
        <w:spacing w:before="80" w:after="120"/>
        <w:pBdr>
          <w:bottom w:val="single" w:sz="6" w:space="1" w:color="BFBFBF"/>
        </w:pBdr>
      </w:pPr>
    </w:p>
    <w:p>
      <w:pPr>
        <w:pStyle w:val="Heading3"/>
        <w:keepNext/>
        <w:spacing w:before="200" w:after="80"/>
      </w:pPr>
      <w:r>
        <w:rPr>
          <w:rFonts w:ascii="Arial" w:hAnsi="Arial"/>
          <w:b/>
          <w:color w:val="1F3552"/>
          <w:sz w:val="22"/>
        </w:rPr>
        <w:t>PRO-04   Sub-processor control and authorisation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WP-123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Because responsibility under section 8(1) is not displaced by sub-contracting, onward engagement by a processor must be controlled and the same obligations must flow down the chain.</w:t>
      </w:r>
    </w:p>
    <w:p>
      <w:pPr>
        <w:spacing w:before="40" w:after="80"/>
        <w:ind w:left="0"/>
      </w:pPr>
      <w:r>
        <w:rPr>
          <w:rFonts w:ascii="Arial" w:hAnsi="Arial"/>
          <w:b/>
          <w:color w:val="44546A"/>
          <w:sz w:val="17"/>
        </w:rPr>
        <w:t xml:space="preserve">STATUTORY BASIS  </w:t>
      </w:r>
      <w:r>
        <w:rPr>
          <w:rFonts w:ascii="Times New Roman" w:hAnsi="Times New Roman"/>
          <w:sz w:val="20"/>
        </w:rPr>
        <w:t>s.8(1), s.8(2),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sub-processing clauses; test current sub-processor lists for a sample of processors against what the entity holds.</w:t>
      </w:r>
    </w:p>
    <w:p>
      <w:pPr>
        <w:spacing w:before="40" w:after="80"/>
        <w:ind w:left="0"/>
      </w:pPr>
      <w:r>
        <w:rPr>
          <w:rFonts w:ascii="Arial" w:hAnsi="Arial"/>
          <w:b/>
          <w:color w:val="44546A"/>
          <w:sz w:val="17"/>
        </w:rPr>
        <w:t xml:space="preserve">FINDING  </w:t>
      </w:r>
      <w:r>
        <w:rPr>
          <w:rFonts w:ascii="Times New Roman" w:hAnsi="Times New Roman"/>
          <w:sz w:val="20"/>
        </w:rPr>
        <w:t>Sub-processor authorisation is required in the standard template but the template was adopted in 2024 and older agreements are silent. No processor has notified a sub-processor change in the period, which given the vendors involved is more likely to indicate the clause is not operating than that no changes occurred.</w:t>
      </w:r>
    </w:p>
    <w:p>
      <w:pPr>
        <w:spacing w:before="40" w:after="80"/>
        <w:ind w:left="0"/>
      </w:pPr>
      <w:r>
        <w:rPr>
          <w:rFonts w:ascii="Arial" w:hAnsi="Arial"/>
          <w:b/>
          <w:color w:val="44546A"/>
          <w:sz w:val="17"/>
        </w:rPr>
        <w:t xml:space="preserve">TARGET STATE  </w:t>
      </w:r>
      <w:r>
        <w:rPr>
          <w:rFonts w:ascii="Times New Roman" w:hAnsi="Times New Roman"/>
          <w:sz w:val="20"/>
        </w:rPr>
        <w:t>Authorisation or objection rights are contractual, flow-down is required, current sub-processor lists are obtained and reviewed, and changes are assessed.</w:t>
      </w:r>
    </w:p>
    <w:p>
      <w:pPr>
        <w:spacing w:before="40" w:after="80"/>
        <w:ind w:left="0"/>
      </w:pPr>
      <w:r>
        <w:rPr>
          <w:rFonts w:ascii="Arial" w:hAnsi="Arial"/>
          <w:b/>
          <w:color w:val="44546A"/>
          <w:sz w:val="17"/>
        </w:rPr>
        <w:t xml:space="preserve">TRACKED AS  </w:t>
      </w:r>
      <w:r>
        <w:rPr>
          <w:rFonts w:ascii="Times New Roman" w:hAnsi="Times New Roman"/>
          <w:sz w:val="20"/>
        </w:rPr>
        <w:t>G044 · priority P3 · target date 2026-11-12 · owner Farhan Qureshi, Head of Vendor Management</w:t>
      </w:r>
    </w:p>
    <w:p>
      <w:pPr>
        <w:spacing w:before="80" w:after="120"/>
        <w:pBdr>
          <w:bottom w:val="single" w:sz="6" w:space="1" w:color="BFBFBF"/>
        </w:pBdr>
      </w:pPr>
    </w:p>
    <w:p>
      <w:pPr>
        <w:pStyle w:val="Heading3"/>
        <w:keepNext/>
        <w:spacing w:before="200" w:after="80"/>
      </w:pPr>
      <w:r>
        <w:rPr>
          <w:rFonts w:ascii="Arial" w:hAnsi="Arial"/>
          <w:b/>
          <w:color w:val="1F3552"/>
          <w:sz w:val="22"/>
        </w:rPr>
        <w:t>PRO-05   Processor assurance and monitoring</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WP-124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Retaining responsibility for a processor's processing implies an obligation to satisfy oneself, on a continuing basis, that the processor is in fact meeting the required standard.</w:t>
      </w:r>
    </w:p>
    <w:p>
      <w:pPr>
        <w:spacing w:before="40" w:after="80"/>
        <w:ind w:left="0"/>
      </w:pPr>
      <w:r>
        <w:rPr>
          <w:rFonts w:ascii="Arial" w:hAnsi="Arial"/>
          <w:b/>
          <w:color w:val="44546A"/>
          <w:sz w:val="17"/>
        </w:rPr>
        <w:t xml:space="preserve">STATUTORY BASIS  </w:t>
      </w:r>
      <w:r>
        <w:rPr>
          <w:rFonts w:ascii="Times New Roman" w:hAnsi="Times New Roman"/>
          <w:sz w:val="20"/>
        </w:rPr>
        <w:t>s.8(1), s.8(5),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due diligence and periodic assurance records for high-risk processors; test whether identified deficiencies were pursued.</w:t>
      </w:r>
    </w:p>
    <w:p>
      <w:pPr>
        <w:spacing w:before="40" w:after="80"/>
        <w:ind w:left="0"/>
      </w:pPr>
      <w:r>
        <w:rPr>
          <w:rFonts w:ascii="Arial" w:hAnsi="Arial"/>
          <w:b/>
          <w:color w:val="44546A"/>
          <w:sz w:val="17"/>
        </w:rPr>
        <w:t xml:space="preserve">FINDING  </w:t>
      </w:r>
      <w:r>
        <w:rPr>
          <w:rFonts w:ascii="Times New Roman" w:hAnsi="Times New Roman"/>
          <w:sz w:val="20"/>
        </w:rPr>
        <w:t>Annual assurance is obtained for the 12 processors classified as critical, through SOC 2 reports or completed questionnaires, and exceptions are tracked. The remaining 22 receive no periodic assurance and the classification driving that split is based on spend rather than on the personal data accessed.</w:t>
      </w:r>
    </w:p>
    <w:p>
      <w:pPr>
        <w:spacing w:before="80" w:after="120"/>
        <w:pBdr>
          <w:bottom w:val="single" w:sz="6" w:space="1" w:color="BFBFBF"/>
        </w:pBdr>
      </w:pPr>
    </w:p>
    <w:p>
      <w:pPr>
        <w:pStyle w:val="Heading3"/>
        <w:keepNext/>
        <w:spacing w:before="200" w:after="80"/>
      </w:pPr>
      <w:r>
        <w:rPr>
          <w:rFonts w:ascii="Arial" w:hAnsi="Arial"/>
          <w:b/>
          <w:color w:val="1F3552"/>
          <w:sz w:val="22"/>
        </w:rPr>
        <w:t>PRO-06   Exit, transition and return or erasure on termination</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WP-125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erasure duty extends to data made available to processors, which makes the treatment of data at the end of the relationship a compliance matter rather than a commercial one.</w:t>
      </w:r>
    </w:p>
    <w:p>
      <w:pPr>
        <w:spacing w:before="40" w:after="80"/>
        <w:ind w:left="0"/>
      </w:pPr>
      <w:r>
        <w:rPr>
          <w:rFonts w:ascii="Arial" w:hAnsi="Arial"/>
          <w:b/>
          <w:color w:val="44546A"/>
          <w:sz w:val="17"/>
        </w:rPr>
        <w:t xml:space="preserve">STATUTORY BASIS  </w:t>
      </w:r>
      <w:r>
        <w:rPr>
          <w:rFonts w:ascii="Times New Roman" w:hAnsi="Times New Roman"/>
          <w:sz w:val="20"/>
        </w:rPr>
        <w:t>s.8(7), DPDP Act, 2023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a sample of terminated processor relationships for erasure or return confirmations; test the exit procedure.</w:t>
      </w:r>
    </w:p>
    <w:p>
      <w:pPr>
        <w:spacing w:before="40" w:after="80"/>
        <w:ind w:left="0"/>
      </w:pPr>
      <w:r>
        <w:rPr>
          <w:rFonts w:ascii="Arial" w:hAnsi="Arial"/>
          <w:b/>
          <w:color w:val="44546A"/>
          <w:sz w:val="17"/>
        </w:rPr>
        <w:t xml:space="preserve">FINDING  </w:t>
      </w:r>
      <w:r>
        <w:rPr>
          <w:rFonts w:ascii="Times New Roman" w:hAnsi="Times New Roman"/>
          <w:sz w:val="20"/>
        </w:rPr>
        <w:t>Exit provisions requiring return or erasure appear in 15 of 26 agreements. Two processors were disengaged in the period and neither provided a certificate of erasure; in one case the entity's own records show data remained accessible in the vendor's environment three months after termination.</w:t>
      </w:r>
    </w:p>
    <w:p>
      <w:pPr>
        <w:spacing w:before="40" w:after="80"/>
        <w:ind w:left="0"/>
      </w:pPr>
      <w:r>
        <w:rPr>
          <w:rFonts w:ascii="Arial" w:hAnsi="Arial"/>
          <w:b/>
          <w:color w:val="44546A"/>
          <w:sz w:val="17"/>
        </w:rPr>
        <w:t xml:space="preserve">TARGET STATE  </w:t>
      </w:r>
      <w:r>
        <w:rPr>
          <w:rFonts w:ascii="Times New Roman" w:hAnsi="Times New Roman"/>
          <w:sz w:val="20"/>
        </w:rPr>
        <w:t>Every termination triggers a documented return or erasure step, written confirmations are obtained and retained, and a register tracks status to closure.</w:t>
      </w:r>
    </w:p>
    <w:p>
      <w:pPr>
        <w:spacing w:before="40" w:after="80"/>
        <w:ind w:left="0"/>
      </w:pPr>
      <w:r>
        <w:rPr>
          <w:rFonts w:ascii="Arial" w:hAnsi="Arial"/>
          <w:b/>
          <w:color w:val="44546A"/>
          <w:sz w:val="17"/>
        </w:rPr>
        <w:t xml:space="preserve">TRACKED AS  </w:t>
      </w:r>
      <w:r>
        <w:rPr>
          <w:rFonts w:ascii="Times New Roman" w:hAnsi="Times New Roman"/>
          <w:sz w:val="20"/>
        </w:rPr>
        <w:t>G045 · priority P3 · target date 2026-11-12 · owner Farhan Qureshi, Head of Vendor Management</w:t>
      </w:r>
    </w:p>
    <w:p>
      <w:pPr>
        <w:spacing w:before="80" w:after="120"/>
        <w:pBdr>
          <w:bottom w:val="single" w:sz="6" w:space="1" w:color="BFBFBF"/>
        </w:pBdr>
      </w:pPr>
    </w:p>
    <w:p>
      <w:pPr>
        <w:pStyle w:val="Heading2"/>
        <w:keepNext/>
        <w:spacing w:before="280" w:after="120"/>
      </w:pPr>
      <w:r>
        <w:rPr>
          <w:rFonts w:ascii="Arial" w:hAnsi="Arial"/>
          <w:b/>
          <w:color w:val="1F3552"/>
          <w:sz w:val="26"/>
        </w:rPr>
        <w:t>4.15  XBD — Cross-Border Transfers</w:t>
      </w:r>
    </w:p>
    <w:p>
      <w:pPr>
        <w:spacing w:before="0" w:after="120"/>
        <w:jc w:val="both"/>
      </w:pPr>
      <w:r>
        <w:rPr>
          <w:rFonts w:ascii="Times New Roman" w:hAnsi="Times New Roman"/>
          <w:b w:val="0"/>
          <w:i/>
          <w:color w:val="44546A"/>
          <w:sz w:val="20"/>
        </w:rPr>
        <w:t>Section 16 restricts transfer to countries the Central Government notifies, operating as a negative list rather than an adequacy regime. Section 16(2) expressly preserves higher restrictions under other law, so sectoral localisation directions — RBI payment data being the clearest example — bind more tightly than the Act and are the real constraint for regulated entities.</w:t>
      </w:r>
    </w:p>
    <w:p>
      <w:pPr>
        <w:spacing w:before="40" w:after="80"/>
        <w:ind w:left="0"/>
      </w:pPr>
      <w:r>
        <w:rPr>
          <w:rFonts w:ascii="Arial" w:hAnsi="Arial"/>
          <w:b/>
          <w:color w:val="44546A"/>
          <w:sz w:val="17"/>
        </w:rPr>
        <w:t xml:space="preserve">SCOPE QUESTION  </w:t>
      </w:r>
      <w:r>
        <w:rPr>
          <w:rFonts w:ascii="Times New Roman" w:hAnsi="Times New Roman"/>
          <w:sz w:val="20"/>
        </w:rPr>
        <w:t>Are transfers outside India mapped, and compliant with both section 16 and any stricter sectoral law?</w:t>
      </w:r>
    </w:p>
    <w:p>
      <w:pPr>
        <w:spacing w:before="40" w:after="80"/>
        <w:ind w:left="0"/>
      </w:pPr>
      <w:r>
        <w:rPr>
          <w:rFonts w:ascii="Arial" w:hAnsi="Arial"/>
          <w:b/>
          <w:color w:val="44546A"/>
          <w:sz w:val="17"/>
        </w:rPr>
        <w:t xml:space="preserve">RESULT  </w:t>
      </w:r>
      <w:r>
        <w:rPr>
          <w:rFonts w:ascii="Times New Roman" w:hAnsi="Times New Roman"/>
          <w:sz w:val="20"/>
        </w:rPr>
        <w:t>Domain maturity 56.5% (Developing). 4 controls in scope, 4 assessed, 3 gaps of which 1 attach to critical obligations. Highest residual risk in the domain is 8 of 16.</w:t>
      </w:r>
    </w:p>
    <w:p>
      <w:pPr>
        <w:spacing w:before="40" w:after="120"/>
        <w:pBdr>
          <w:bottom w:val="single" w:sz="6" w:space="1" w:color="BFBFBF"/>
        </w:pBdr>
      </w:pPr>
    </w:p>
    <w:p>
      <w:pPr>
        <w:pStyle w:val="Heading3"/>
        <w:keepNext/>
        <w:spacing w:before="200" w:after="80"/>
      </w:pPr>
      <w:r>
        <w:rPr>
          <w:rFonts w:ascii="Arial" w:hAnsi="Arial"/>
          <w:b/>
          <w:color w:val="1F3552"/>
          <w:sz w:val="22"/>
        </w:rPr>
        <w:t>XBD-01   Cross-border transfers mapped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E4EFDC"/>
          </w:tcPr>
          <w:p>
            <w:pPr>
              <w:spacing w:before="20" w:after="20"/>
              <w:jc w:val="center"/>
            </w:pPr>
            <w:r/>
            <w:r>
              <w:rPr>
                <w:rFonts w:ascii="Arial" w:hAnsi="Arial"/>
                <w:b/>
                <w:i w:val="0"/>
                <w:sz w:val="18"/>
              </w:rPr>
              <w:t>3 of 4</w:t>
            </w:r>
          </w:p>
        </w:tc>
        <w:tc>
          <w:tcPr>
            <w:tcW w:type="dxa" w:w="2499"/>
          </w:tcPr>
          <w:p>
            <w:pPr>
              <w:spacing w:before="20" w:after="20"/>
              <w:jc w:val="center"/>
            </w:pPr>
            <w:r/>
            <w:r>
              <w:rPr>
                <w:rFonts w:ascii="Arial" w:hAnsi="Arial"/>
                <w:b/>
                <w:i w:val="0"/>
                <w:sz w:val="18"/>
              </w:rPr>
              <w:t>Substantially 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WP-130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Central Government may, by notification, restrict the transfer of personal data by a Data Fiduciary for processing to a country or territory outside India. Compliance presupposes knowing where data goes.</w:t>
      </w:r>
    </w:p>
    <w:p>
      <w:pPr>
        <w:spacing w:before="40" w:after="80"/>
        <w:ind w:left="0"/>
      </w:pPr>
      <w:r>
        <w:rPr>
          <w:rFonts w:ascii="Arial" w:hAnsi="Arial"/>
          <w:b/>
          <w:color w:val="44546A"/>
          <w:sz w:val="17"/>
        </w:rPr>
        <w:t xml:space="preserve">STATUTORY BASIS  </w:t>
      </w:r>
      <w:r>
        <w:rPr>
          <w:rFonts w:ascii="Times New Roman" w:hAnsi="Times New Roman"/>
          <w:sz w:val="20"/>
        </w:rPr>
        <w:t>s.16(1),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transfer map; test completeness against cloud region configuration, support team locations and group access arrangements.</w:t>
      </w:r>
    </w:p>
    <w:p>
      <w:pPr>
        <w:spacing w:before="40" w:after="80"/>
        <w:ind w:left="0"/>
      </w:pPr>
      <w:r>
        <w:rPr>
          <w:rFonts w:ascii="Arial" w:hAnsi="Arial"/>
          <w:b/>
          <w:color w:val="44546A"/>
          <w:sz w:val="17"/>
        </w:rPr>
        <w:t xml:space="preserve">FINDING  </w:t>
      </w:r>
      <w:r>
        <w:rPr>
          <w:rFonts w:ascii="Times New Roman" w:hAnsi="Times New Roman"/>
          <w:sz w:val="20"/>
        </w:rPr>
        <w:t>Transfers are mapped for the principal SaaS platforms and the register records destination country and hosting region. The mapping omits support access from the Singapore affiliate, sub-processor locations, and the CleverTap and Meta onward flows, so it understates the actual footprint.</w:t>
      </w:r>
    </w:p>
    <w:p>
      <w:pPr>
        <w:spacing w:before="80" w:after="120"/>
        <w:pBdr>
          <w:bottom w:val="single" w:sz="6" w:space="1" w:color="BFBFBF"/>
        </w:pBdr>
      </w:pPr>
    </w:p>
    <w:p>
      <w:pPr>
        <w:pStyle w:val="Heading3"/>
        <w:keepNext/>
        <w:spacing w:before="200" w:after="80"/>
      </w:pPr>
      <w:r>
        <w:rPr>
          <w:rFonts w:ascii="Arial" w:hAnsi="Arial"/>
          <w:b/>
          <w:color w:val="1F3552"/>
          <w:sz w:val="22"/>
        </w:rPr>
        <w:t>XBD-02   Monitoring of restricted-country notifications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WP-131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Section 16 operates by notification: transfer is permitted except to countries or territories the Central Government notifies as restricted. The obligation is therefore to monitor for such notifications and respond to them.</w:t>
      </w:r>
    </w:p>
    <w:p>
      <w:pPr>
        <w:spacing w:before="40" w:after="80"/>
        <w:ind w:left="0"/>
      </w:pPr>
      <w:r>
        <w:rPr>
          <w:rFonts w:ascii="Arial" w:hAnsi="Arial"/>
          <w:b/>
          <w:color w:val="44546A"/>
          <w:sz w:val="17"/>
        </w:rPr>
        <w:t xml:space="preserve">STATUTORY BASIS  </w:t>
      </w:r>
      <w:r>
        <w:rPr>
          <w:rFonts w:ascii="Times New Roman" w:hAnsi="Times New Roman"/>
          <w:sz w:val="20"/>
        </w:rPr>
        <w:t>s.16(1),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Enquire as to the monitoring arrangement and owner; inspect contingency planning for principal destinations.</w:t>
      </w:r>
    </w:p>
    <w:p>
      <w:pPr>
        <w:spacing w:before="40" w:after="80"/>
        <w:ind w:left="0"/>
      </w:pPr>
      <w:r>
        <w:rPr>
          <w:rFonts w:ascii="Arial" w:hAnsi="Arial"/>
          <w:b/>
          <w:color w:val="44546A"/>
          <w:sz w:val="17"/>
        </w:rPr>
        <w:t xml:space="preserve">FINDING  </w:t>
      </w:r>
      <w:r>
        <w:rPr>
          <w:rFonts w:ascii="Times New Roman" w:hAnsi="Times New Roman"/>
          <w:sz w:val="20"/>
        </w:rPr>
        <w:t>No mechanism exists for monitoring restricted-country notifications. The entity became aware of the transfer restriction regime through this assessment and has no owner for tracking it, which means a notification would not be detected and acted upon.</w:t>
      </w:r>
    </w:p>
    <w:p>
      <w:pPr>
        <w:spacing w:before="40" w:after="80"/>
        <w:ind w:left="0"/>
      </w:pPr>
      <w:r>
        <w:rPr>
          <w:rFonts w:ascii="Arial" w:hAnsi="Arial"/>
          <w:b/>
          <w:color w:val="44546A"/>
          <w:sz w:val="17"/>
        </w:rPr>
        <w:t xml:space="preserve">TARGET STATE  </w:t>
      </w:r>
      <w:r>
        <w:rPr>
          <w:rFonts w:ascii="Times New Roman" w:hAnsi="Times New Roman"/>
          <w:sz w:val="20"/>
        </w:rPr>
        <w:t>A named owner monitors systematically, contingency plans exist for principal destinations, and contracts contain rights enabling relocation of processing.</w:t>
      </w:r>
    </w:p>
    <w:p>
      <w:pPr>
        <w:spacing w:before="40" w:after="80"/>
        <w:ind w:left="0"/>
      </w:pPr>
      <w:r>
        <w:rPr>
          <w:rFonts w:ascii="Arial" w:hAnsi="Arial"/>
          <w:b/>
          <w:color w:val="44546A"/>
          <w:sz w:val="17"/>
        </w:rPr>
        <w:t xml:space="preserve">TRACKED AS  </w:t>
      </w:r>
      <w:r>
        <w:rPr>
          <w:rFonts w:ascii="Times New Roman" w:hAnsi="Times New Roman"/>
          <w:sz w:val="20"/>
        </w:rPr>
        <w:t>G058 · priority P3 · target date 2026-11-12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XBD-03   Stricter sectoral localisation requirements identified and met</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2D0"/>
          </w:tcPr>
          <w:p>
            <w:pPr>
              <w:spacing w:before="20" w:after="20"/>
              <w:jc w:val="center"/>
            </w:pPr>
            <w:r/>
            <w:r>
              <w:rPr>
                <w:rFonts w:ascii="Arial" w:hAnsi="Arial"/>
                <w:b/>
                <w:i w:val="0"/>
                <w:sz w:val="18"/>
              </w:rPr>
              <w:t>8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WP-132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Nothing in section 16 restricts the applicability of any law in force in India that provides a higher degree of protection for or restriction on the transfer of personal data outside India.</w:t>
      </w:r>
    </w:p>
    <w:p>
      <w:pPr>
        <w:spacing w:before="40" w:after="80"/>
        <w:ind w:left="0"/>
      </w:pPr>
      <w:r>
        <w:rPr>
          <w:rFonts w:ascii="Arial" w:hAnsi="Arial"/>
          <w:b/>
          <w:color w:val="44546A"/>
          <w:sz w:val="17"/>
        </w:rPr>
        <w:t xml:space="preserve">STATUTORY BASIS  </w:t>
      </w:r>
      <w:r>
        <w:rPr>
          <w:rFonts w:ascii="Times New Roman" w:hAnsi="Times New Roman"/>
          <w:sz w:val="20"/>
        </w:rPr>
        <w:t>s.16(2),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the sectoral requirements analysis; test compliance evidence for each applicable requirement.</w:t>
      </w:r>
    </w:p>
    <w:p>
      <w:pPr>
        <w:spacing w:before="40" w:after="80"/>
        <w:ind w:left="0"/>
      </w:pPr>
      <w:r>
        <w:rPr>
          <w:rFonts w:ascii="Arial" w:hAnsi="Arial"/>
          <w:b/>
          <w:color w:val="44546A"/>
          <w:sz w:val="17"/>
        </w:rPr>
        <w:t xml:space="preserve">FINDING  </w:t>
      </w:r>
      <w:r>
        <w:rPr>
          <w:rFonts w:ascii="Times New Roman" w:hAnsi="Times New Roman"/>
          <w:sz w:val="20"/>
        </w:rPr>
        <w:t>RBI payment system data localisation requirements are met for the payments platform, with the annual system audit report on file. Localisation requirements have not been assessed for the lending and analytics estates, and the Snowflake account holds transaction-derived data in a configuration that has not been reviewed against the RBI direction. Sectoral requirements of this kind are expressly preserved and are not displaced by compliance with the Act.</w:t>
      </w:r>
    </w:p>
    <w:p>
      <w:pPr>
        <w:spacing w:before="40" w:after="80"/>
        <w:ind w:left="0"/>
      </w:pPr>
      <w:r>
        <w:rPr>
          <w:rFonts w:ascii="Arial" w:hAnsi="Arial"/>
          <w:b/>
          <w:color w:val="44546A"/>
          <w:sz w:val="17"/>
        </w:rPr>
        <w:t xml:space="preserve">TARGET STATE  </w:t>
      </w:r>
      <w:r>
        <w:rPr>
          <w:rFonts w:ascii="Times New Roman" w:hAnsi="Times New Roman"/>
          <w:sz w:val="20"/>
        </w:rPr>
        <w:t>Sectoral requirements are identified with the specific instrument cited, compliance is evidenced, and the transfer map is reconciled against each constraint.</w:t>
      </w:r>
    </w:p>
    <w:p>
      <w:pPr>
        <w:spacing w:before="40" w:after="80"/>
        <w:ind w:left="0"/>
      </w:pPr>
      <w:r>
        <w:rPr>
          <w:rFonts w:ascii="Arial" w:hAnsi="Arial"/>
          <w:b/>
          <w:color w:val="44546A"/>
          <w:sz w:val="17"/>
        </w:rPr>
        <w:t xml:space="preserve">TRACKED AS  </w:t>
      </w:r>
      <w:r>
        <w:rPr>
          <w:rFonts w:ascii="Times New Roman" w:hAnsi="Times New Roman"/>
          <w:sz w:val="20"/>
        </w:rPr>
        <w:t>G035 · priority P2 · target date 2026-10-13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XBD-04   Transfer safeguards and transparency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WP-133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Responsibility for processing carried out on the Data Fiduciary's behalf continues irrespective of location, and the identities of recipients must be disclosable to a Data Principal on request.</w:t>
      </w:r>
    </w:p>
    <w:p>
      <w:pPr>
        <w:spacing w:before="40" w:after="80"/>
        <w:ind w:left="0"/>
      </w:pPr>
      <w:r>
        <w:rPr>
          <w:rFonts w:ascii="Arial" w:hAnsi="Arial"/>
          <w:b/>
          <w:color w:val="44546A"/>
          <w:sz w:val="17"/>
        </w:rPr>
        <w:t xml:space="preserve">STATUTORY BASIS  </w:t>
      </w:r>
      <w:r>
        <w:rPr>
          <w:rFonts w:ascii="Times New Roman" w:hAnsi="Times New Roman"/>
          <w:sz w:val="20"/>
        </w:rPr>
        <w:t>s.8(1), s.11(1)(b), s.16, DPDP Act, 2023  ·  Rules: [Rules citation to be verified]  ·  Penalty: Up to INR 50 crore (Schedule entry 7)</w:t>
      </w:r>
    </w:p>
    <w:p>
      <w:pPr>
        <w:spacing w:before="40" w:after="80"/>
        <w:ind w:left="0"/>
      </w:pPr>
      <w:r>
        <w:rPr>
          <w:rFonts w:ascii="Arial" w:hAnsi="Arial"/>
          <w:b/>
          <w:color w:val="44546A"/>
          <w:sz w:val="17"/>
        </w:rPr>
        <w:t xml:space="preserve">TESTED BY  </w:t>
      </w:r>
      <w:r>
        <w:rPr>
          <w:rFonts w:ascii="Times New Roman" w:hAnsi="Times New Roman"/>
          <w:sz w:val="20"/>
        </w:rPr>
        <w:t>Inspect offshore recipient contracts for equivalence of safeguards; inspect notice content for transfer disclosure.</w:t>
      </w:r>
    </w:p>
    <w:p>
      <w:pPr>
        <w:spacing w:before="40" w:after="80"/>
        <w:ind w:left="0"/>
      </w:pPr>
      <w:r>
        <w:rPr>
          <w:rFonts w:ascii="Arial" w:hAnsi="Arial"/>
          <w:b/>
          <w:color w:val="44546A"/>
          <w:sz w:val="17"/>
        </w:rPr>
        <w:t xml:space="preserve">FINDING  </w:t>
      </w:r>
      <w:r>
        <w:rPr>
          <w:rFonts w:ascii="Times New Roman" w:hAnsi="Times New Roman"/>
          <w:sz w:val="20"/>
        </w:rPr>
        <w:t>Standard contractual protections are present in the major SaaS agreements. Transfers are not disclosed in the notice, no assessment of the destination environment has been performed, and the Singapore affiliate's support access operates under an intra-group arrangement that has never been documented.</w:t>
      </w:r>
    </w:p>
    <w:p>
      <w:pPr>
        <w:spacing w:before="40" w:after="80"/>
        <w:ind w:left="0"/>
      </w:pPr>
      <w:r>
        <w:rPr>
          <w:rFonts w:ascii="Arial" w:hAnsi="Arial"/>
          <w:b/>
          <w:color w:val="44546A"/>
          <w:sz w:val="17"/>
        </w:rPr>
        <w:t xml:space="preserve">TARGET STATE  </w:t>
      </w:r>
      <w:r>
        <w:rPr>
          <w:rFonts w:ascii="Times New Roman" w:hAnsi="Times New Roman"/>
          <w:sz w:val="20"/>
        </w:rPr>
        <w:t>Offshore recipients are bound by equivalent safeguards with commensurate assurance, and transfer outside India is disclosed where relevant.</w:t>
      </w:r>
    </w:p>
    <w:p>
      <w:pPr>
        <w:spacing w:before="40" w:after="80"/>
        <w:ind w:left="0"/>
      </w:pPr>
      <w:r>
        <w:rPr>
          <w:rFonts w:ascii="Arial" w:hAnsi="Arial"/>
          <w:b/>
          <w:color w:val="44546A"/>
          <w:sz w:val="17"/>
        </w:rPr>
        <w:t xml:space="preserve">TRACKED AS  </w:t>
      </w:r>
      <w:r>
        <w:rPr>
          <w:rFonts w:ascii="Times New Roman" w:hAnsi="Times New Roman"/>
          <w:sz w:val="20"/>
        </w:rPr>
        <w:t>G051 · priority P3 · target date 2026-11-12 · owner Meera Raghunathan, Head of Legal &amp; Compliance</w:t>
      </w:r>
    </w:p>
    <w:p>
      <w:pPr>
        <w:spacing w:before="80" w:after="120"/>
        <w:pBdr>
          <w:bottom w:val="single" w:sz="6" w:space="1" w:color="BFBFBF"/>
        </w:pBdr>
      </w:pPr>
    </w:p>
    <w:p>
      <w:pPr>
        <w:pStyle w:val="Heading2"/>
        <w:keepNext/>
        <w:spacing w:before="280" w:after="120"/>
      </w:pPr>
      <w:r>
        <w:rPr>
          <w:rFonts w:ascii="Arial" w:hAnsi="Arial"/>
          <w:b/>
          <w:color w:val="1F3552"/>
          <w:sz w:val="26"/>
        </w:rPr>
        <w:t>4.16  SDF — Significant Data Fiduciary Obligations</w:t>
      </w:r>
    </w:p>
    <w:p>
      <w:pPr>
        <w:spacing w:before="0" w:after="120"/>
        <w:jc w:val="both"/>
      </w:pPr>
      <w:r>
        <w:rPr>
          <w:rFonts w:ascii="Times New Roman" w:hAnsi="Times New Roman"/>
          <w:b w:val="0"/>
          <w:i/>
          <w:color w:val="44546A"/>
          <w:sz w:val="20"/>
        </w:rPr>
        <w:t>Section 10 obligations attach only on notification by the Central Government, but the factors in section 10(1) — volume and sensitivity of data, risk to Data Principals' rights, risk to electoral democracy, security of the State — are reasonably foreseeable. An entity plainly within them should be building capability ahead of designation rather than after it. Penalty exposure is up to INR 150 crore.</w:t>
      </w:r>
    </w:p>
    <w:p>
      <w:pPr>
        <w:spacing w:before="40" w:after="80"/>
        <w:ind w:left="0"/>
      </w:pPr>
      <w:r>
        <w:rPr>
          <w:rFonts w:ascii="Arial" w:hAnsi="Arial"/>
          <w:b/>
          <w:color w:val="44546A"/>
          <w:sz w:val="17"/>
        </w:rPr>
        <w:t xml:space="preserve">SCOPE QUESTION  </w:t>
      </w:r>
      <w:r>
        <w:rPr>
          <w:rFonts w:ascii="Times New Roman" w:hAnsi="Times New Roman"/>
          <w:sz w:val="20"/>
        </w:rPr>
        <w:t>If notified as a Significant Data Fiduciary, are the DPO, independent auditor, DPIA, periodic audit and algorithmic due diligence in place?</w:t>
      </w:r>
    </w:p>
    <w:p>
      <w:pPr>
        <w:spacing w:before="40" w:after="80"/>
        <w:ind w:left="0"/>
      </w:pPr>
      <w:r>
        <w:rPr>
          <w:rFonts w:ascii="Arial" w:hAnsi="Arial"/>
          <w:b/>
          <w:color w:val="44546A"/>
          <w:sz w:val="17"/>
        </w:rPr>
        <w:t xml:space="preserve">RESULT  </w:t>
      </w:r>
      <w:r>
        <w:rPr>
          <w:rFonts w:ascii="Times New Roman" w:hAnsi="Times New Roman"/>
          <w:sz w:val="20"/>
        </w:rPr>
        <w:t>Domain maturity 24.3% (Initial). 6 controls in scope, 6 assessed, 6 gaps of which 3 attach to critical obligations. Highest residual risk in the domain is 16 of 16.</w:t>
      </w:r>
    </w:p>
    <w:p>
      <w:pPr>
        <w:spacing w:before="40" w:after="120"/>
        <w:pBdr>
          <w:bottom w:val="single" w:sz="6" w:space="1" w:color="BFBFBF"/>
        </w:pBdr>
      </w:pPr>
    </w:p>
    <w:p>
      <w:pPr>
        <w:pStyle w:val="Heading3"/>
        <w:keepNext/>
        <w:spacing w:before="200" w:after="80"/>
      </w:pPr>
      <w:r>
        <w:rPr>
          <w:rFonts w:ascii="Arial" w:hAnsi="Arial"/>
          <w:b/>
          <w:color w:val="1F3552"/>
          <w:sz w:val="22"/>
        </w:rPr>
        <w:t>SDF-01   Data Protection Officer appointed and based in India</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1.4</w:t>
            </w:r>
          </w:p>
        </w:tc>
        <w:tc>
          <w:tcPr>
            <w:tcW w:type="dxa" w:w="1999"/>
          </w:tcPr>
          <w:p>
            <w:pPr>
              <w:spacing w:before="20" w:after="20"/>
              <w:jc w:val="center"/>
            </w:pPr>
            <w:r/>
            <w:r>
              <w:rPr>
                <w:rFonts w:ascii="Arial" w:hAnsi="Arial"/>
                <w:b w:val="0"/>
                <w:i w:val="0"/>
                <w:sz w:val="18"/>
              </w:rPr>
              <w:t>WP-140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Significant Data Fiduciary must appoint a Data Protection Officer who is based in India, is responsible to the board of directors or similar governing body, and is the point of contact for the grievance redressal mechanism.</w:t>
      </w:r>
    </w:p>
    <w:p>
      <w:pPr>
        <w:spacing w:before="40" w:after="80"/>
        <w:ind w:left="0"/>
      </w:pPr>
      <w:r>
        <w:rPr>
          <w:rFonts w:ascii="Arial" w:hAnsi="Arial"/>
          <w:b/>
          <w:color w:val="44546A"/>
          <w:sz w:val="17"/>
        </w:rPr>
        <w:t xml:space="preserve">STATUTORY BASIS  </w:t>
      </w:r>
      <w:r>
        <w:rPr>
          <w:rFonts w:ascii="Times New Roman" w:hAnsi="Times New Roman"/>
          <w:sz w:val="20"/>
        </w:rPr>
        <w:t>s.10(2)(a), DPDP Act, 2023  ·  Penalty: Up to INR 150 crore (Schedule entry 4)</w:t>
      </w:r>
    </w:p>
    <w:p>
      <w:pPr>
        <w:spacing w:before="40" w:after="80"/>
        <w:ind w:left="0"/>
      </w:pPr>
      <w:r>
        <w:rPr>
          <w:rFonts w:ascii="Arial" w:hAnsi="Arial"/>
          <w:b/>
          <w:color w:val="44546A"/>
          <w:sz w:val="17"/>
        </w:rPr>
        <w:t xml:space="preserve">TESTED BY  </w:t>
      </w:r>
      <w:r>
        <w:rPr>
          <w:rFonts w:ascii="Times New Roman" w:hAnsi="Times New Roman"/>
          <w:sz w:val="20"/>
        </w:rPr>
        <w:t>Inspect the appointment, reporting line and location; corroborate board reporting through minutes; verify the DPO is the published grievance contact.</w:t>
      </w:r>
    </w:p>
    <w:p>
      <w:pPr>
        <w:spacing w:before="40" w:after="80"/>
        <w:ind w:left="0"/>
      </w:pPr>
      <w:r>
        <w:rPr>
          <w:rFonts w:ascii="Arial" w:hAnsi="Arial"/>
          <w:b/>
          <w:color w:val="44546A"/>
          <w:sz w:val="17"/>
        </w:rPr>
        <w:t xml:space="preserve">FINDING  </w:t>
      </w:r>
      <w:r>
        <w:rPr>
          <w:rFonts w:ascii="Times New Roman" w:hAnsi="Times New Roman"/>
          <w:sz w:val="20"/>
        </w:rPr>
        <w:t>No Data Protection Officer has been appointed. The Head of Legal &amp; Compliance performs the function informally alongside a broad commercial mandate, reports to the General Counsel rather than to the board, and is not designated as DPO in any board record. The statutory requirement is a DPO based in India who represents the Significant Data Fiduciary and is responsible to the board, and none of those three elements is presently satisfied.</w:t>
      </w:r>
    </w:p>
    <w:p>
      <w:pPr>
        <w:spacing w:before="40" w:after="80"/>
        <w:ind w:left="0"/>
      </w:pPr>
      <w:r>
        <w:rPr>
          <w:rFonts w:ascii="Arial" w:hAnsi="Arial"/>
          <w:b/>
          <w:color w:val="44546A"/>
          <w:sz w:val="17"/>
        </w:rPr>
        <w:t xml:space="preserve">TARGET STATE  </w:t>
      </w:r>
      <w:r>
        <w:rPr>
          <w:rFonts w:ascii="Times New Roman" w:hAnsi="Times New Roman"/>
          <w:sz w:val="20"/>
        </w:rPr>
        <w:t>An India-based DPO is formally appointed with a reporting line to the board evidenced in minutes, is the published grievance contact, and has resourcing and independence to act.</w:t>
      </w:r>
    </w:p>
    <w:p>
      <w:pPr>
        <w:spacing w:before="40" w:after="80"/>
        <w:ind w:left="0"/>
      </w:pPr>
      <w:r>
        <w:rPr>
          <w:rFonts w:ascii="Arial" w:hAnsi="Arial"/>
          <w:b/>
          <w:color w:val="44546A"/>
          <w:sz w:val="17"/>
        </w:rPr>
        <w:t xml:space="preserve">TRACKED AS  </w:t>
      </w:r>
      <w:r>
        <w:rPr>
          <w:rFonts w:ascii="Times New Roman" w:hAnsi="Times New Roman"/>
          <w:sz w:val="20"/>
        </w:rPr>
        <w:t>G010 · priority P1 · target date 2026-09-13 · owner Vikram Shetty, Chief Financial Officer</w:t>
      </w:r>
    </w:p>
    <w:p>
      <w:pPr>
        <w:spacing w:before="80" w:after="120"/>
        <w:pBdr>
          <w:bottom w:val="single" w:sz="6" w:space="1" w:color="BFBFBF"/>
        </w:pBdr>
      </w:pPr>
    </w:p>
    <w:p>
      <w:pPr>
        <w:pStyle w:val="Heading3"/>
        <w:keepNext/>
        <w:spacing w:before="200" w:after="80"/>
      </w:pPr>
      <w:r>
        <w:rPr>
          <w:rFonts w:ascii="Arial" w:hAnsi="Arial"/>
          <w:b/>
          <w:color w:val="1F3552"/>
          <w:sz w:val="22"/>
        </w:rPr>
        <w:t>SDF-02   Independent data auditor appointed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0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16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WP-141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Significant Data Fiduciary must appoint an independent data auditor to evaluate its compliance with the provisions of the Act.</w:t>
      </w:r>
    </w:p>
    <w:p>
      <w:pPr>
        <w:spacing w:before="40" w:after="80"/>
        <w:ind w:left="0"/>
      </w:pPr>
      <w:r>
        <w:rPr>
          <w:rFonts w:ascii="Arial" w:hAnsi="Arial"/>
          <w:b/>
          <w:color w:val="44546A"/>
          <w:sz w:val="17"/>
        </w:rPr>
        <w:t xml:space="preserve">STATUTORY BASIS  </w:t>
      </w:r>
      <w:r>
        <w:rPr>
          <w:rFonts w:ascii="Times New Roman" w:hAnsi="Times New Roman"/>
          <w:sz w:val="20"/>
        </w:rPr>
        <w:t>s.10(2)(b), DPDP Act, 2023  ·  Rules: [Rules citation to be verified]  ·  Penalty: Up to INR 150 crore (Schedule entry 4)</w:t>
      </w:r>
    </w:p>
    <w:p>
      <w:pPr>
        <w:spacing w:before="40" w:after="80"/>
        <w:ind w:left="0"/>
      </w:pPr>
      <w:r>
        <w:rPr>
          <w:rFonts w:ascii="Arial" w:hAnsi="Arial"/>
          <w:b/>
          <w:color w:val="44546A"/>
          <w:sz w:val="17"/>
        </w:rPr>
        <w:t xml:space="preserve">TESTED BY  </w:t>
      </w:r>
      <w:r>
        <w:rPr>
          <w:rFonts w:ascii="Times New Roman" w:hAnsi="Times New Roman"/>
          <w:sz w:val="20"/>
        </w:rPr>
        <w:t>Inspect the appointment and engagement scope; assess independence including prior advisory work; review the most recent audit report and management response.</w:t>
      </w:r>
    </w:p>
    <w:p>
      <w:pPr>
        <w:spacing w:before="40" w:after="80"/>
        <w:ind w:left="0"/>
      </w:pPr>
      <w:r>
        <w:rPr>
          <w:rFonts w:ascii="Arial" w:hAnsi="Arial"/>
          <w:b/>
          <w:color w:val="44546A"/>
          <w:sz w:val="17"/>
        </w:rPr>
        <w:t xml:space="preserve">FINDING  </w:t>
      </w:r>
      <w:r>
        <w:rPr>
          <w:rFonts w:ascii="Times New Roman" w:hAnsi="Times New Roman"/>
          <w:sz w:val="20"/>
        </w:rPr>
        <w:t>No independent data auditor has been appointed. Management's position was that the existing ISO 27001 certification body discharges the requirement; that engagement is an information security certification and does not evaluate compliance with the Act.</w:t>
      </w:r>
    </w:p>
    <w:p>
      <w:pPr>
        <w:spacing w:before="40" w:after="80"/>
        <w:ind w:left="0"/>
      </w:pPr>
      <w:r>
        <w:rPr>
          <w:rFonts w:ascii="Arial" w:hAnsi="Arial"/>
          <w:b/>
          <w:color w:val="44546A"/>
          <w:sz w:val="17"/>
        </w:rPr>
        <w:t xml:space="preserve">TARGET STATE  </w:t>
      </w:r>
      <w:r>
        <w:rPr>
          <w:rFonts w:ascii="Times New Roman" w:hAnsi="Times New Roman"/>
          <w:sz w:val="20"/>
        </w:rPr>
        <w:t>An independent auditor with documented independence is appointed on a scope covering the Act, reports are issued and considered by the board, and findings are tracked to closure.</w:t>
      </w:r>
    </w:p>
    <w:p>
      <w:pPr>
        <w:spacing w:before="40" w:after="80"/>
        <w:ind w:left="0"/>
      </w:pPr>
      <w:r>
        <w:rPr>
          <w:rFonts w:ascii="Arial" w:hAnsi="Arial"/>
          <w:b/>
          <w:color w:val="44546A"/>
          <w:sz w:val="17"/>
        </w:rPr>
        <w:t xml:space="preserve">TRACKED AS  </w:t>
      </w:r>
      <w:r>
        <w:rPr>
          <w:rFonts w:ascii="Times New Roman" w:hAnsi="Times New Roman"/>
          <w:sz w:val="20"/>
        </w:rPr>
        <w:t>G002 · priority P1 · target date 2026-09-13 · owner Vikram Shetty, Chief Financial Officer</w:t>
      </w:r>
    </w:p>
    <w:p>
      <w:pPr>
        <w:spacing w:before="80" w:after="120"/>
        <w:pBdr>
          <w:bottom w:val="single" w:sz="6" w:space="1" w:color="BFBFBF"/>
        </w:pBdr>
      </w:pPr>
    </w:p>
    <w:p>
      <w:pPr>
        <w:pStyle w:val="Heading3"/>
        <w:keepNext/>
        <w:spacing w:before="200" w:after="80"/>
      </w:pPr>
      <w:r>
        <w:rPr>
          <w:rFonts w:ascii="Arial" w:hAnsi="Arial"/>
          <w:b/>
          <w:color w:val="1F3552"/>
          <w:sz w:val="22"/>
        </w:rPr>
        <w:t>SDF-03   Periodic Data Protection Impact Assessment</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8D7D7"/>
          </w:tcPr>
          <w:p>
            <w:pPr>
              <w:spacing w:before="20" w:after="20"/>
              <w:jc w:val="center"/>
            </w:pPr>
            <w:r/>
            <w:r>
              <w:rPr>
                <w:rFonts w:ascii="Arial" w:hAnsi="Arial"/>
                <w:b/>
                <w:i w:val="0"/>
                <w:sz w:val="18"/>
              </w:rPr>
              <w:t>12 of 16</w:t>
            </w:r>
          </w:p>
        </w:tc>
        <w:tc>
          <w:tcPr>
            <w:tcW w:type="dxa" w:w="1125"/>
          </w:tcPr>
          <w:p>
            <w:pPr>
              <w:spacing w:before="20" w:after="20"/>
              <w:jc w:val="center"/>
            </w:pPr>
            <w:r/>
            <w:r>
              <w:rPr>
                <w:rFonts w:ascii="Arial" w:hAnsi="Arial"/>
                <w:b w:val="0"/>
                <w:i w:val="0"/>
                <w:sz w:val="18"/>
              </w:rPr>
              <w:t>Critical</w:t>
            </w:r>
          </w:p>
        </w:tc>
        <w:tc>
          <w:tcPr>
            <w:tcW w:type="dxa" w:w="1125"/>
          </w:tcPr>
          <w:p>
            <w:pPr>
              <w:spacing w:before="20" w:after="20"/>
              <w:jc w:val="center"/>
            </w:pPr>
            <w:r/>
            <w:r>
              <w:rPr>
                <w:rFonts w:ascii="Arial" w:hAnsi="Arial"/>
                <w:b w:val="0"/>
                <w:i w:val="0"/>
                <w:sz w:val="18"/>
              </w:rPr>
              <w:t>Critical</w:t>
            </w:r>
          </w:p>
        </w:tc>
        <w:tc>
          <w:tcPr>
            <w:tcW w:type="dxa" w:w="937"/>
          </w:tcPr>
          <w:p>
            <w:pPr>
              <w:spacing w:before="20" w:after="20"/>
              <w:jc w:val="center"/>
            </w:pPr>
            <w:r/>
            <w:r>
              <w:rPr>
                <w:rFonts w:ascii="Arial" w:hAnsi="Arial"/>
                <w:b w:val="0"/>
                <w:i w:val="0"/>
                <w:sz w:val="18"/>
              </w:rPr>
              <w:t>1.3</w:t>
            </w:r>
          </w:p>
        </w:tc>
        <w:tc>
          <w:tcPr>
            <w:tcW w:type="dxa" w:w="1999"/>
          </w:tcPr>
          <w:p>
            <w:pPr>
              <w:spacing w:before="20" w:after="20"/>
              <w:jc w:val="center"/>
            </w:pPr>
            <w:r/>
            <w:r>
              <w:rPr>
                <w:rFonts w:ascii="Arial" w:hAnsi="Arial"/>
                <w:b w:val="0"/>
                <w:i w:val="0"/>
                <w:sz w:val="18"/>
              </w:rPr>
              <w:t>WP-142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Significant Data Fiduciary must undertake periodic Data Protection Impact Assessment, being a process comprising a description of the rights of Data Principals, the purpose of processing, assessment and management of risk to those rights, and such other matters as may be prescribed.</w:t>
      </w:r>
    </w:p>
    <w:p>
      <w:pPr>
        <w:spacing w:before="40" w:after="80"/>
        <w:ind w:left="0"/>
      </w:pPr>
      <w:r>
        <w:rPr>
          <w:rFonts w:ascii="Arial" w:hAnsi="Arial"/>
          <w:b/>
          <w:color w:val="44546A"/>
          <w:sz w:val="17"/>
        </w:rPr>
        <w:t xml:space="preserve">STATUTORY BASIS  </w:t>
      </w:r>
      <w:r>
        <w:rPr>
          <w:rFonts w:ascii="Times New Roman" w:hAnsi="Times New Roman"/>
          <w:sz w:val="20"/>
        </w:rPr>
        <w:t>s.10(2)(c), s.2(m), DPDP Act, 2023  ·  Rules: [Rules citation to be verified]  ·  Penalty: Up to INR 150 crore (Schedule entry 4)</w:t>
      </w:r>
    </w:p>
    <w:p>
      <w:pPr>
        <w:spacing w:before="40" w:after="80"/>
        <w:ind w:left="0"/>
      </w:pPr>
      <w:r>
        <w:rPr>
          <w:rFonts w:ascii="Arial" w:hAnsi="Arial"/>
          <w:b/>
          <w:color w:val="44546A"/>
          <w:sz w:val="17"/>
        </w:rPr>
        <w:t xml:space="preserve">TESTED BY  </w:t>
      </w:r>
      <w:r>
        <w:rPr>
          <w:rFonts w:ascii="Times New Roman" w:hAnsi="Times New Roman"/>
          <w:sz w:val="20"/>
        </w:rPr>
        <w:t>Inspect completed DPIAs against the statutory definition; test whether identified risks resulted in mitigation and whether the periodic cycle is met.</w:t>
      </w:r>
    </w:p>
    <w:p>
      <w:pPr>
        <w:spacing w:before="40" w:after="80"/>
        <w:ind w:left="0"/>
      </w:pPr>
      <w:r>
        <w:rPr>
          <w:rFonts w:ascii="Arial" w:hAnsi="Arial"/>
          <w:b/>
          <w:color w:val="44546A"/>
          <w:sz w:val="17"/>
        </w:rPr>
        <w:t xml:space="preserve">FINDING  </w:t>
      </w:r>
      <w:r>
        <w:rPr>
          <w:rFonts w:ascii="Times New Roman" w:hAnsi="Times New Roman"/>
          <w:sz w:val="20"/>
        </w:rPr>
        <w:t>No Data Protection Impact Assessment has been conducted. A template was drafted in January 2026 and remains unapproved and unused. The obligation is periodic and applies to the entity as a Significant Data Fiduciary irrespective of individual product risk.</w:t>
      </w:r>
    </w:p>
    <w:p>
      <w:pPr>
        <w:spacing w:before="40" w:after="80"/>
        <w:ind w:left="0"/>
      </w:pPr>
      <w:r>
        <w:rPr>
          <w:rFonts w:ascii="Arial" w:hAnsi="Arial"/>
          <w:b/>
          <w:color w:val="44546A"/>
          <w:sz w:val="17"/>
        </w:rPr>
        <w:t xml:space="preserve">TARGET STATE  </w:t>
      </w:r>
      <w:r>
        <w:rPr>
          <w:rFonts w:ascii="Times New Roman" w:hAnsi="Times New Roman"/>
          <w:sz w:val="20"/>
        </w:rPr>
        <w:t>DPIAs address every statutory element, run on a defined periodic cycle and on material change, and demonstrably drive mitigation tracked to closure.</w:t>
      </w:r>
    </w:p>
    <w:p>
      <w:pPr>
        <w:spacing w:before="40" w:after="80"/>
        <w:ind w:left="0"/>
      </w:pPr>
      <w:r>
        <w:rPr>
          <w:rFonts w:ascii="Arial" w:hAnsi="Arial"/>
          <w:b/>
          <w:color w:val="44546A"/>
          <w:sz w:val="17"/>
        </w:rPr>
        <w:t xml:space="preserve">TRACKED AS  </w:t>
      </w:r>
      <w:r>
        <w:rPr>
          <w:rFonts w:ascii="Times New Roman" w:hAnsi="Times New Roman"/>
          <w:sz w:val="20"/>
        </w:rPr>
        <w:t>G011 · priority P1 · target date 2026-09-13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SDF-04   Periodic audit of compliance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WP-143</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Significant Data Fiduciary must undertake periodic audit, in addition to appointing an independent data auditor, as part of the additional measures required of it.</w:t>
      </w:r>
    </w:p>
    <w:p>
      <w:pPr>
        <w:spacing w:before="40" w:after="80"/>
        <w:ind w:left="0"/>
      </w:pPr>
      <w:r>
        <w:rPr>
          <w:rFonts w:ascii="Arial" w:hAnsi="Arial"/>
          <w:b/>
          <w:color w:val="44546A"/>
          <w:sz w:val="17"/>
        </w:rPr>
        <w:t xml:space="preserve">STATUTORY BASIS  </w:t>
      </w:r>
      <w:r>
        <w:rPr>
          <w:rFonts w:ascii="Times New Roman" w:hAnsi="Times New Roman"/>
          <w:sz w:val="20"/>
        </w:rPr>
        <w:t>s.10(2)(c), DPDP Act, 2023  ·  Rules: [Rules citation to be verified]  ·  Penalty: Up to INR 150 crore (Schedule entry 4)</w:t>
      </w:r>
    </w:p>
    <w:p>
      <w:pPr>
        <w:spacing w:before="40" w:after="80"/>
        <w:ind w:left="0"/>
      </w:pPr>
      <w:r>
        <w:rPr>
          <w:rFonts w:ascii="Arial" w:hAnsi="Arial"/>
          <w:b/>
          <w:color w:val="44546A"/>
          <w:sz w:val="17"/>
        </w:rPr>
        <w:t xml:space="preserve">TESTED BY  </w:t>
      </w:r>
      <w:r>
        <w:rPr>
          <w:rFonts w:ascii="Times New Roman" w:hAnsi="Times New Roman"/>
          <w:sz w:val="20"/>
        </w:rPr>
        <w:t>Inspect audit plan, completed audits and reporting; test remediation of prior findings.</w:t>
      </w:r>
    </w:p>
    <w:p>
      <w:pPr>
        <w:spacing w:before="40" w:after="80"/>
        <w:ind w:left="0"/>
      </w:pPr>
      <w:r>
        <w:rPr>
          <w:rFonts w:ascii="Arial" w:hAnsi="Arial"/>
          <w:b/>
          <w:color w:val="44546A"/>
          <w:sz w:val="17"/>
        </w:rPr>
        <w:t xml:space="preserve">FINDING  </w:t>
      </w:r>
      <w:r>
        <w:rPr>
          <w:rFonts w:ascii="Times New Roman" w:hAnsi="Times New Roman"/>
          <w:sz w:val="20"/>
        </w:rPr>
        <w:t>No periodic audit of compliance with the Act has been undertaken. This assessment is the first exercise of its kind and was commissioned by management rather than performed by an independent auditor, so it does not itself discharge the obligation.</w:t>
      </w:r>
    </w:p>
    <w:p>
      <w:pPr>
        <w:spacing w:before="40" w:after="80"/>
        <w:ind w:left="0"/>
      </w:pPr>
      <w:r>
        <w:rPr>
          <w:rFonts w:ascii="Arial" w:hAnsi="Arial"/>
          <w:b/>
          <w:color w:val="44546A"/>
          <w:sz w:val="17"/>
        </w:rPr>
        <w:t xml:space="preserve">TARGET STATE  </w:t>
      </w:r>
      <w:r>
        <w:rPr>
          <w:rFonts w:ascii="Times New Roman" w:hAnsi="Times New Roman"/>
          <w:sz w:val="20"/>
        </w:rPr>
        <w:t>Audits run on the prescribed cycle with adequate scope, are reported to the board, and findings are remediated and validated.</w:t>
      </w:r>
    </w:p>
    <w:p>
      <w:pPr>
        <w:spacing w:before="40" w:after="80"/>
        <w:ind w:left="0"/>
      </w:pPr>
      <w:r>
        <w:rPr>
          <w:rFonts w:ascii="Arial" w:hAnsi="Arial"/>
          <w:b/>
          <w:color w:val="44546A"/>
          <w:sz w:val="17"/>
        </w:rPr>
        <w:t xml:space="preserve">TRACKED AS  </w:t>
      </w:r>
      <w:r>
        <w:rPr>
          <w:rFonts w:ascii="Times New Roman" w:hAnsi="Times New Roman"/>
          <w:sz w:val="20"/>
        </w:rPr>
        <w:t>G020 · priority P2 · target date 2026-10-13 · owner Vikram Shetty, Chief Financial Officer</w:t>
      </w:r>
    </w:p>
    <w:p>
      <w:pPr>
        <w:spacing w:before="80" w:after="120"/>
        <w:pBdr>
          <w:bottom w:val="single" w:sz="6" w:space="1" w:color="BFBFBF"/>
        </w:pBdr>
      </w:pPr>
    </w:p>
    <w:p>
      <w:pPr>
        <w:pStyle w:val="Heading3"/>
        <w:keepNext/>
        <w:spacing w:before="200" w:after="80"/>
      </w:pPr>
      <w:r>
        <w:rPr>
          <w:rFonts w:ascii="Arial" w:hAnsi="Arial"/>
          <w:b/>
          <w:color w:val="1F3552"/>
          <w:sz w:val="22"/>
        </w:rPr>
        <w:t>SDF-05   Algorithmic software due diligence</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FDE2D0"/>
          </w:tcPr>
          <w:p>
            <w:pPr>
              <w:spacing w:before="20" w:after="20"/>
              <w:jc w:val="center"/>
            </w:pPr>
            <w:r/>
            <w:r>
              <w:rPr>
                <w:rFonts w:ascii="Arial" w:hAnsi="Arial"/>
                <w:b/>
                <w:i w:val="0"/>
                <w:sz w:val="18"/>
              </w:rPr>
              <w:t>9 of 16</w:t>
            </w:r>
          </w:p>
        </w:tc>
        <w:tc>
          <w:tcPr>
            <w:tcW w:type="dxa" w:w="1125"/>
          </w:tcPr>
          <w:p>
            <w:pPr>
              <w:spacing w:before="20" w:after="20"/>
              <w:jc w:val="center"/>
            </w:pPr>
            <w:r/>
            <w:r>
              <w:rPr>
                <w:rFonts w:ascii="Arial" w:hAnsi="Arial"/>
                <w:b w:val="0"/>
                <w:i w:val="0"/>
                <w:sz w:val="18"/>
              </w:rPr>
              <w:t>High</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1.2</w:t>
            </w:r>
          </w:p>
        </w:tc>
        <w:tc>
          <w:tcPr>
            <w:tcW w:type="dxa" w:w="1999"/>
          </w:tcPr>
          <w:p>
            <w:pPr>
              <w:spacing w:before="20" w:after="20"/>
              <w:jc w:val="center"/>
            </w:pPr>
            <w:r/>
            <w:r>
              <w:rPr>
                <w:rFonts w:ascii="Arial" w:hAnsi="Arial"/>
                <w:b w:val="0"/>
                <w:i w:val="0"/>
                <w:sz w:val="18"/>
              </w:rPr>
              <w:t>WP-144</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 Significant Data Fiduciary must observe such other measures as may be prescribed, including due diligence to verify that algorithmic software deployed by it for hosting, display, uploading, modification or transmission of personal data is not likely to pose a risk to the rights of Data Principals.</w:t>
      </w:r>
    </w:p>
    <w:p>
      <w:pPr>
        <w:spacing w:before="40" w:after="80"/>
        <w:ind w:left="0"/>
      </w:pPr>
      <w:r>
        <w:rPr>
          <w:rFonts w:ascii="Arial" w:hAnsi="Arial"/>
          <w:b/>
          <w:color w:val="44546A"/>
          <w:sz w:val="17"/>
        </w:rPr>
        <w:t xml:space="preserve">STATUTORY BASIS  </w:t>
      </w:r>
      <w:r>
        <w:rPr>
          <w:rFonts w:ascii="Times New Roman" w:hAnsi="Times New Roman"/>
          <w:sz w:val="20"/>
        </w:rPr>
        <w:t>s.10(2)(c), DPDP Act, 2023  ·  Rules: [Rules citation to be verified]  ·  Penalty: Up to INR 150 crore (Schedule entry 4)</w:t>
      </w:r>
    </w:p>
    <w:p>
      <w:pPr>
        <w:spacing w:before="40" w:after="80"/>
        <w:ind w:left="0"/>
      </w:pPr>
      <w:r>
        <w:rPr>
          <w:rFonts w:ascii="Arial" w:hAnsi="Arial"/>
          <w:b/>
          <w:color w:val="44546A"/>
          <w:sz w:val="17"/>
        </w:rPr>
        <w:t xml:space="preserve">TESTED BY  </w:t>
      </w:r>
      <w:r>
        <w:rPr>
          <w:rFonts w:ascii="Times New Roman" w:hAnsi="Times New Roman"/>
          <w:sz w:val="20"/>
        </w:rPr>
        <w:t>Inspect the algorithm inventory and due diligence records; test one high-impact model for evidence of assessment and mitigation.</w:t>
      </w:r>
    </w:p>
    <w:p>
      <w:pPr>
        <w:spacing w:before="40" w:after="80"/>
        <w:ind w:left="0"/>
      </w:pPr>
      <w:r>
        <w:rPr>
          <w:rFonts w:ascii="Arial" w:hAnsi="Arial"/>
          <w:b/>
          <w:color w:val="44546A"/>
          <w:sz w:val="17"/>
        </w:rPr>
        <w:t xml:space="preserve">FINDING  </w:t>
      </w:r>
      <w:r>
        <w:rPr>
          <w:rFonts w:ascii="Times New Roman" w:hAnsi="Times New Roman"/>
          <w:sz w:val="20"/>
        </w:rPr>
        <w:t>Algorithmic due diligence is not performed. Three models act on personal data with direct consequences for Data Principals — underwriting, collections prioritisation and churn prediction — and none has been assessed for risk to the rights of Data Principals. The underwriting model has documented fairness testing performed for RBI purposes, which is the nearest available evidence but is directed at a different question.</w:t>
      </w:r>
    </w:p>
    <w:p>
      <w:pPr>
        <w:spacing w:before="40" w:after="80"/>
        <w:ind w:left="0"/>
      </w:pPr>
      <w:r>
        <w:rPr>
          <w:rFonts w:ascii="Arial" w:hAnsi="Arial"/>
          <w:b/>
          <w:color w:val="44546A"/>
          <w:sz w:val="17"/>
        </w:rPr>
        <w:t xml:space="preserve">TARGET STATE  </w:t>
      </w:r>
      <w:r>
        <w:rPr>
          <w:rFonts w:ascii="Times New Roman" w:hAnsi="Times New Roman"/>
          <w:sz w:val="20"/>
        </w:rPr>
        <w:t>A complete inventory is subject to documented due diligence addressing risk to rights, with bias and accuracy testing, mitigation, and human review for high-impact decisions.</w:t>
      </w:r>
    </w:p>
    <w:p>
      <w:pPr>
        <w:spacing w:before="40" w:after="80"/>
        <w:ind w:left="0"/>
      </w:pPr>
      <w:r>
        <w:rPr>
          <w:rFonts w:ascii="Arial" w:hAnsi="Arial"/>
          <w:b/>
          <w:color w:val="44546A"/>
          <w:sz w:val="17"/>
        </w:rPr>
        <w:t xml:space="preserve">TRACKED AS  </w:t>
      </w:r>
      <w:r>
        <w:rPr>
          <w:rFonts w:ascii="Times New Roman" w:hAnsi="Times New Roman"/>
          <w:sz w:val="20"/>
        </w:rPr>
        <w:t>G021 · priority P2 · target date 2026-10-13 · owner Devika Iyer, VP Engineering</w:t>
      </w:r>
    </w:p>
    <w:p>
      <w:pPr>
        <w:spacing w:before="80" w:after="120"/>
        <w:pBdr>
          <w:bottom w:val="single" w:sz="6" w:space="1" w:color="BFBFBF"/>
        </w:pBdr>
      </w:pPr>
    </w:p>
    <w:p>
      <w:pPr>
        <w:pStyle w:val="Heading3"/>
        <w:keepNext/>
        <w:spacing w:before="200" w:after="80"/>
      </w:pPr>
      <w:r>
        <w:rPr>
          <w:rFonts w:ascii="Arial" w:hAnsi="Arial"/>
          <w:b/>
          <w:color w:val="1F3552"/>
          <w:sz w:val="22"/>
        </w:rPr>
        <w:t>SDF-06   Transfer restrictions applicable to a Significant Data Fiduciary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WP-145</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Additional measures prescribed for a Significant Data Fiduciary may include restrictions on the transfer outside India of specified categories of personal data or of traffic and flow data.</w:t>
      </w:r>
    </w:p>
    <w:p>
      <w:pPr>
        <w:spacing w:before="40" w:after="80"/>
        <w:ind w:left="0"/>
      </w:pPr>
      <w:r>
        <w:rPr>
          <w:rFonts w:ascii="Arial" w:hAnsi="Arial"/>
          <w:b/>
          <w:color w:val="44546A"/>
          <w:sz w:val="17"/>
        </w:rPr>
        <w:t xml:space="preserve">STATUTORY BASIS  </w:t>
      </w:r>
      <w:r>
        <w:rPr>
          <w:rFonts w:ascii="Times New Roman" w:hAnsi="Times New Roman"/>
          <w:sz w:val="20"/>
        </w:rPr>
        <w:t>s.10(2)(c) read with s.16, DPDP Act, 2023  ·  Rules: [Rules citation to be verified]  ·  Penalty: Up to INR 150 crore (Schedule entry 4)</w:t>
      </w:r>
    </w:p>
    <w:p>
      <w:pPr>
        <w:spacing w:before="40" w:after="80"/>
        <w:ind w:left="0"/>
      </w:pPr>
      <w:r>
        <w:rPr>
          <w:rFonts w:ascii="Arial" w:hAnsi="Arial"/>
          <w:b/>
          <w:color w:val="44546A"/>
          <w:sz w:val="17"/>
        </w:rPr>
        <w:t xml:space="preserve">TESTED BY  </w:t>
      </w:r>
      <w:r>
        <w:rPr>
          <w:rFonts w:ascii="Times New Roman" w:hAnsi="Times New Roman"/>
          <w:sz w:val="20"/>
        </w:rPr>
        <w:t>Inspect the determination and supporting analysis; reconcile against the transfer map at XBD-01.</w:t>
      </w:r>
    </w:p>
    <w:p>
      <w:pPr>
        <w:spacing w:before="40" w:after="80"/>
        <w:ind w:left="0"/>
      </w:pPr>
      <w:r>
        <w:rPr>
          <w:rFonts w:ascii="Arial" w:hAnsi="Arial"/>
          <w:b/>
          <w:color w:val="44546A"/>
          <w:sz w:val="17"/>
        </w:rPr>
        <w:t xml:space="preserve">FINDING  </w:t>
      </w:r>
      <w:r>
        <w:rPr>
          <w:rFonts w:ascii="Times New Roman" w:hAnsi="Times New Roman"/>
          <w:sz w:val="20"/>
        </w:rPr>
        <w:t>The entity has not identified whether any transfer restriction specific to a Significant Data Fiduciary applies to it, and has no process for monitoring the position. The gap follows from XBD-02 and would be closed by the same mechanism.</w:t>
      </w:r>
    </w:p>
    <w:p>
      <w:pPr>
        <w:spacing w:before="40" w:after="80"/>
        <w:ind w:left="0"/>
      </w:pPr>
      <w:r>
        <w:rPr>
          <w:rFonts w:ascii="Arial" w:hAnsi="Arial"/>
          <w:b/>
          <w:color w:val="44546A"/>
          <w:sz w:val="17"/>
        </w:rPr>
        <w:t xml:space="preserve">TARGET STATE  </w:t>
      </w:r>
      <w:r>
        <w:rPr>
          <w:rFonts w:ascii="Times New Roman" w:hAnsi="Times New Roman"/>
          <w:sz w:val="20"/>
        </w:rPr>
        <w:t>Affected categories are identified, reconciled against the transfer map, and technical controls prevent restricted transfers with monitoring for exceptions.</w:t>
      </w:r>
    </w:p>
    <w:p>
      <w:pPr>
        <w:spacing w:before="40" w:after="80"/>
        <w:ind w:left="0"/>
      </w:pPr>
      <w:r>
        <w:rPr>
          <w:rFonts w:ascii="Arial" w:hAnsi="Arial"/>
          <w:b/>
          <w:color w:val="44546A"/>
          <w:sz w:val="17"/>
        </w:rPr>
        <w:t xml:space="preserve">TRACKED AS  </w:t>
      </w:r>
      <w:r>
        <w:rPr>
          <w:rFonts w:ascii="Times New Roman" w:hAnsi="Times New Roman"/>
          <w:sz w:val="20"/>
        </w:rPr>
        <w:t>G050 · priority P3 · target date 2026-11-12 · owner Meera Raghunathan, Head of Legal &amp; Compliance</w:t>
      </w:r>
    </w:p>
    <w:p>
      <w:pPr>
        <w:spacing w:before="80" w:after="120"/>
        <w:pBdr>
          <w:bottom w:val="single" w:sz="6" w:space="1" w:color="BFBFBF"/>
        </w:pBdr>
      </w:pPr>
    </w:p>
    <w:p>
      <w:pPr>
        <w:pStyle w:val="Heading2"/>
        <w:keepNext/>
        <w:spacing w:before="280" w:after="120"/>
      </w:pPr>
      <w:r>
        <w:rPr>
          <w:rFonts w:ascii="Arial" w:hAnsi="Arial"/>
          <w:b/>
          <w:color w:val="1F3552"/>
          <w:sz w:val="26"/>
        </w:rPr>
        <w:t>4.17  BRD — Enforcement Readiness &amp; Board Engagement</w:t>
      </w:r>
    </w:p>
    <w:p>
      <w:pPr>
        <w:spacing w:before="0" w:after="120"/>
        <w:jc w:val="both"/>
      </w:pPr>
      <w:r>
        <w:rPr>
          <w:rFonts w:ascii="Times New Roman" w:hAnsi="Times New Roman"/>
          <w:b w:val="0"/>
          <w:i/>
          <w:color w:val="44546A"/>
          <w:sz w:val="20"/>
        </w:rPr>
        <w:t>Section 28 governs inquiry procedure, section 32 permits a voluntary undertaking at any stage and section 33(2) makes prompt, effective mitigation an express factor in reducing quantum. Readiness here is not a compliance obligation in itself; it is what determines the cost of everything else going wrong.</w:t>
      </w:r>
    </w:p>
    <w:p>
      <w:pPr>
        <w:spacing w:before="40" w:after="80"/>
        <w:ind w:left="0"/>
      </w:pPr>
      <w:r>
        <w:rPr>
          <w:rFonts w:ascii="Arial" w:hAnsi="Arial"/>
          <w:b/>
          <w:color w:val="44546A"/>
          <w:sz w:val="17"/>
        </w:rPr>
        <w:t xml:space="preserve">SCOPE QUESTION  </w:t>
      </w:r>
      <w:r>
        <w:rPr>
          <w:rFonts w:ascii="Times New Roman" w:hAnsi="Times New Roman"/>
          <w:sz w:val="20"/>
        </w:rPr>
        <w:t>Could the entity respond to a Board inquiry, produce evidence on demand, and make an informed decision about a voluntary undertaking?</w:t>
      </w:r>
    </w:p>
    <w:p>
      <w:pPr>
        <w:spacing w:before="40" w:after="80"/>
        <w:ind w:left="0"/>
      </w:pPr>
      <w:r>
        <w:rPr>
          <w:rFonts w:ascii="Arial" w:hAnsi="Arial"/>
          <w:b/>
          <w:color w:val="44546A"/>
          <w:sz w:val="17"/>
        </w:rPr>
        <w:t xml:space="preserve">RESULT  </w:t>
      </w:r>
      <w:r>
        <w:rPr>
          <w:rFonts w:ascii="Times New Roman" w:hAnsi="Times New Roman"/>
          <w:sz w:val="20"/>
        </w:rPr>
        <w:t>Domain maturity 43.1% (Developing). 3 controls in scope, 3 assessed, 3 gaps of which 0 attach to critical obligations. Highest residual risk in the domain is 6 of 16.</w:t>
      </w:r>
    </w:p>
    <w:p>
      <w:pPr>
        <w:spacing w:before="40" w:after="120"/>
        <w:pBdr>
          <w:bottom w:val="single" w:sz="6" w:space="1" w:color="BFBFBF"/>
        </w:pBdr>
      </w:pPr>
    </w:p>
    <w:p>
      <w:pPr>
        <w:pStyle w:val="Heading3"/>
        <w:keepNext/>
        <w:spacing w:before="200" w:after="80"/>
      </w:pPr>
      <w:r>
        <w:rPr>
          <w:rFonts w:ascii="Arial" w:hAnsi="Arial"/>
          <w:b/>
          <w:color w:val="1F3552"/>
          <w:sz w:val="22"/>
        </w:rPr>
        <w:t>BRD-01   Capability to respond to a Board inquiry</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4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Medium</w:t>
            </w:r>
          </w:p>
        </w:tc>
        <w:tc>
          <w:tcPr>
            <w:tcW w:type="dxa" w:w="937"/>
          </w:tcPr>
          <w:p>
            <w:pPr>
              <w:spacing w:before="20" w:after="20"/>
              <w:jc w:val="center"/>
            </w:pPr>
            <w:r/>
            <w:r>
              <w:rPr>
                <w:rFonts w:ascii="Arial" w:hAnsi="Arial"/>
                <w:b w:val="0"/>
                <w:i w:val="0"/>
                <w:sz w:val="18"/>
              </w:rPr>
              <w:t>1</w:t>
            </w:r>
          </w:p>
        </w:tc>
        <w:tc>
          <w:tcPr>
            <w:tcW w:type="dxa" w:w="1999"/>
          </w:tcPr>
          <w:p>
            <w:pPr>
              <w:spacing w:before="20" w:after="20"/>
              <w:jc w:val="center"/>
            </w:pPr>
            <w:r/>
            <w:r>
              <w:rPr>
                <w:rFonts w:ascii="Arial" w:hAnsi="Arial"/>
                <w:b w:val="0"/>
                <w:i w:val="0"/>
                <w:sz w:val="18"/>
              </w:rPr>
              <w:t>WP-150</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Board may, on receipt of a complaint or on reference, inquire into a breach and may require the production of information. An entity must be able to respond within the timescales the Board sets.</w:t>
      </w:r>
    </w:p>
    <w:p>
      <w:pPr>
        <w:spacing w:before="40" w:after="80"/>
        <w:ind w:left="0"/>
      </w:pPr>
      <w:r>
        <w:rPr>
          <w:rFonts w:ascii="Arial" w:hAnsi="Arial"/>
          <w:b/>
          <w:color w:val="44546A"/>
          <w:sz w:val="17"/>
        </w:rPr>
        <w:t xml:space="preserve">STATUTORY BASIS  </w:t>
      </w:r>
      <w:r>
        <w:rPr>
          <w:rFonts w:ascii="Times New Roman" w:hAnsi="Times New Roman"/>
          <w:sz w:val="20"/>
        </w:rPr>
        <w:t>s.27, s.28, s.36, DPDP Act, 2023  ·  Rules: [Rules citation to be verified]</w:t>
      </w:r>
    </w:p>
    <w:p>
      <w:pPr>
        <w:spacing w:before="40" w:after="80"/>
        <w:ind w:left="0"/>
      </w:pPr>
      <w:r>
        <w:rPr>
          <w:rFonts w:ascii="Arial" w:hAnsi="Arial"/>
          <w:b/>
          <w:color w:val="44546A"/>
          <w:sz w:val="17"/>
        </w:rPr>
        <w:t xml:space="preserve">TESTED BY  </w:t>
      </w:r>
      <w:r>
        <w:rPr>
          <w:rFonts w:ascii="Times New Roman" w:hAnsi="Times New Roman"/>
          <w:sz w:val="20"/>
        </w:rPr>
        <w:t>Inspect the procedure and named owner; test evidence assembly by requiring production of a defined evidence set within a short deadline.</w:t>
      </w:r>
    </w:p>
    <w:p>
      <w:pPr>
        <w:spacing w:before="40" w:after="80"/>
        <w:ind w:left="0"/>
      </w:pPr>
      <w:r>
        <w:rPr>
          <w:rFonts w:ascii="Arial" w:hAnsi="Arial"/>
          <w:b/>
          <w:color w:val="44546A"/>
          <w:sz w:val="17"/>
        </w:rPr>
        <w:t xml:space="preserve">FINDING  </w:t>
      </w:r>
      <w:r>
        <w:rPr>
          <w:rFonts w:ascii="Times New Roman" w:hAnsi="Times New Roman"/>
          <w:sz w:val="20"/>
        </w:rPr>
        <w:t>The entity has experience of responding to RBI inspections and has a regulatory response process, which provides a partial foundation. No owner is designated for Data Protection Board correspondence, and the evidence deficiencies at GOV-07 and CON-07 mean the entity could not currently produce the consent and notice records an inquiry would be most likely to seek.</w:t>
      </w:r>
    </w:p>
    <w:p>
      <w:pPr>
        <w:spacing w:before="40" w:after="80"/>
        <w:ind w:left="0"/>
      </w:pPr>
      <w:r>
        <w:rPr>
          <w:rFonts w:ascii="Arial" w:hAnsi="Arial"/>
          <w:b/>
          <w:color w:val="44546A"/>
          <w:sz w:val="17"/>
        </w:rPr>
        <w:t xml:space="preserve">TARGET STATE  </w:t>
      </w:r>
      <w:r>
        <w:rPr>
          <w:rFonts w:ascii="Times New Roman" w:hAnsi="Times New Roman"/>
          <w:sz w:val="20"/>
        </w:rPr>
        <w:t>A defined procedure with a named owner is supported by an organised evidence repository, and testing confirms a complete evidence set can be assembled at short notice.</w:t>
      </w:r>
    </w:p>
    <w:p>
      <w:pPr>
        <w:spacing w:before="40" w:after="80"/>
        <w:ind w:left="0"/>
      </w:pPr>
      <w:r>
        <w:rPr>
          <w:rFonts w:ascii="Arial" w:hAnsi="Arial"/>
          <w:b/>
          <w:color w:val="44546A"/>
          <w:sz w:val="17"/>
        </w:rPr>
        <w:t xml:space="preserve">TRACKED AS  </w:t>
      </w:r>
      <w:r>
        <w:rPr>
          <w:rFonts w:ascii="Times New Roman" w:hAnsi="Times New Roman"/>
          <w:sz w:val="20"/>
        </w:rPr>
        <w:t>G053 · priority P3 · target date 2026-11-12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BRD-02   Awareness of voluntary undertaking and mitigation as penalty factors</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8D7D7"/>
          </w:tcPr>
          <w:p>
            <w:pPr>
              <w:spacing w:before="20" w:after="20"/>
              <w:jc w:val="center"/>
            </w:pPr>
            <w:r/>
            <w:r>
              <w:rPr>
                <w:rFonts w:ascii="Arial" w:hAnsi="Arial"/>
                <w:b/>
                <w:i w:val="0"/>
                <w:sz w:val="18"/>
              </w:rPr>
              <w:t>1 of 4</w:t>
            </w:r>
          </w:p>
        </w:tc>
        <w:tc>
          <w:tcPr>
            <w:tcW w:type="dxa" w:w="2499"/>
          </w:tcPr>
          <w:p>
            <w:pPr>
              <w:spacing w:before="20" w:after="20"/>
              <w:jc w:val="center"/>
            </w:pPr>
            <w:r/>
            <w:r>
              <w:rPr>
                <w:rFonts w:ascii="Arial" w:hAnsi="Arial"/>
                <w:b/>
                <w:i w:val="0"/>
                <w:sz w:val="18"/>
              </w:rPr>
              <w:t>Non-compliant</w:t>
            </w:r>
          </w:p>
        </w:tc>
        <w:tc>
          <w:tcPr>
            <w:tcW w:type="dxa" w:w="1062"/>
            <w:shd w:val="clear" w:color="auto" w:fill="EDEDED"/>
          </w:tcPr>
          <w:p>
            <w:pPr>
              <w:spacing w:before="20" w:after="20"/>
              <w:jc w:val="center"/>
            </w:pPr>
            <w:r/>
            <w:r>
              <w:rPr>
                <w:rFonts w:ascii="Arial" w:hAnsi="Arial"/>
                <w:b/>
                <w:i w:val="0"/>
                <w:sz w:val="18"/>
              </w:rPr>
              <w:t>3 of 16</w:t>
            </w:r>
          </w:p>
        </w:tc>
        <w:tc>
          <w:tcPr>
            <w:tcW w:type="dxa" w:w="1125"/>
          </w:tcPr>
          <w:p>
            <w:pPr>
              <w:spacing w:before="20" w:after="20"/>
              <w:jc w:val="center"/>
            </w:pPr>
            <w:r/>
            <w:r>
              <w:rPr>
                <w:rFonts w:ascii="Arial" w:hAnsi="Arial"/>
                <w:b w:val="0"/>
                <w:i w:val="0"/>
                <w:sz w:val="18"/>
              </w:rPr>
              <w:t>Low</w:t>
            </w:r>
          </w:p>
        </w:tc>
        <w:tc>
          <w:tcPr>
            <w:tcW w:type="dxa" w:w="1125"/>
          </w:tcPr>
          <w:p>
            <w:pPr>
              <w:spacing w:before="20" w:after="20"/>
              <w:jc w:val="center"/>
            </w:pPr>
            <w:r/>
            <w:r>
              <w:rPr>
                <w:rFonts w:ascii="Arial" w:hAnsi="Arial"/>
                <w:b w:val="0"/>
                <w:i w:val="0"/>
                <w:sz w:val="18"/>
              </w:rPr>
              <w:t>Low</w:t>
            </w:r>
          </w:p>
        </w:tc>
        <w:tc>
          <w:tcPr>
            <w:tcW w:type="dxa" w:w="937"/>
          </w:tcPr>
          <w:p>
            <w:pPr>
              <w:spacing w:before="20" w:after="20"/>
              <w:jc w:val="center"/>
            </w:pPr>
            <w:r/>
            <w:r>
              <w:rPr>
                <w:rFonts w:ascii="Arial" w:hAnsi="Arial"/>
                <w:b w:val="0"/>
                <w:i w:val="0"/>
                <w:sz w:val="18"/>
              </w:rPr>
              <w:t>0.8</w:t>
            </w:r>
          </w:p>
        </w:tc>
        <w:tc>
          <w:tcPr>
            <w:tcW w:type="dxa" w:w="1999"/>
          </w:tcPr>
          <w:p>
            <w:pPr>
              <w:spacing w:before="20" w:after="20"/>
              <w:jc w:val="center"/>
            </w:pPr>
            <w:r/>
            <w:r>
              <w:rPr>
                <w:rFonts w:ascii="Arial" w:hAnsi="Arial"/>
                <w:b w:val="0"/>
                <w:i w:val="0"/>
                <w:sz w:val="18"/>
              </w:rPr>
              <w:t>WP-151</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The Board may accept a voluntary undertaking at any stage after receipt of a complaint, and in determining the quantum of a penalty must have regard to factors including the promptness, effectiveness and timeliness of mitigating action taken.</w:t>
      </w:r>
    </w:p>
    <w:p>
      <w:pPr>
        <w:spacing w:before="40" w:after="80"/>
        <w:ind w:left="0"/>
      </w:pPr>
      <w:r>
        <w:rPr>
          <w:rFonts w:ascii="Arial" w:hAnsi="Arial"/>
          <w:b/>
          <w:color w:val="44546A"/>
          <w:sz w:val="17"/>
        </w:rPr>
        <w:t xml:space="preserve">STATUTORY BASIS  </w:t>
      </w:r>
      <w:r>
        <w:rPr>
          <w:rFonts w:ascii="Times New Roman" w:hAnsi="Times New Roman"/>
          <w:sz w:val="20"/>
        </w:rPr>
        <w:t>s.32, s.33(2), DPDP Act, 2023</w:t>
      </w:r>
    </w:p>
    <w:p>
      <w:pPr>
        <w:spacing w:before="40" w:after="80"/>
        <w:ind w:left="0"/>
      </w:pPr>
      <w:r>
        <w:rPr>
          <w:rFonts w:ascii="Arial" w:hAnsi="Arial"/>
          <w:b/>
          <w:color w:val="44546A"/>
          <w:sz w:val="17"/>
        </w:rPr>
        <w:t xml:space="preserve">TESTED BY  </w:t>
      </w:r>
      <w:r>
        <w:rPr>
          <w:rFonts w:ascii="Times New Roman" w:hAnsi="Times New Roman"/>
          <w:sz w:val="20"/>
        </w:rPr>
        <w:t>Enquire of legal and privacy leadership; inspect any playbook addressing enforcement strategy and mitigation documentation.</w:t>
      </w:r>
    </w:p>
    <w:p>
      <w:pPr>
        <w:spacing w:before="40" w:after="80"/>
        <w:ind w:left="0"/>
      </w:pPr>
      <w:r>
        <w:rPr>
          <w:rFonts w:ascii="Arial" w:hAnsi="Arial"/>
          <w:b/>
          <w:color w:val="44546A"/>
          <w:sz w:val="17"/>
        </w:rPr>
        <w:t xml:space="preserve">FINDING  </w:t>
      </w:r>
      <w:r>
        <w:rPr>
          <w:rFonts w:ascii="Times New Roman" w:hAnsi="Times New Roman"/>
          <w:sz w:val="20"/>
        </w:rPr>
        <w:t>Management was not aware of the voluntary undertaking mechanism or that mitigating action and its timeliness are express factors in determining a penalty. The practical significance — that documented prompt remediation of the findings in this report is itself risk mitigation — had not been considered.</w:t>
      </w:r>
    </w:p>
    <w:p>
      <w:pPr>
        <w:spacing w:before="40" w:after="80"/>
        <w:ind w:left="0"/>
      </w:pPr>
      <w:r>
        <w:rPr>
          <w:rFonts w:ascii="Arial" w:hAnsi="Arial"/>
          <w:b/>
          <w:color w:val="44546A"/>
          <w:sz w:val="17"/>
        </w:rPr>
        <w:t xml:space="preserve">TARGET STATE  </w:t>
      </w:r>
      <w:r>
        <w:rPr>
          <w:rFonts w:ascii="Times New Roman" w:hAnsi="Times New Roman"/>
          <w:sz w:val="20"/>
        </w:rPr>
        <w:t>Enforcement strategy is documented and understood, mitigating action is recorded contemporaneously during incidents, and legal is engaged from the outset.</w:t>
      </w:r>
    </w:p>
    <w:p>
      <w:pPr>
        <w:spacing w:before="40" w:after="80"/>
        <w:ind w:left="0"/>
      </w:pPr>
      <w:r>
        <w:rPr>
          <w:rFonts w:ascii="Arial" w:hAnsi="Arial"/>
          <w:b/>
          <w:color w:val="44546A"/>
          <w:sz w:val="17"/>
        </w:rPr>
        <w:t xml:space="preserve">TRACKED AS  </w:t>
      </w:r>
      <w:r>
        <w:rPr>
          <w:rFonts w:ascii="Times New Roman" w:hAnsi="Times New Roman"/>
          <w:sz w:val="20"/>
        </w:rPr>
        <w:t>G059 · priority P4 · target date 2027-02-10 · owner Meera Raghunathan, Head of Legal &amp; Compliance</w:t>
      </w:r>
    </w:p>
    <w:p>
      <w:pPr>
        <w:spacing w:before="80" w:after="120"/>
        <w:pBdr>
          <w:bottom w:val="single" w:sz="6" w:space="1" w:color="BFBFBF"/>
        </w:pBdr>
      </w:pPr>
    </w:p>
    <w:p>
      <w:pPr>
        <w:pStyle w:val="Heading3"/>
        <w:keepNext/>
        <w:spacing w:before="200" w:after="80"/>
      </w:pPr>
      <w:r>
        <w:rPr>
          <w:rFonts w:ascii="Arial" w:hAnsi="Arial"/>
          <w:b/>
          <w:color w:val="1F3552"/>
          <w:sz w:val="22"/>
        </w:rPr>
        <w:t>BRD-03   Remediation plan owned, funded and tracked</w:t>
      </w:r>
    </w:p>
    <w:tbl>
      <w:tblPr>
        <w:tblStyle w:val="TableGrid"/>
        <w:tblW w:w="9746" w:type="dxa"/>
        <w:jc w:val="center"/>
        <w:tblLayout w:type="fixed"/>
        <w:tblLook w:firstColumn="1" w:firstRow="1" w:lastColumn="0" w:lastRow="0" w:noHBand="0" w:noVBand="1" w:val="04A0"/>
      </w:tblPr>
      <w:tblGrid>
        <w:gridCol w:w="999"/>
        <w:gridCol w:w="2499"/>
        <w:gridCol w:w="1061"/>
        <w:gridCol w:w="1124"/>
        <w:gridCol w:w="1124"/>
        <w:gridCol w:w="937"/>
        <w:gridCol w:w="1998"/>
      </w:tblGrid>
      <w:tr>
        <w:trPr>
          <w:cantSplit/>
        </w:trPr>
        <w:tc>
          <w:tcPr>
            <w:tcW w:type="dxa" w:w="999"/>
            <w:shd w:val="clear" w:color="auto" w:fill="1F3552"/>
          </w:tcPr>
          <w:p>
            <w:pPr>
              <w:spacing w:before="20" w:after="20"/>
              <w:jc w:val="center"/>
            </w:pPr>
            <w:r/>
            <w:r>
              <w:rPr>
                <w:rFonts w:ascii="Arial" w:hAnsi="Arial"/>
                <w:b/>
                <w:i w:val="0"/>
                <w:color w:val="FFFFFF"/>
                <w:sz w:val="15"/>
              </w:rPr>
              <w:t>Score</w:t>
            </w:r>
          </w:p>
        </w:tc>
        <w:tc>
          <w:tcPr>
            <w:tcW w:type="dxa" w:w="2499"/>
            <w:shd w:val="clear" w:color="auto" w:fill="1F3552"/>
          </w:tcPr>
          <w:p>
            <w:pPr>
              <w:spacing w:before="20" w:after="20"/>
              <w:jc w:val="center"/>
            </w:pPr>
            <w:r/>
            <w:r>
              <w:rPr>
                <w:rFonts w:ascii="Arial" w:hAnsi="Arial"/>
                <w:b/>
                <w:i w:val="0"/>
                <w:color w:val="FFFFFF"/>
                <w:sz w:val="15"/>
              </w:rPr>
              <w:t>Status</w:t>
            </w:r>
          </w:p>
        </w:tc>
        <w:tc>
          <w:tcPr>
            <w:tcW w:type="dxa" w:w="1062"/>
            <w:shd w:val="clear" w:color="auto" w:fill="1F3552"/>
          </w:tcPr>
          <w:p>
            <w:pPr>
              <w:spacing w:before="20" w:after="20"/>
              <w:jc w:val="center"/>
            </w:pPr>
            <w:r/>
            <w:r>
              <w:rPr>
                <w:rFonts w:ascii="Arial" w:hAnsi="Arial"/>
                <w:b/>
                <w:i w:val="0"/>
                <w:color w:val="FFFFFF"/>
                <w:sz w:val="15"/>
              </w:rPr>
              <w:t>Risk</w:t>
            </w:r>
          </w:p>
        </w:tc>
        <w:tc>
          <w:tcPr>
            <w:tcW w:type="dxa" w:w="1125"/>
            <w:shd w:val="clear" w:color="auto" w:fill="1F3552"/>
          </w:tcPr>
          <w:p>
            <w:pPr>
              <w:spacing w:before="20" w:after="20"/>
              <w:jc w:val="center"/>
            </w:pPr>
            <w:r/>
            <w:r>
              <w:rPr>
                <w:rFonts w:ascii="Arial" w:hAnsi="Arial"/>
                <w:b/>
                <w:i w:val="0"/>
                <w:color w:val="FFFFFF"/>
                <w:sz w:val="15"/>
              </w:rPr>
              <w:t>Risk band</w:t>
            </w:r>
          </w:p>
        </w:tc>
        <w:tc>
          <w:tcPr>
            <w:tcW w:type="dxa" w:w="1125"/>
            <w:shd w:val="clear" w:color="auto" w:fill="1F3552"/>
          </w:tcPr>
          <w:p>
            <w:pPr>
              <w:spacing w:before="20" w:after="20"/>
              <w:jc w:val="center"/>
            </w:pPr>
            <w:r/>
            <w:r>
              <w:rPr>
                <w:rFonts w:ascii="Arial" w:hAnsi="Arial"/>
                <w:b/>
                <w:i w:val="0"/>
                <w:color w:val="FFFFFF"/>
                <w:sz w:val="15"/>
              </w:rPr>
              <w:t>Severity</w:t>
            </w:r>
          </w:p>
        </w:tc>
        <w:tc>
          <w:tcPr>
            <w:tcW w:type="dxa" w:w="937"/>
            <w:shd w:val="clear" w:color="auto" w:fill="1F3552"/>
          </w:tcPr>
          <w:p>
            <w:pPr>
              <w:spacing w:before="20" w:after="20"/>
              <w:jc w:val="center"/>
            </w:pPr>
            <w:r/>
            <w:r>
              <w:rPr>
                <w:rFonts w:ascii="Arial" w:hAnsi="Arial"/>
                <w:b/>
                <w:i w:val="0"/>
                <w:color w:val="FFFFFF"/>
                <w:sz w:val="15"/>
              </w:rPr>
              <w:t>Weight</w:t>
            </w:r>
          </w:p>
        </w:tc>
        <w:tc>
          <w:tcPr>
            <w:tcW w:type="dxa" w:w="1999"/>
            <w:shd w:val="clear" w:color="auto" w:fill="1F3552"/>
          </w:tcPr>
          <w:p>
            <w:pPr>
              <w:spacing w:before="20" w:after="20"/>
              <w:jc w:val="center"/>
            </w:pPr>
            <w:r/>
            <w:r>
              <w:rPr>
                <w:rFonts w:ascii="Arial" w:hAnsi="Arial"/>
                <w:b/>
                <w:i w:val="0"/>
                <w:color w:val="FFFFFF"/>
                <w:sz w:val="15"/>
              </w:rPr>
              <w:t>Evidence ref</w:t>
            </w:r>
          </w:p>
        </w:tc>
      </w:tr>
      <w:tr>
        <w:trPr>
          <w:cantSplit/>
        </w:trPr>
        <w:tc>
          <w:tcPr>
            <w:tcW w:type="dxa" w:w="999"/>
            <w:shd w:val="clear" w:color="auto" w:fill="FDECC8"/>
          </w:tcPr>
          <w:p>
            <w:pPr>
              <w:spacing w:before="20" w:after="20"/>
              <w:jc w:val="center"/>
            </w:pPr>
            <w:r/>
            <w:r>
              <w:rPr>
                <w:rFonts w:ascii="Arial" w:hAnsi="Arial"/>
                <w:b/>
                <w:i w:val="0"/>
                <w:sz w:val="18"/>
              </w:rPr>
              <w:t>2 of 4</w:t>
            </w:r>
          </w:p>
        </w:tc>
        <w:tc>
          <w:tcPr>
            <w:tcW w:type="dxa" w:w="2499"/>
          </w:tcPr>
          <w:p>
            <w:pPr>
              <w:spacing w:before="20" w:after="20"/>
              <w:jc w:val="center"/>
            </w:pPr>
            <w:r/>
            <w:r>
              <w:rPr>
                <w:rFonts w:ascii="Arial" w:hAnsi="Arial"/>
                <w:b/>
                <w:i w:val="0"/>
                <w:sz w:val="18"/>
              </w:rPr>
              <w:t>Partially compliant</w:t>
            </w:r>
          </w:p>
        </w:tc>
        <w:tc>
          <w:tcPr>
            <w:tcW w:type="dxa" w:w="1062"/>
            <w:shd w:val="clear" w:color="auto" w:fill="FDECC8"/>
          </w:tcPr>
          <w:p>
            <w:pPr>
              <w:spacing w:before="20" w:after="20"/>
              <w:jc w:val="center"/>
            </w:pPr>
            <w:r/>
            <w:r>
              <w:rPr>
                <w:rFonts w:ascii="Arial" w:hAnsi="Arial"/>
                <w:b/>
                <w:i w:val="0"/>
                <w:sz w:val="18"/>
              </w:rPr>
              <w:t>6 of 16</w:t>
            </w:r>
          </w:p>
        </w:tc>
        <w:tc>
          <w:tcPr>
            <w:tcW w:type="dxa" w:w="1125"/>
          </w:tcPr>
          <w:p>
            <w:pPr>
              <w:spacing w:before="20" w:after="20"/>
              <w:jc w:val="center"/>
            </w:pPr>
            <w:r/>
            <w:r>
              <w:rPr>
                <w:rFonts w:ascii="Arial" w:hAnsi="Arial"/>
                <w:b w:val="0"/>
                <w:i w:val="0"/>
                <w:sz w:val="18"/>
              </w:rPr>
              <w:t>Medium</w:t>
            </w:r>
          </w:p>
        </w:tc>
        <w:tc>
          <w:tcPr>
            <w:tcW w:type="dxa" w:w="1125"/>
          </w:tcPr>
          <w:p>
            <w:pPr>
              <w:spacing w:before="20" w:after="20"/>
              <w:jc w:val="center"/>
            </w:pPr>
            <w:r/>
            <w:r>
              <w:rPr>
                <w:rFonts w:ascii="Arial" w:hAnsi="Arial"/>
                <w:b w:val="0"/>
                <w:i w:val="0"/>
                <w:sz w:val="18"/>
              </w:rPr>
              <w:t>High</w:t>
            </w:r>
          </w:p>
        </w:tc>
        <w:tc>
          <w:tcPr>
            <w:tcW w:type="dxa" w:w="937"/>
          </w:tcPr>
          <w:p>
            <w:pPr>
              <w:spacing w:before="20" w:after="20"/>
              <w:jc w:val="center"/>
            </w:pPr>
            <w:r/>
            <w:r>
              <w:rPr>
                <w:rFonts w:ascii="Arial" w:hAnsi="Arial"/>
                <w:b w:val="0"/>
                <w:i w:val="0"/>
                <w:sz w:val="18"/>
              </w:rPr>
              <w:t>1.1</w:t>
            </w:r>
          </w:p>
        </w:tc>
        <w:tc>
          <w:tcPr>
            <w:tcW w:type="dxa" w:w="1999"/>
          </w:tcPr>
          <w:p>
            <w:pPr>
              <w:spacing w:before="20" w:after="20"/>
              <w:jc w:val="center"/>
            </w:pPr>
            <w:r/>
            <w:r>
              <w:rPr>
                <w:rFonts w:ascii="Arial" w:hAnsi="Arial"/>
                <w:b w:val="0"/>
                <w:i w:val="0"/>
                <w:sz w:val="18"/>
              </w:rPr>
              <w:t>WP-152</w:t>
            </w:r>
          </w:p>
        </w:tc>
      </w:tr>
    </w:tbl>
    <w:p>
      <w:pPr>
        <w:spacing w:before="0" w:after="40"/>
      </w:pPr>
    </w:p>
    <w:p>
      <w:pPr>
        <w:spacing w:before="40" w:after="80"/>
        <w:ind w:left="0"/>
      </w:pPr>
      <w:r>
        <w:rPr>
          <w:rFonts w:ascii="Arial" w:hAnsi="Arial"/>
          <w:b/>
          <w:color w:val="44546A"/>
          <w:sz w:val="17"/>
        </w:rPr>
        <w:t xml:space="preserve">OBLIGATION  </w:t>
      </w:r>
      <w:r>
        <w:rPr>
          <w:rFonts w:ascii="Times New Roman" w:hAnsi="Times New Roman"/>
          <w:sz w:val="20"/>
        </w:rPr>
        <w:t>Accountability under section 8(1), together with the treatment of mitigation as a factor in penalty determination, requires that known gaps be subject to a plan that is actually resourced and progressed.</w:t>
      </w:r>
    </w:p>
    <w:p>
      <w:pPr>
        <w:spacing w:before="40" w:after="80"/>
        <w:ind w:left="0"/>
      </w:pPr>
      <w:r>
        <w:rPr>
          <w:rFonts w:ascii="Arial" w:hAnsi="Arial"/>
          <w:b/>
          <w:color w:val="44546A"/>
          <w:sz w:val="17"/>
        </w:rPr>
        <w:t xml:space="preserve">STATUTORY BASIS  </w:t>
      </w:r>
      <w:r>
        <w:rPr>
          <w:rFonts w:ascii="Times New Roman" w:hAnsi="Times New Roman"/>
          <w:sz w:val="20"/>
        </w:rPr>
        <w:t>s.8(1), s.33(2), DPDP Act, 2023</w:t>
      </w:r>
    </w:p>
    <w:p>
      <w:pPr>
        <w:spacing w:before="40" w:after="80"/>
        <w:ind w:left="0"/>
      </w:pPr>
      <w:r>
        <w:rPr>
          <w:rFonts w:ascii="Arial" w:hAnsi="Arial"/>
          <w:b/>
          <w:color w:val="44546A"/>
          <w:sz w:val="17"/>
        </w:rPr>
        <w:t xml:space="preserve">TESTED BY  </w:t>
      </w:r>
      <w:r>
        <w:rPr>
          <w:rFonts w:ascii="Times New Roman" w:hAnsi="Times New Roman"/>
          <w:sz w:val="20"/>
        </w:rPr>
        <w:t>Inspect the remediation plan and progress reporting; test a sample of items for evidence of actual progress against the recorded dates.</w:t>
      </w:r>
    </w:p>
    <w:p>
      <w:pPr>
        <w:spacing w:before="40" w:after="80"/>
        <w:ind w:left="0"/>
      </w:pPr>
      <w:r>
        <w:rPr>
          <w:rFonts w:ascii="Arial" w:hAnsi="Arial"/>
          <w:b/>
          <w:color w:val="44546A"/>
          <w:sz w:val="17"/>
        </w:rPr>
        <w:t xml:space="preserve">FINDING  </w:t>
      </w:r>
      <w:r>
        <w:rPr>
          <w:rFonts w:ascii="Times New Roman" w:hAnsi="Times New Roman"/>
          <w:sz w:val="20"/>
        </w:rPr>
        <w:t>A remediation tracker exists and carries 23 open privacy items. Fourteen have no owner, 19 have no target date, and no budget has been allocated for the engineering work that the erasure, consent and withdrawal findings in this report will require. Without funding and ownership the plan is a list rather than a commitment.</w:t>
      </w:r>
    </w:p>
    <w:p>
      <w:pPr>
        <w:spacing w:before="40" w:after="80"/>
        <w:ind w:left="0"/>
      </w:pPr>
      <w:r>
        <w:rPr>
          <w:rFonts w:ascii="Arial" w:hAnsi="Arial"/>
          <w:b/>
          <w:color w:val="44546A"/>
          <w:sz w:val="17"/>
        </w:rPr>
        <w:t xml:space="preserve">TARGET STATE  </w:t>
      </w:r>
      <w:r>
        <w:rPr>
          <w:rFonts w:ascii="Times New Roman" w:hAnsi="Times New Roman"/>
          <w:sz w:val="20"/>
        </w:rPr>
        <w:t>A funded plan with named owners and dates is reported to governance, completions are evidenced, and overdue items are escalated and replanned deliberately.</w:t>
      </w:r>
    </w:p>
    <w:p>
      <w:pPr>
        <w:spacing w:before="40" w:after="80"/>
        <w:ind w:left="0"/>
      </w:pPr>
      <w:r>
        <w:rPr>
          <w:rFonts w:ascii="Arial" w:hAnsi="Arial"/>
          <w:b/>
          <w:color w:val="44546A"/>
          <w:sz w:val="17"/>
        </w:rPr>
        <w:t xml:space="preserve">TRACKED AS  </w:t>
      </w:r>
      <w:r>
        <w:rPr>
          <w:rFonts w:ascii="Times New Roman" w:hAnsi="Times New Roman"/>
          <w:sz w:val="20"/>
        </w:rPr>
        <w:t>G039 · priority P3 · target date 2026-11-12 · owner Vikram Shetty, Chief Financial Officer</w:t>
      </w:r>
    </w:p>
    <w:p>
      <w:pPr>
        <w:spacing w:before="80" w:after="120"/>
        <w:pBdr>
          <w:bottom w:val="single" w:sz="6" w:space="1" w:color="BFBFBF"/>
        </w:pBdr>
      </w:pPr>
    </w:p>
    <w:p>
      <w:pPr>
        <w:sectPr>
          <w:footerReference w:type="default" r:id="rId9"/>
          <w:pgSz w:w="12240" w:h="15840"/>
          <w:pgMar w:top="1134" w:right="1247" w:bottom="1134" w:left="1247" w:header="720" w:footer="720" w:gutter="0"/>
          <w:cols w:space="720"/>
          <w:docGrid w:linePitch="360"/>
        </w:sectPr>
      </w:pPr>
    </w:p>
    <w:p>
      <w:pPr>
        <w:pStyle w:val="Heading1"/>
        <w:keepNext/>
        <w:spacing w:before="280" w:after="120"/>
      </w:pPr>
      <w:r>
        <w:rPr>
          <w:rFonts w:ascii="Arial" w:hAnsi="Arial"/>
          <w:b/>
          <w:color w:val="1F3552"/>
          <w:sz w:val="32"/>
        </w:rPr>
        <w:t>5.  Gap register</w:t>
      </w:r>
    </w:p>
    <w:p>
      <w:pPr>
        <w:spacing w:before="0" w:after="120"/>
        <w:jc w:val="both"/>
      </w:pPr>
      <w:r>
        <w:rPr>
          <w:rFonts w:ascii="Times New Roman" w:hAnsi="Times New Roman"/>
          <w:b w:val="0"/>
          <w:i w:val="0"/>
          <w:sz w:val="21"/>
        </w:rPr>
        <w:t>60 gaps, ordered by residual risk. Target dates are derived from the priority band and run from the assessment date (2026-08-14) unless a date was agreed with the control owner during fieldwork. The target state in each case is the level-4 descriptor the control library defines, so remediation is measured against the same standard the control was scored against. Findings are abridged to fit this register; the finding as recorded is set out against the control in section 4.</w:t>
      </w:r>
    </w:p>
    <w:tbl>
      <w:tblPr>
        <w:tblStyle w:val="TableGrid"/>
        <w:tblW w:w="14025" w:type="dxa"/>
        <w:jc w:val="center"/>
        <w:tblLayout w:type="fixed"/>
        <w:tblLook w:firstColumn="1" w:firstRow="1" w:lastColumn="0" w:lastRow="0" w:noHBand="0" w:noVBand="1" w:val="04A0"/>
      </w:tblPr>
      <w:tblGrid>
        <w:gridCol w:w="849"/>
        <w:gridCol w:w="971"/>
        <w:gridCol w:w="1942"/>
        <w:gridCol w:w="3400"/>
        <w:gridCol w:w="849"/>
        <w:gridCol w:w="728"/>
        <w:gridCol w:w="911"/>
        <w:gridCol w:w="971"/>
        <w:gridCol w:w="1335"/>
        <w:gridCol w:w="2064"/>
      </w:tblGrid>
      <w:tr>
        <w:trPr>
          <w:tblHeader w:val="true"/>
        </w:trPr>
        <w:tc>
          <w:tcPr>
            <w:tcW w:type="dxa" w:w="850"/>
            <w:shd w:val="clear" w:color="auto" w:fill="1F3552"/>
          </w:tcPr>
          <w:p>
            <w:pPr>
              <w:spacing w:before="20" w:after="20"/>
              <w:jc w:val="center"/>
            </w:pPr>
            <w:r/>
            <w:r>
              <w:rPr>
                <w:rFonts w:ascii="Arial" w:hAnsi="Arial"/>
                <w:b/>
                <w:i w:val="0"/>
                <w:color w:val="FFFFFF"/>
                <w:sz w:val="16"/>
              </w:rPr>
              <w:t>Ref</w:t>
            </w:r>
          </w:p>
        </w:tc>
        <w:tc>
          <w:tcPr>
            <w:tcW w:type="dxa" w:w="972"/>
            <w:shd w:val="clear" w:color="auto" w:fill="1F3552"/>
          </w:tcPr>
          <w:p>
            <w:pPr>
              <w:spacing w:before="20" w:after="20"/>
              <w:jc w:val="center"/>
            </w:pPr>
            <w:r/>
            <w:r>
              <w:rPr>
                <w:rFonts w:ascii="Arial" w:hAnsi="Arial"/>
                <w:b/>
                <w:i w:val="0"/>
                <w:color w:val="FFFFFF"/>
                <w:sz w:val="16"/>
              </w:rPr>
              <w:t>Control</w:t>
            </w:r>
          </w:p>
        </w:tc>
        <w:tc>
          <w:tcPr>
            <w:tcW w:type="dxa" w:w="1943"/>
            <w:shd w:val="clear" w:color="auto" w:fill="1F3552"/>
          </w:tcPr>
          <w:p>
            <w:pPr>
              <w:spacing w:before="20" w:after="20"/>
              <w:jc w:val="center"/>
            </w:pPr>
            <w:r/>
            <w:r>
              <w:rPr>
                <w:rFonts w:ascii="Arial" w:hAnsi="Arial"/>
                <w:b/>
                <w:i w:val="0"/>
                <w:color w:val="FFFFFF"/>
                <w:sz w:val="16"/>
              </w:rPr>
              <w:t>Domain</w:t>
            </w:r>
          </w:p>
        </w:tc>
        <w:tc>
          <w:tcPr>
            <w:tcW w:type="dxa" w:w="3400"/>
            <w:shd w:val="clear" w:color="auto" w:fill="1F3552"/>
          </w:tcPr>
          <w:p>
            <w:pPr>
              <w:spacing w:before="20" w:after="20"/>
              <w:jc w:val="center"/>
            </w:pPr>
            <w:r/>
            <w:r>
              <w:rPr>
                <w:rFonts w:ascii="Arial" w:hAnsi="Arial"/>
                <w:b/>
                <w:i w:val="0"/>
                <w:color w:val="FFFFFF"/>
                <w:sz w:val="16"/>
              </w:rPr>
              <w:t>Finding</w:t>
            </w:r>
          </w:p>
        </w:tc>
        <w:tc>
          <w:tcPr>
            <w:tcW w:type="dxa" w:w="850"/>
            <w:shd w:val="clear" w:color="auto" w:fill="1F3552"/>
          </w:tcPr>
          <w:p>
            <w:pPr>
              <w:spacing w:before="20" w:after="20"/>
              <w:jc w:val="center"/>
            </w:pPr>
            <w:r/>
            <w:r>
              <w:rPr>
                <w:rFonts w:ascii="Arial" w:hAnsi="Arial"/>
                <w:b/>
                <w:i w:val="0"/>
                <w:color w:val="FFFFFF"/>
                <w:sz w:val="16"/>
              </w:rPr>
              <w:t>Sev</w:t>
            </w:r>
          </w:p>
        </w:tc>
        <w:tc>
          <w:tcPr>
            <w:tcW w:type="dxa" w:w="729"/>
            <w:shd w:val="clear" w:color="auto" w:fill="1F3552"/>
          </w:tcPr>
          <w:p>
            <w:pPr>
              <w:spacing w:before="20" w:after="20"/>
              <w:jc w:val="center"/>
            </w:pPr>
            <w:r/>
            <w:r>
              <w:rPr>
                <w:rFonts w:ascii="Arial" w:hAnsi="Arial"/>
                <w:b/>
                <w:i w:val="0"/>
                <w:color w:val="FFFFFF"/>
                <w:sz w:val="16"/>
              </w:rPr>
              <w:t>Risk</w:t>
            </w:r>
          </w:p>
        </w:tc>
        <w:tc>
          <w:tcPr>
            <w:tcW w:type="dxa" w:w="911"/>
            <w:shd w:val="clear" w:color="auto" w:fill="1F3552"/>
          </w:tcPr>
          <w:p>
            <w:pPr>
              <w:spacing w:before="20" w:after="20"/>
              <w:jc w:val="center"/>
            </w:pPr>
            <w:r/>
            <w:r>
              <w:rPr>
                <w:rFonts w:ascii="Arial" w:hAnsi="Arial"/>
                <w:b/>
                <w:i w:val="0"/>
                <w:color w:val="FFFFFF"/>
                <w:sz w:val="16"/>
              </w:rPr>
              <w:t>Priority</w:t>
            </w:r>
          </w:p>
        </w:tc>
        <w:tc>
          <w:tcPr>
            <w:tcW w:type="dxa" w:w="972"/>
            <w:shd w:val="clear" w:color="auto" w:fill="1F3552"/>
          </w:tcPr>
          <w:p>
            <w:pPr>
              <w:spacing w:before="20" w:after="20"/>
              <w:jc w:val="center"/>
            </w:pPr>
            <w:r/>
            <w:r>
              <w:rPr>
                <w:rFonts w:ascii="Arial" w:hAnsi="Arial"/>
                <w:b/>
                <w:i w:val="0"/>
                <w:color w:val="FFFFFF"/>
                <w:sz w:val="16"/>
              </w:rPr>
              <w:t>Target date</w:t>
            </w:r>
          </w:p>
        </w:tc>
        <w:tc>
          <w:tcPr>
            <w:tcW w:type="dxa" w:w="1336"/>
            <w:shd w:val="clear" w:color="auto" w:fill="1F3552"/>
          </w:tcPr>
          <w:p>
            <w:pPr>
              <w:spacing w:before="20" w:after="20"/>
              <w:jc w:val="center"/>
            </w:pPr>
            <w:r/>
            <w:r>
              <w:rPr>
                <w:rFonts w:ascii="Arial" w:hAnsi="Arial"/>
                <w:b/>
                <w:i w:val="0"/>
                <w:color w:val="FFFFFF"/>
                <w:sz w:val="16"/>
              </w:rPr>
              <w:t>Statutory basis</w:t>
            </w:r>
          </w:p>
        </w:tc>
        <w:tc>
          <w:tcPr>
            <w:tcW w:type="dxa" w:w="2064"/>
            <w:shd w:val="clear" w:color="auto" w:fill="1F3552"/>
          </w:tcPr>
          <w:p>
            <w:pPr>
              <w:spacing w:before="20" w:after="20"/>
              <w:jc w:val="center"/>
            </w:pPr>
            <w:r/>
            <w:r>
              <w:rPr>
                <w:rFonts w:ascii="Arial" w:hAnsi="Arial"/>
                <w:b/>
                <w:i w:val="0"/>
                <w:color w:val="FFFFFF"/>
                <w:sz w:val="16"/>
              </w:rPr>
              <w:t>Owner</w:t>
            </w:r>
          </w:p>
        </w:tc>
      </w:tr>
      <w:tr>
        <w:trPr>
          <w:cantSplit/>
        </w:trPr>
        <w:tc>
          <w:tcPr>
            <w:tcW w:type="dxa" w:w="850"/>
          </w:tcPr>
          <w:p>
            <w:pPr>
              <w:spacing w:before="20" w:after="20"/>
              <w:jc w:val="center"/>
            </w:pPr>
            <w:r/>
            <w:r>
              <w:rPr>
                <w:rFonts w:ascii="Arial" w:hAnsi="Arial"/>
                <w:b/>
                <w:i w:val="0"/>
                <w:sz w:val="16"/>
              </w:rPr>
              <w:t>G001</w:t>
            </w:r>
          </w:p>
        </w:tc>
        <w:tc>
          <w:tcPr>
            <w:tcW w:type="dxa" w:w="972"/>
          </w:tcPr>
          <w:p>
            <w:pPr>
              <w:spacing w:before="20" w:after="20"/>
              <w:jc w:val="center"/>
            </w:pPr>
            <w:r/>
            <w:r>
              <w:rPr>
                <w:rFonts w:ascii="Arial" w:hAnsi="Arial"/>
                <w:b w:val="0"/>
                <w:i w:val="0"/>
                <w:sz w:val="16"/>
              </w:rPr>
              <w:t>CHD-03</w:t>
            </w:r>
          </w:p>
        </w:tc>
        <w:tc>
          <w:tcPr>
            <w:tcW w:type="dxa" w:w="1943"/>
          </w:tcPr>
          <w:p>
            <w:pPr>
              <w:spacing w:before="20" w:after="20"/>
            </w:pPr>
            <w:r/>
            <w:r>
              <w:rPr>
                <w:rFonts w:ascii="Arial" w:hAnsi="Arial"/>
                <w:b w:val="0"/>
                <w:i w:val="0"/>
                <w:sz w:val="15"/>
              </w:rPr>
              <w:t>Children &amp; Persons with Disability</w:t>
            </w:r>
          </w:p>
        </w:tc>
        <w:tc>
          <w:tcPr>
            <w:tcW w:type="dxa" w:w="3400"/>
          </w:tcPr>
          <w:p>
            <w:pPr>
              <w:spacing w:before="20" w:after="20"/>
            </w:pPr>
            <w:r/>
            <w:r>
              <w:rPr>
                <w:rFonts w:ascii="Times New Roman" w:hAnsi="Times New Roman"/>
                <w:b w:val="0"/>
                <w:i w:val="0"/>
                <w:sz w:val="15"/>
              </w:rPr>
              <w:t>The advertising and analytics SDKs embedded in the KavachPay application are active in the Kavach Junior experience. Testing confirmed that device identifiers and in-app behavioural events for accounts flagged as minors are transmitted to CleverTap and to the Meta SDK, and that those accounts are eligible for inclusion in lookalike audiences. Children are therefore subject to tracking, behavioural monitoring and targeted advertising.</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16</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s.9(3),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G002</w:t>
            </w:r>
          </w:p>
        </w:tc>
        <w:tc>
          <w:tcPr>
            <w:tcW w:type="dxa" w:w="972"/>
          </w:tcPr>
          <w:p>
            <w:pPr>
              <w:spacing w:before="20" w:after="20"/>
              <w:jc w:val="center"/>
            </w:pPr>
            <w:r/>
            <w:r>
              <w:rPr>
                <w:rFonts w:ascii="Arial" w:hAnsi="Arial"/>
                <w:b w:val="0"/>
                <w:i w:val="0"/>
                <w:sz w:val="16"/>
              </w:rPr>
              <w:t>SDF-02</w:t>
            </w:r>
          </w:p>
        </w:tc>
        <w:tc>
          <w:tcPr>
            <w:tcW w:type="dxa" w:w="1943"/>
          </w:tcPr>
          <w:p>
            <w:pPr>
              <w:spacing w:before="20" w:after="20"/>
            </w:pPr>
            <w:r/>
            <w:r>
              <w:rPr>
                <w:rFonts w:ascii="Arial" w:hAnsi="Arial"/>
                <w:b w:val="0"/>
                <w:i w:val="0"/>
                <w:sz w:val="15"/>
              </w:rPr>
              <w:t>Significant Data Fiduciary Obligations</w:t>
            </w:r>
          </w:p>
        </w:tc>
        <w:tc>
          <w:tcPr>
            <w:tcW w:type="dxa" w:w="3400"/>
          </w:tcPr>
          <w:p>
            <w:pPr>
              <w:spacing w:before="20" w:after="20"/>
            </w:pPr>
            <w:r/>
            <w:r>
              <w:rPr>
                <w:rFonts w:ascii="Times New Roman" w:hAnsi="Times New Roman"/>
                <w:b w:val="0"/>
                <w:i w:val="0"/>
                <w:sz w:val="15"/>
              </w:rPr>
              <w:t>No independent data auditor has been appointed. Management's position was that the existing ISO 27001 certification body discharges the requirement; that engagement is an information security certification and does not evaluate compliance with the Act.</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16</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s.10(2)(b), DPDP Act, 2023</w:t>
            </w:r>
          </w:p>
        </w:tc>
        <w:tc>
          <w:tcPr>
            <w:tcW w:type="dxa" w:w="2064"/>
          </w:tcPr>
          <w:p>
            <w:pPr>
              <w:spacing w:before="20" w:after="20"/>
            </w:pPr>
            <w:r/>
            <w:r>
              <w:rPr>
                <w:rFonts w:ascii="Arial" w:hAnsi="Arial"/>
                <w:b w:val="0"/>
                <w:i w:val="0"/>
                <w:sz w:val="14"/>
              </w:rPr>
              <w:t>Vikram Shetty, Chief Financial Officer</w:t>
            </w:r>
          </w:p>
        </w:tc>
      </w:tr>
      <w:tr>
        <w:trPr>
          <w:cantSplit/>
        </w:trPr>
        <w:tc>
          <w:tcPr>
            <w:tcW w:type="dxa" w:w="850"/>
          </w:tcPr>
          <w:p>
            <w:pPr>
              <w:spacing w:before="20" w:after="20"/>
              <w:jc w:val="center"/>
            </w:pPr>
            <w:r/>
            <w:r>
              <w:rPr>
                <w:rFonts w:ascii="Arial" w:hAnsi="Arial"/>
                <w:b/>
                <w:i w:val="0"/>
                <w:sz w:val="16"/>
              </w:rPr>
              <w:t>G003</w:t>
            </w:r>
          </w:p>
        </w:tc>
        <w:tc>
          <w:tcPr>
            <w:tcW w:type="dxa" w:w="972"/>
          </w:tcPr>
          <w:p>
            <w:pPr>
              <w:spacing w:before="20" w:after="20"/>
              <w:jc w:val="center"/>
            </w:pPr>
            <w:r/>
            <w:r>
              <w:rPr>
                <w:rFonts w:ascii="Arial" w:hAnsi="Arial"/>
                <w:b w:val="0"/>
                <w:i w:val="0"/>
                <w:sz w:val="16"/>
              </w:rPr>
              <w:t>CON-04</w:t>
            </w:r>
          </w:p>
        </w:tc>
        <w:tc>
          <w:tcPr>
            <w:tcW w:type="dxa" w:w="1943"/>
          </w:tcPr>
          <w:p>
            <w:pPr>
              <w:spacing w:before="20" w:after="20"/>
            </w:pPr>
            <w:r/>
            <w:r>
              <w:rPr>
                <w:rFonts w:ascii="Arial" w:hAnsi="Arial"/>
                <w:b w:val="0"/>
                <w:i w:val="0"/>
                <w:sz w:val="15"/>
              </w:rPr>
              <w:t>Consent</w:t>
            </w:r>
          </w:p>
        </w:tc>
        <w:tc>
          <w:tcPr>
            <w:tcW w:type="dxa" w:w="3400"/>
          </w:tcPr>
          <w:p>
            <w:pPr>
              <w:spacing w:before="20" w:after="20"/>
            </w:pPr>
            <w:r/>
            <w:r>
              <w:rPr>
                <w:rFonts w:ascii="Times New Roman" w:hAnsi="Times New Roman"/>
                <w:b w:val="0"/>
                <w:i w:val="0"/>
                <w:sz w:val="15"/>
              </w:rPr>
              <w:t>Withdrawal of consent is not available in the application. Marketing preferences can be toggled, but withdrawal of consent for processing requires an email to the support address, after which an agent follows a manual runbook. Against a two-tap consent action this is plainly not as easy to withdraw as to give.</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s.6(4),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G004</w:t>
            </w:r>
          </w:p>
        </w:tc>
        <w:tc>
          <w:tcPr>
            <w:tcW w:type="dxa" w:w="972"/>
          </w:tcPr>
          <w:p>
            <w:pPr>
              <w:spacing w:before="20" w:after="20"/>
              <w:jc w:val="center"/>
            </w:pPr>
            <w:r/>
            <w:r>
              <w:rPr>
                <w:rFonts w:ascii="Arial" w:hAnsi="Arial"/>
                <w:b w:val="0"/>
                <w:i w:val="0"/>
                <w:sz w:val="16"/>
              </w:rPr>
              <w:t>CON-06</w:t>
            </w:r>
          </w:p>
        </w:tc>
        <w:tc>
          <w:tcPr>
            <w:tcW w:type="dxa" w:w="1943"/>
          </w:tcPr>
          <w:p>
            <w:pPr>
              <w:spacing w:before="20" w:after="20"/>
            </w:pPr>
            <w:r/>
            <w:r>
              <w:rPr>
                <w:rFonts w:ascii="Arial" w:hAnsi="Arial"/>
                <w:b w:val="0"/>
                <w:i w:val="0"/>
                <w:sz w:val="15"/>
              </w:rPr>
              <w:t>Consent</w:t>
            </w:r>
          </w:p>
        </w:tc>
        <w:tc>
          <w:tcPr>
            <w:tcW w:type="dxa" w:w="3400"/>
          </w:tcPr>
          <w:p>
            <w:pPr>
              <w:spacing w:before="20" w:after="20"/>
            </w:pPr>
            <w:r/>
            <w:r>
              <w:rPr>
                <w:rFonts w:ascii="Times New Roman" w:hAnsi="Times New Roman"/>
                <w:b w:val="0"/>
                <w:i w:val="0"/>
                <w:sz w:val="15"/>
              </w:rPr>
              <w:t>Testing of three withdrawal requests found processing continued after withdrawal in all three. Marketing suppression was applied within 48 hours, but the Snowflake warehouse, the CleverTap audience and the churn model training set retained and continued to use the records. Median elapsed time to full cessation could not be established because the entity does not measure it.</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s.6(6),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G005</w:t>
            </w:r>
          </w:p>
        </w:tc>
        <w:tc>
          <w:tcPr>
            <w:tcW w:type="dxa" w:w="972"/>
          </w:tcPr>
          <w:p>
            <w:pPr>
              <w:spacing w:before="20" w:after="20"/>
              <w:jc w:val="center"/>
            </w:pPr>
            <w:r/>
            <w:r>
              <w:rPr>
                <w:rFonts w:ascii="Arial" w:hAnsi="Arial"/>
                <w:b w:val="0"/>
                <w:i w:val="0"/>
                <w:sz w:val="16"/>
              </w:rPr>
              <w:t>CON-07</w:t>
            </w:r>
          </w:p>
        </w:tc>
        <w:tc>
          <w:tcPr>
            <w:tcW w:type="dxa" w:w="1943"/>
          </w:tcPr>
          <w:p>
            <w:pPr>
              <w:spacing w:before="20" w:after="20"/>
            </w:pPr>
            <w:r/>
            <w:r>
              <w:rPr>
                <w:rFonts w:ascii="Arial" w:hAnsi="Arial"/>
                <w:b w:val="0"/>
                <w:i w:val="0"/>
                <w:sz w:val="15"/>
              </w:rPr>
              <w:t>Consent</w:t>
            </w:r>
          </w:p>
        </w:tc>
        <w:tc>
          <w:tcPr>
            <w:tcW w:type="dxa" w:w="3400"/>
          </w:tcPr>
          <w:p>
            <w:pPr>
              <w:spacing w:before="20" w:after="20"/>
            </w:pPr>
            <w:r/>
            <w:r>
              <w:rPr>
                <w:rFonts w:ascii="Times New Roman" w:hAnsi="Times New Roman"/>
                <w:b w:val="0"/>
                <w:i w:val="0"/>
                <w:sz w:val="15"/>
              </w:rPr>
              <w:t>The consent table records a current state per Data Principal with a single last-updated timestamp. It does not retain the notice version, the interface, the purposes in force at the time, or any history of change. For two of five sampled Data Principals the entity could not demonstrate what was consented to or when.</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s.6(10),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G006</w:t>
            </w:r>
          </w:p>
        </w:tc>
        <w:tc>
          <w:tcPr>
            <w:tcW w:type="dxa" w:w="972"/>
          </w:tcPr>
          <w:p>
            <w:pPr>
              <w:spacing w:before="20" w:after="20"/>
              <w:jc w:val="center"/>
            </w:pPr>
            <w:r/>
            <w:r>
              <w:rPr>
                <w:rFonts w:ascii="Arial" w:hAnsi="Arial"/>
                <w:b w:val="0"/>
                <w:i w:val="0"/>
                <w:sz w:val="16"/>
              </w:rPr>
              <w:t>GOV-07</w:t>
            </w:r>
          </w:p>
        </w:tc>
        <w:tc>
          <w:tcPr>
            <w:tcW w:type="dxa" w:w="1943"/>
          </w:tcPr>
          <w:p>
            <w:pPr>
              <w:spacing w:before="20" w:after="20"/>
            </w:pPr>
            <w:r/>
            <w:r>
              <w:rPr>
                <w:rFonts w:ascii="Arial" w:hAnsi="Arial"/>
                <w:b w:val="0"/>
                <w:i w:val="0"/>
                <w:sz w:val="15"/>
              </w:rPr>
              <w:t>Governance, Accountability &amp; Records</w:t>
            </w:r>
          </w:p>
        </w:tc>
        <w:tc>
          <w:tcPr>
            <w:tcW w:type="dxa" w:w="3400"/>
          </w:tcPr>
          <w:p>
            <w:pPr>
              <w:spacing w:before="20" w:after="20"/>
            </w:pPr>
            <w:r/>
            <w:r>
              <w:rPr>
                <w:rFonts w:ascii="Times New Roman" w:hAnsi="Times New Roman"/>
                <w:b w:val="0"/>
                <w:i w:val="0"/>
                <w:sz w:val="15"/>
              </w:rPr>
              <w:t>Evidence of compliance is not systematically retained. Consent artefacts are held only in the current state of the consent table with no immutable history, notice versions are not archived, and rights request correspondence is held in agent mailboxes. The entity could not reconstruct, for a Data Principal who consented in March 2025, what notice they were shown.</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s.6(10),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G007</w:t>
            </w:r>
          </w:p>
        </w:tc>
        <w:tc>
          <w:tcPr>
            <w:tcW w:type="dxa" w:w="972"/>
          </w:tcPr>
          <w:p>
            <w:pPr>
              <w:spacing w:before="20" w:after="20"/>
              <w:jc w:val="center"/>
            </w:pPr>
            <w:r/>
            <w:r>
              <w:rPr>
                <w:rFonts w:ascii="Arial" w:hAnsi="Arial"/>
                <w:b w:val="0"/>
                <w:i w:val="0"/>
                <w:sz w:val="16"/>
              </w:rPr>
              <w:t>NOT-02</w:t>
            </w:r>
          </w:p>
        </w:tc>
        <w:tc>
          <w:tcPr>
            <w:tcW w:type="dxa" w:w="1943"/>
          </w:tcPr>
          <w:p>
            <w:pPr>
              <w:spacing w:before="20" w:after="20"/>
            </w:pPr>
            <w:r/>
            <w:r>
              <w:rPr>
                <w:rFonts w:ascii="Arial" w:hAnsi="Arial"/>
                <w:b w:val="0"/>
                <w:i w:val="0"/>
                <w:sz w:val="15"/>
              </w:rPr>
              <w:t>Notice</w:t>
            </w:r>
          </w:p>
        </w:tc>
        <w:tc>
          <w:tcPr>
            <w:tcW w:type="dxa" w:w="3400"/>
          </w:tcPr>
          <w:p>
            <w:pPr>
              <w:spacing w:before="20" w:after="20"/>
            </w:pPr>
            <w:r/>
            <w:r>
              <w:rPr>
                <w:rFonts w:ascii="Times New Roman" w:hAnsi="Times New Roman"/>
                <w:b w:val="0"/>
                <w:i w:val="0"/>
                <w:sz w:val="15"/>
              </w:rPr>
              <w:t>The notice describes the data collected in categories such as 'identity and contact information' and 'usage data' and states purposes as 'to provide and improve our services'. It is neither an itemised description of the personal data nor a specified purpose. The notice also omits the account aggregator data received through the Consent Manager entirely.</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s.5(1)(i),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G008</w:t>
            </w:r>
          </w:p>
        </w:tc>
        <w:tc>
          <w:tcPr>
            <w:tcW w:type="dxa" w:w="972"/>
          </w:tcPr>
          <w:p>
            <w:pPr>
              <w:spacing w:before="20" w:after="20"/>
              <w:jc w:val="center"/>
            </w:pPr>
            <w:r/>
            <w:r>
              <w:rPr>
                <w:rFonts w:ascii="Arial" w:hAnsi="Arial"/>
                <w:b w:val="0"/>
                <w:i w:val="0"/>
                <w:sz w:val="16"/>
              </w:rPr>
              <w:t>RET-02</w:t>
            </w:r>
          </w:p>
        </w:tc>
        <w:tc>
          <w:tcPr>
            <w:tcW w:type="dxa" w:w="1943"/>
          </w:tcPr>
          <w:p>
            <w:pPr>
              <w:spacing w:before="20" w:after="20"/>
            </w:pPr>
            <w:r/>
            <w:r>
              <w:rPr>
                <w:rFonts w:ascii="Arial" w:hAnsi="Arial"/>
                <w:b w:val="0"/>
                <w:i w:val="0"/>
                <w:sz w:val="15"/>
              </w:rPr>
              <w:t>Retention &amp; Erasure</w:t>
            </w:r>
          </w:p>
        </w:tc>
        <w:tc>
          <w:tcPr>
            <w:tcW w:type="dxa" w:w="3400"/>
          </w:tcPr>
          <w:p>
            <w:pPr>
              <w:spacing w:before="20" w:after="20"/>
            </w:pPr>
            <w:r/>
            <w:r>
              <w:rPr>
                <w:rFonts w:ascii="Times New Roman" w:hAnsi="Times New Roman"/>
                <w:b w:val="0"/>
                <w:i w:val="0"/>
                <w:sz w:val="15"/>
              </w:rPr>
              <w:t>Erasure on withdrawal or purpose completion is not implemented. The manual runbook noted at CON-04 anonymises the CRM record but leaves the warehouse, the ledger, the communications platforms and the backups untouched. RBI and PMLA retention requirements were cited as justification but have not been mapped to data categories, so they operate as a blanket exception rather than a bounded one.</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s.8(7),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G009</w:t>
            </w:r>
          </w:p>
        </w:tc>
        <w:tc>
          <w:tcPr>
            <w:tcW w:type="dxa" w:w="972"/>
          </w:tcPr>
          <w:p>
            <w:pPr>
              <w:spacing w:before="20" w:after="20"/>
              <w:jc w:val="center"/>
            </w:pPr>
            <w:r/>
            <w:r>
              <w:rPr>
                <w:rFonts w:ascii="Arial" w:hAnsi="Arial"/>
                <w:b w:val="0"/>
                <w:i w:val="0"/>
                <w:sz w:val="16"/>
              </w:rPr>
              <w:t>RET-03</w:t>
            </w:r>
          </w:p>
        </w:tc>
        <w:tc>
          <w:tcPr>
            <w:tcW w:type="dxa" w:w="1943"/>
          </w:tcPr>
          <w:p>
            <w:pPr>
              <w:spacing w:before="20" w:after="20"/>
            </w:pPr>
            <w:r/>
            <w:r>
              <w:rPr>
                <w:rFonts w:ascii="Arial" w:hAnsi="Arial"/>
                <w:b w:val="0"/>
                <w:i w:val="0"/>
                <w:sz w:val="15"/>
              </w:rPr>
              <w:t>Retention &amp; Erasure</w:t>
            </w:r>
          </w:p>
        </w:tc>
        <w:tc>
          <w:tcPr>
            <w:tcW w:type="dxa" w:w="3400"/>
          </w:tcPr>
          <w:p>
            <w:pPr>
              <w:spacing w:before="20" w:after="20"/>
            </w:pPr>
            <w:r/>
            <w:r>
              <w:rPr>
                <w:rFonts w:ascii="Times New Roman" w:hAnsi="Times New Roman"/>
                <w:b w:val="0"/>
                <w:i w:val="0"/>
                <w:sz w:val="15"/>
              </w:rPr>
              <w:t>Erasure does not propagate. Testing confirmed that a record erased in Kavach CRM remained present in Snowflake, in the dbt derived tables, in CleverTap and in Gupshup's message logs. No processor has been issued an erasure instruction in the period, and the vendor contracts contain no mechanism for doing so.</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s.8(7),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G010</w:t>
            </w:r>
          </w:p>
        </w:tc>
        <w:tc>
          <w:tcPr>
            <w:tcW w:type="dxa" w:w="972"/>
          </w:tcPr>
          <w:p>
            <w:pPr>
              <w:spacing w:before="20" w:after="20"/>
              <w:jc w:val="center"/>
            </w:pPr>
            <w:r/>
            <w:r>
              <w:rPr>
                <w:rFonts w:ascii="Arial" w:hAnsi="Arial"/>
                <w:b w:val="0"/>
                <w:i w:val="0"/>
                <w:sz w:val="16"/>
              </w:rPr>
              <w:t>SDF-01</w:t>
            </w:r>
          </w:p>
        </w:tc>
        <w:tc>
          <w:tcPr>
            <w:tcW w:type="dxa" w:w="1943"/>
          </w:tcPr>
          <w:p>
            <w:pPr>
              <w:spacing w:before="20" w:after="20"/>
            </w:pPr>
            <w:r/>
            <w:r>
              <w:rPr>
                <w:rFonts w:ascii="Arial" w:hAnsi="Arial"/>
                <w:b w:val="0"/>
                <w:i w:val="0"/>
                <w:sz w:val="15"/>
              </w:rPr>
              <w:t>Significant Data Fiduciary Obligations</w:t>
            </w:r>
          </w:p>
        </w:tc>
        <w:tc>
          <w:tcPr>
            <w:tcW w:type="dxa" w:w="3400"/>
          </w:tcPr>
          <w:p>
            <w:pPr>
              <w:spacing w:before="20" w:after="20"/>
            </w:pPr>
            <w:r/>
            <w:r>
              <w:rPr>
                <w:rFonts w:ascii="Times New Roman" w:hAnsi="Times New Roman"/>
                <w:b w:val="0"/>
                <w:i w:val="0"/>
                <w:sz w:val="15"/>
              </w:rPr>
              <w:t>No Data Protection Officer has been appointed. The Head of Legal &amp; Compliance performs the function informally alongside a broad commercial mandate, reports to the General Counsel rather than to the board, and is not designated as DPO in any board record.</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s.10(2)(a), DPDP Act, 2023</w:t>
            </w:r>
          </w:p>
        </w:tc>
        <w:tc>
          <w:tcPr>
            <w:tcW w:type="dxa" w:w="2064"/>
          </w:tcPr>
          <w:p>
            <w:pPr>
              <w:spacing w:before="20" w:after="20"/>
            </w:pPr>
            <w:r/>
            <w:r>
              <w:rPr>
                <w:rFonts w:ascii="Arial" w:hAnsi="Arial"/>
                <w:b w:val="0"/>
                <w:i w:val="0"/>
                <w:sz w:val="14"/>
              </w:rPr>
              <w:t>Vikram Shetty, Chief Financial Officer</w:t>
            </w:r>
          </w:p>
        </w:tc>
      </w:tr>
      <w:tr>
        <w:trPr>
          <w:cantSplit/>
        </w:trPr>
        <w:tc>
          <w:tcPr>
            <w:tcW w:type="dxa" w:w="850"/>
          </w:tcPr>
          <w:p>
            <w:pPr>
              <w:spacing w:before="20" w:after="20"/>
              <w:jc w:val="center"/>
            </w:pPr>
            <w:r/>
            <w:r>
              <w:rPr>
                <w:rFonts w:ascii="Arial" w:hAnsi="Arial"/>
                <w:b/>
                <w:i w:val="0"/>
                <w:sz w:val="16"/>
              </w:rPr>
              <w:t>G011</w:t>
            </w:r>
          </w:p>
        </w:tc>
        <w:tc>
          <w:tcPr>
            <w:tcW w:type="dxa" w:w="972"/>
          </w:tcPr>
          <w:p>
            <w:pPr>
              <w:spacing w:before="20" w:after="20"/>
              <w:jc w:val="center"/>
            </w:pPr>
            <w:r/>
            <w:r>
              <w:rPr>
                <w:rFonts w:ascii="Arial" w:hAnsi="Arial"/>
                <w:b w:val="0"/>
                <w:i w:val="0"/>
                <w:sz w:val="16"/>
              </w:rPr>
              <w:t>SDF-03</w:t>
            </w:r>
          </w:p>
        </w:tc>
        <w:tc>
          <w:tcPr>
            <w:tcW w:type="dxa" w:w="1943"/>
          </w:tcPr>
          <w:p>
            <w:pPr>
              <w:spacing w:before="20" w:after="20"/>
            </w:pPr>
            <w:r/>
            <w:r>
              <w:rPr>
                <w:rFonts w:ascii="Arial" w:hAnsi="Arial"/>
                <w:b w:val="0"/>
                <w:i w:val="0"/>
                <w:sz w:val="15"/>
              </w:rPr>
              <w:t>Significant Data Fiduciary Obligations</w:t>
            </w:r>
          </w:p>
        </w:tc>
        <w:tc>
          <w:tcPr>
            <w:tcW w:type="dxa" w:w="3400"/>
          </w:tcPr>
          <w:p>
            <w:pPr>
              <w:spacing w:before="20" w:after="20"/>
            </w:pPr>
            <w:r/>
            <w:r>
              <w:rPr>
                <w:rFonts w:ascii="Times New Roman" w:hAnsi="Times New Roman"/>
                <w:b w:val="0"/>
                <w:i w:val="0"/>
                <w:sz w:val="15"/>
              </w:rPr>
              <w:t>No Data Protection Impact Assessment has been conducted. A template was drafted in January 2026 and remains unapproved and unused. The obligation is periodic and applies to the entity as a Significant Data Fiduciary irrespective of individual product risk.</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s.10(2)(c), s.2(m),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G012</w:t>
            </w:r>
          </w:p>
        </w:tc>
        <w:tc>
          <w:tcPr>
            <w:tcW w:type="dxa" w:w="972"/>
          </w:tcPr>
          <w:p>
            <w:pPr>
              <w:spacing w:before="20" w:after="20"/>
              <w:jc w:val="center"/>
            </w:pPr>
            <w:r/>
            <w:r>
              <w:rPr>
                <w:rFonts w:ascii="Arial" w:hAnsi="Arial"/>
                <w:b w:val="0"/>
                <w:i w:val="0"/>
                <w:sz w:val="16"/>
              </w:rPr>
              <w:t>NOT-05</w:t>
            </w:r>
          </w:p>
        </w:tc>
        <w:tc>
          <w:tcPr>
            <w:tcW w:type="dxa" w:w="1943"/>
          </w:tcPr>
          <w:p>
            <w:pPr>
              <w:spacing w:before="20" w:after="20"/>
            </w:pPr>
            <w:r/>
            <w:r>
              <w:rPr>
                <w:rFonts w:ascii="Arial" w:hAnsi="Arial"/>
                <w:b w:val="0"/>
                <w:i w:val="0"/>
                <w:sz w:val="15"/>
              </w:rPr>
              <w:t>Notice</w:t>
            </w:r>
          </w:p>
        </w:tc>
        <w:tc>
          <w:tcPr>
            <w:tcW w:type="dxa" w:w="3400"/>
          </w:tcPr>
          <w:p>
            <w:pPr>
              <w:spacing w:before="20" w:after="20"/>
            </w:pPr>
            <w:r/>
            <w:r>
              <w:rPr>
                <w:rFonts w:ascii="Times New Roman" w:hAnsi="Times New Roman"/>
                <w:b w:val="0"/>
                <w:i w:val="0"/>
                <w:sz w:val="15"/>
              </w:rPr>
              <w:t>Approximately 9.4 million Data Principals onboarded before the current notice version have not been given a retrospective notice. Management was aware of the requirement and has scoped a campaign but has not set a date, citing concern about attrition and support volume. No compensating action has been taken.</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s.5(2),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G013</w:t>
            </w:r>
          </w:p>
        </w:tc>
        <w:tc>
          <w:tcPr>
            <w:tcW w:type="dxa" w:w="972"/>
          </w:tcPr>
          <w:p>
            <w:pPr>
              <w:spacing w:before="20" w:after="20"/>
              <w:jc w:val="center"/>
            </w:pPr>
            <w:r/>
            <w:r>
              <w:rPr>
                <w:rFonts w:ascii="Arial" w:hAnsi="Arial"/>
                <w:b w:val="0"/>
                <w:i w:val="0"/>
                <w:sz w:val="16"/>
              </w:rPr>
              <w:t>RET-04</w:t>
            </w:r>
          </w:p>
        </w:tc>
        <w:tc>
          <w:tcPr>
            <w:tcW w:type="dxa" w:w="1943"/>
          </w:tcPr>
          <w:p>
            <w:pPr>
              <w:spacing w:before="20" w:after="20"/>
            </w:pPr>
            <w:r/>
            <w:r>
              <w:rPr>
                <w:rFonts w:ascii="Arial" w:hAnsi="Arial"/>
                <w:b w:val="0"/>
                <w:i w:val="0"/>
                <w:sz w:val="15"/>
              </w:rPr>
              <w:t>Retention &amp; Erasure</w:t>
            </w:r>
          </w:p>
        </w:tc>
        <w:tc>
          <w:tcPr>
            <w:tcW w:type="dxa" w:w="3400"/>
          </w:tcPr>
          <w:p>
            <w:pPr>
              <w:spacing w:before="20" w:after="20"/>
            </w:pPr>
            <w:r/>
            <w:r>
              <w:rPr>
                <w:rFonts w:ascii="Times New Roman" w:hAnsi="Times New Roman"/>
                <w:b w:val="0"/>
                <w:i w:val="0"/>
                <w:sz w:val="15"/>
              </w:rPr>
              <w:t>There is no concept of deemed purpose completion on inactivity. Accounts dormant since 2019 remain fully populated and continue to be included in marketing audiences. Approximately 2.1 million Data Principals have had no interaction with the platform for over three years.</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8D7D7"/>
          </w:tcPr>
          <w:p>
            <w:pPr>
              <w:spacing w:before="20" w:after="20"/>
              <w:jc w:val="center"/>
            </w:pPr>
            <w:r/>
            <w:r>
              <w:rPr>
                <w:rFonts w:ascii="Arial" w:hAnsi="Arial"/>
                <w:b/>
                <w:i w:val="0"/>
                <w:sz w:val="17"/>
              </w:rPr>
              <w:t>12</w:t>
            </w:r>
          </w:p>
        </w:tc>
        <w:tc>
          <w:tcPr>
            <w:tcW w:type="dxa" w:w="911"/>
          </w:tcPr>
          <w:p>
            <w:pPr>
              <w:spacing w:before="20" w:after="20"/>
              <w:jc w:val="center"/>
            </w:pPr>
            <w:r/>
            <w:r>
              <w:rPr>
                <w:rFonts w:ascii="Arial" w:hAnsi="Arial"/>
                <w:b/>
                <w:i w:val="0"/>
                <w:sz w:val="16"/>
              </w:rPr>
              <w:t>P1</w:t>
            </w:r>
          </w:p>
        </w:tc>
        <w:tc>
          <w:tcPr>
            <w:tcW w:type="dxa" w:w="972"/>
          </w:tcPr>
          <w:p>
            <w:pPr>
              <w:spacing w:before="20" w:after="20"/>
              <w:jc w:val="center"/>
            </w:pPr>
            <w:r/>
            <w:r>
              <w:rPr>
                <w:rFonts w:ascii="Arial" w:hAnsi="Arial"/>
                <w:b w:val="0"/>
                <w:i w:val="0"/>
                <w:sz w:val="15"/>
              </w:rPr>
              <w:t>2026-09-13</w:t>
            </w:r>
          </w:p>
        </w:tc>
        <w:tc>
          <w:tcPr>
            <w:tcW w:type="dxa" w:w="1336"/>
          </w:tcPr>
          <w:p>
            <w:pPr>
              <w:spacing w:before="20" w:after="20"/>
              <w:jc w:val="center"/>
            </w:pPr>
            <w:r/>
            <w:r>
              <w:rPr>
                <w:rFonts w:ascii="Arial" w:hAnsi="Arial"/>
                <w:b w:val="0"/>
                <w:i w:val="0"/>
                <w:sz w:val="14"/>
              </w:rPr>
              <w:t>s.8(10),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G014</w:t>
            </w:r>
          </w:p>
        </w:tc>
        <w:tc>
          <w:tcPr>
            <w:tcW w:type="dxa" w:w="972"/>
          </w:tcPr>
          <w:p>
            <w:pPr>
              <w:spacing w:before="20" w:after="20"/>
              <w:jc w:val="center"/>
            </w:pPr>
            <w:r/>
            <w:r>
              <w:rPr>
                <w:rFonts w:ascii="Arial" w:hAnsi="Arial"/>
                <w:b w:val="0"/>
                <w:i w:val="0"/>
                <w:sz w:val="16"/>
              </w:rPr>
              <w:t>APP-05</w:t>
            </w:r>
          </w:p>
        </w:tc>
        <w:tc>
          <w:tcPr>
            <w:tcW w:type="dxa" w:w="1943"/>
          </w:tcPr>
          <w:p>
            <w:pPr>
              <w:spacing w:before="20" w:after="20"/>
            </w:pPr>
            <w:r/>
            <w:r>
              <w:rPr>
                <w:rFonts w:ascii="Arial" w:hAnsi="Arial"/>
                <w:b w:val="0"/>
                <w:i w:val="0"/>
                <w:sz w:val="15"/>
              </w:rPr>
              <w:t>Applicability &amp; Role Determination</w:t>
            </w:r>
          </w:p>
        </w:tc>
        <w:tc>
          <w:tcPr>
            <w:tcW w:type="dxa" w:w="3400"/>
          </w:tcPr>
          <w:p>
            <w:pPr>
              <w:spacing w:before="20" w:after="20"/>
            </w:pPr>
            <w:r/>
            <w:r>
              <w:rPr>
                <w:rFonts w:ascii="Times New Roman" w:hAnsi="Times New Roman"/>
                <w:b w:val="0"/>
                <w:i w:val="0"/>
                <w:sz w:val="15"/>
              </w:rPr>
              <w:t>The compliance plan carries a single milestone described as 'DPDP readiness' with no linkage to the commencement of individual provisions or to the phasing of the Rules. Management could not demonstrate a mechanism for tracking notifications, so a provision coming into force would not automatically trigger a change in the plan.</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s.1(2),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G015</w:t>
            </w:r>
          </w:p>
        </w:tc>
        <w:tc>
          <w:tcPr>
            <w:tcW w:type="dxa" w:w="972"/>
          </w:tcPr>
          <w:p>
            <w:pPr>
              <w:spacing w:before="20" w:after="20"/>
              <w:jc w:val="center"/>
            </w:pPr>
            <w:r/>
            <w:r>
              <w:rPr>
                <w:rFonts w:ascii="Arial" w:hAnsi="Arial"/>
                <w:b w:val="0"/>
                <w:i w:val="0"/>
                <w:sz w:val="16"/>
              </w:rPr>
              <w:t>CHD-05</w:t>
            </w:r>
          </w:p>
        </w:tc>
        <w:tc>
          <w:tcPr>
            <w:tcW w:type="dxa" w:w="1943"/>
          </w:tcPr>
          <w:p>
            <w:pPr>
              <w:spacing w:before="20" w:after="20"/>
            </w:pPr>
            <w:r/>
            <w:r>
              <w:rPr>
                <w:rFonts w:ascii="Arial" w:hAnsi="Arial"/>
                <w:b w:val="0"/>
                <w:i w:val="0"/>
                <w:sz w:val="15"/>
              </w:rPr>
              <w:t>Children &amp; Persons with Disability</w:t>
            </w:r>
          </w:p>
        </w:tc>
        <w:tc>
          <w:tcPr>
            <w:tcW w:type="dxa" w:w="3400"/>
          </w:tcPr>
          <w:p>
            <w:pPr>
              <w:spacing w:before="20" w:after="20"/>
            </w:pPr>
            <w:r/>
            <w:r>
              <w:rPr>
                <w:rFonts w:ascii="Times New Roman" w:hAnsi="Times New Roman"/>
                <w:b w:val="0"/>
                <w:i w:val="0"/>
                <w:sz w:val="15"/>
              </w:rPr>
              <w:t>Persons with disability having a lawful guardian are not identified and there is no mechanism for a guardian to act on their behalf. Support agents described handling such cases informally by accepting instructions from family members, which is both an unaddressed obligation and an impersonation risk.</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s.9(1), DPDP Act, 2023</w:t>
            </w:r>
          </w:p>
        </w:tc>
        <w:tc>
          <w:tcPr>
            <w:tcW w:type="dxa" w:w="2064"/>
          </w:tcPr>
          <w:p>
            <w:pPr>
              <w:spacing w:before="20" w:after="20"/>
            </w:pPr>
            <w:r/>
            <w:r>
              <w:rPr>
                <w:rFonts w:ascii="Arial" w:hAnsi="Arial"/>
                <w:b w:val="0"/>
                <w:i w:val="0"/>
                <w:sz w:val="14"/>
              </w:rPr>
              <w:t>Anita Desai, Head of Customer Experience</w:t>
            </w:r>
          </w:p>
        </w:tc>
      </w:tr>
      <w:tr>
        <w:trPr>
          <w:cantSplit/>
        </w:trPr>
        <w:tc>
          <w:tcPr>
            <w:tcW w:type="dxa" w:w="850"/>
          </w:tcPr>
          <w:p>
            <w:pPr>
              <w:spacing w:before="20" w:after="20"/>
              <w:jc w:val="center"/>
            </w:pPr>
            <w:r/>
            <w:r>
              <w:rPr>
                <w:rFonts w:ascii="Arial" w:hAnsi="Arial"/>
                <w:b/>
                <w:i w:val="0"/>
                <w:sz w:val="16"/>
              </w:rPr>
              <w:t>G016</w:t>
            </w:r>
          </w:p>
        </w:tc>
        <w:tc>
          <w:tcPr>
            <w:tcW w:type="dxa" w:w="972"/>
          </w:tcPr>
          <w:p>
            <w:pPr>
              <w:spacing w:before="20" w:after="20"/>
              <w:jc w:val="center"/>
            </w:pPr>
            <w:r/>
            <w:r>
              <w:rPr>
                <w:rFonts w:ascii="Arial" w:hAnsi="Arial"/>
                <w:b w:val="0"/>
                <w:i w:val="0"/>
                <w:sz w:val="16"/>
              </w:rPr>
              <w:t>CON-08</w:t>
            </w:r>
          </w:p>
        </w:tc>
        <w:tc>
          <w:tcPr>
            <w:tcW w:type="dxa" w:w="1943"/>
          </w:tcPr>
          <w:p>
            <w:pPr>
              <w:spacing w:before="20" w:after="20"/>
            </w:pPr>
            <w:r/>
            <w:r>
              <w:rPr>
                <w:rFonts w:ascii="Arial" w:hAnsi="Arial"/>
                <w:b w:val="0"/>
                <w:i w:val="0"/>
                <w:sz w:val="15"/>
              </w:rPr>
              <w:t>Consent</w:t>
            </w:r>
          </w:p>
        </w:tc>
        <w:tc>
          <w:tcPr>
            <w:tcW w:type="dxa" w:w="3400"/>
          </w:tcPr>
          <w:p>
            <w:pPr>
              <w:spacing w:before="20" w:after="20"/>
            </w:pPr>
            <w:r/>
            <w:r>
              <w:rPr>
                <w:rFonts w:ascii="Times New Roman" w:hAnsi="Times New Roman"/>
                <w:b w:val="0"/>
                <w:i w:val="0"/>
                <w:sz w:val="15"/>
              </w:rPr>
              <w:t>Purposes were extended twice in the period — advertising segments in September 2025 and the churn model in January 2026 — without a fresh notice or fresh consent. Existing consent was treated as covering the new purposes on the basis of the general 'improve our services' wording.</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s.5(1), s.6(1),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G017</w:t>
            </w:r>
          </w:p>
        </w:tc>
        <w:tc>
          <w:tcPr>
            <w:tcW w:type="dxa" w:w="972"/>
          </w:tcPr>
          <w:p>
            <w:pPr>
              <w:spacing w:before="20" w:after="20"/>
              <w:jc w:val="center"/>
            </w:pPr>
            <w:r/>
            <w:r>
              <w:rPr>
                <w:rFonts w:ascii="Arial" w:hAnsi="Arial"/>
                <w:b w:val="0"/>
                <w:i w:val="0"/>
                <w:sz w:val="16"/>
              </w:rPr>
              <w:t>GRV-02</w:t>
            </w:r>
          </w:p>
        </w:tc>
        <w:tc>
          <w:tcPr>
            <w:tcW w:type="dxa" w:w="1943"/>
          </w:tcPr>
          <w:p>
            <w:pPr>
              <w:spacing w:before="20" w:after="20"/>
            </w:pPr>
            <w:r/>
            <w:r>
              <w:rPr>
                <w:rFonts w:ascii="Arial" w:hAnsi="Arial"/>
                <w:b w:val="0"/>
                <w:i w:val="0"/>
                <w:sz w:val="15"/>
              </w:rPr>
              <w:t>Grievance Redressal</w:t>
            </w:r>
          </w:p>
        </w:tc>
        <w:tc>
          <w:tcPr>
            <w:tcW w:type="dxa" w:w="3400"/>
          </w:tcPr>
          <w:p>
            <w:pPr>
              <w:spacing w:before="20" w:after="20"/>
            </w:pPr>
            <w:r/>
            <w:r>
              <w:rPr>
                <w:rFonts w:ascii="Times New Roman" w:hAnsi="Times New Roman"/>
                <w:b w:val="0"/>
                <w:i w:val="0"/>
                <w:sz w:val="15"/>
              </w:rPr>
              <w:t>Response times are not measured against any prescribed period because the period has not been identified and no clock is started. Sampling of 15 privacy-related tickets found a median first substantive response of 11 days and a longest of 42 days.</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s.13(1), s.13(2), DPDP Act, 2023</w:t>
            </w:r>
          </w:p>
        </w:tc>
        <w:tc>
          <w:tcPr>
            <w:tcW w:type="dxa" w:w="2064"/>
          </w:tcPr>
          <w:p>
            <w:pPr>
              <w:spacing w:before="20" w:after="20"/>
            </w:pPr>
            <w:r/>
            <w:r>
              <w:rPr>
                <w:rFonts w:ascii="Arial" w:hAnsi="Arial"/>
                <w:b w:val="0"/>
                <w:i w:val="0"/>
                <w:sz w:val="14"/>
              </w:rPr>
              <w:t>Anita Desai, Head of Customer Experience</w:t>
            </w:r>
          </w:p>
        </w:tc>
      </w:tr>
      <w:tr>
        <w:trPr>
          <w:cantSplit/>
        </w:trPr>
        <w:tc>
          <w:tcPr>
            <w:tcW w:type="dxa" w:w="850"/>
          </w:tcPr>
          <w:p>
            <w:pPr>
              <w:spacing w:before="20" w:after="20"/>
              <w:jc w:val="center"/>
            </w:pPr>
            <w:r/>
            <w:r>
              <w:rPr>
                <w:rFonts w:ascii="Arial" w:hAnsi="Arial"/>
                <w:b/>
                <w:i w:val="0"/>
                <w:sz w:val="16"/>
              </w:rPr>
              <w:t>G018</w:t>
            </w:r>
          </w:p>
        </w:tc>
        <w:tc>
          <w:tcPr>
            <w:tcW w:type="dxa" w:w="972"/>
          </w:tcPr>
          <w:p>
            <w:pPr>
              <w:spacing w:before="20" w:after="20"/>
              <w:jc w:val="center"/>
            </w:pPr>
            <w:r/>
            <w:r>
              <w:rPr>
                <w:rFonts w:ascii="Arial" w:hAnsi="Arial"/>
                <w:b w:val="0"/>
                <w:i w:val="0"/>
                <w:sz w:val="16"/>
              </w:rPr>
              <w:t>PUR-03</w:t>
            </w:r>
          </w:p>
        </w:tc>
        <w:tc>
          <w:tcPr>
            <w:tcW w:type="dxa" w:w="1943"/>
          </w:tcPr>
          <w:p>
            <w:pPr>
              <w:spacing w:before="20" w:after="20"/>
            </w:pPr>
            <w:r/>
            <w:r>
              <w:rPr>
                <w:rFonts w:ascii="Arial" w:hAnsi="Arial"/>
                <w:b w:val="0"/>
                <w:i w:val="0"/>
                <w:sz w:val="15"/>
              </w:rPr>
              <w:t>Lawful Purpose, Minimisation &amp; Accuracy</w:t>
            </w:r>
          </w:p>
        </w:tc>
        <w:tc>
          <w:tcPr>
            <w:tcW w:type="dxa" w:w="3400"/>
          </w:tcPr>
          <w:p>
            <w:pPr>
              <w:spacing w:before="20" w:after="20"/>
            </w:pPr>
            <w:r/>
            <w:r>
              <w:rPr>
                <w:rFonts w:ascii="Times New Roman" w:hAnsi="Times New Roman"/>
                <w:b w:val="0"/>
                <w:i w:val="0"/>
                <w:sz w:val="15"/>
              </w:rPr>
              <w:t>Transaction data collected for payments processing is used to build propensity segments that are pushed to Meta and Google for acquisition campaigns. The notice presented at registration does not disclose advertising as a purpose. This is undisclosed secondary use of data obtained for a different specified purpose.</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s.4(1), s.5(1), s.6(1),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G019</w:t>
            </w:r>
          </w:p>
        </w:tc>
        <w:tc>
          <w:tcPr>
            <w:tcW w:type="dxa" w:w="972"/>
          </w:tcPr>
          <w:p>
            <w:pPr>
              <w:spacing w:before="20" w:after="20"/>
              <w:jc w:val="center"/>
            </w:pPr>
            <w:r/>
            <w:r>
              <w:rPr>
                <w:rFonts w:ascii="Arial" w:hAnsi="Arial"/>
                <w:b w:val="0"/>
                <w:i w:val="0"/>
                <w:sz w:val="16"/>
              </w:rPr>
              <w:t>RGT-03</w:t>
            </w:r>
          </w:p>
        </w:tc>
        <w:tc>
          <w:tcPr>
            <w:tcW w:type="dxa" w:w="1943"/>
          </w:tcPr>
          <w:p>
            <w:pPr>
              <w:spacing w:before="20" w:after="20"/>
            </w:pPr>
            <w:r/>
            <w:r>
              <w:rPr>
                <w:rFonts w:ascii="Arial" w:hAnsi="Arial"/>
                <w:b w:val="0"/>
                <w:i w:val="0"/>
                <w:sz w:val="15"/>
              </w:rPr>
              <w:t>Data Principal Rights</w:t>
            </w:r>
          </w:p>
        </w:tc>
        <w:tc>
          <w:tcPr>
            <w:tcW w:type="dxa" w:w="3400"/>
          </w:tcPr>
          <w:p>
            <w:pPr>
              <w:spacing w:before="20" w:after="20"/>
            </w:pPr>
            <w:r/>
            <w:r>
              <w:rPr>
                <w:rFonts w:ascii="Times New Roman" w:hAnsi="Times New Roman"/>
                <w:b w:val="0"/>
                <w:i w:val="0"/>
                <w:sz w:val="15"/>
              </w:rPr>
              <w:t>Erasure requests are accepted but cannot be fulfilled beyond the CRM, for the reasons at RET-03. Three of the three erasure requests received were closed as completed on the basis of CRM anonymisation alone, which overstates what was done and creates a misleading record.</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s.12(3), DPDP Act, 2023</w:t>
            </w:r>
          </w:p>
        </w:tc>
        <w:tc>
          <w:tcPr>
            <w:tcW w:type="dxa" w:w="2064"/>
          </w:tcPr>
          <w:p>
            <w:pPr>
              <w:spacing w:before="20" w:after="20"/>
            </w:pPr>
            <w:r/>
            <w:r>
              <w:rPr>
                <w:rFonts w:ascii="Arial" w:hAnsi="Arial"/>
                <w:b w:val="0"/>
                <w:i w:val="0"/>
                <w:sz w:val="14"/>
              </w:rPr>
              <w:t>Anita Desai, Head of Customer Experience</w:t>
            </w:r>
          </w:p>
        </w:tc>
      </w:tr>
      <w:tr>
        <w:trPr>
          <w:cantSplit/>
        </w:trPr>
        <w:tc>
          <w:tcPr>
            <w:tcW w:type="dxa" w:w="850"/>
          </w:tcPr>
          <w:p>
            <w:pPr>
              <w:spacing w:before="20" w:after="20"/>
              <w:jc w:val="center"/>
            </w:pPr>
            <w:r/>
            <w:r>
              <w:rPr>
                <w:rFonts w:ascii="Arial" w:hAnsi="Arial"/>
                <w:b/>
                <w:i w:val="0"/>
                <w:sz w:val="16"/>
              </w:rPr>
              <w:t>G020</w:t>
            </w:r>
          </w:p>
        </w:tc>
        <w:tc>
          <w:tcPr>
            <w:tcW w:type="dxa" w:w="972"/>
          </w:tcPr>
          <w:p>
            <w:pPr>
              <w:spacing w:before="20" w:after="20"/>
              <w:jc w:val="center"/>
            </w:pPr>
            <w:r/>
            <w:r>
              <w:rPr>
                <w:rFonts w:ascii="Arial" w:hAnsi="Arial"/>
                <w:b w:val="0"/>
                <w:i w:val="0"/>
                <w:sz w:val="16"/>
              </w:rPr>
              <w:t>SDF-04</w:t>
            </w:r>
          </w:p>
        </w:tc>
        <w:tc>
          <w:tcPr>
            <w:tcW w:type="dxa" w:w="1943"/>
          </w:tcPr>
          <w:p>
            <w:pPr>
              <w:spacing w:before="20" w:after="20"/>
            </w:pPr>
            <w:r/>
            <w:r>
              <w:rPr>
                <w:rFonts w:ascii="Arial" w:hAnsi="Arial"/>
                <w:b w:val="0"/>
                <w:i w:val="0"/>
                <w:sz w:val="15"/>
              </w:rPr>
              <w:t>Significant Data Fiduciary Obligations</w:t>
            </w:r>
          </w:p>
        </w:tc>
        <w:tc>
          <w:tcPr>
            <w:tcW w:type="dxa" w:w="3400"/>
          </w:tcPr>
          <w:p>
            <w:pPr>
              <w:spacing w:before="20" w:after="20"/>
            </w:pPr>
            <w:r/>
            <w:r>
              <w:rPr>
                <w:rFonts w:ascii="Times New Roman" w:hAnsi="Times New Roman"/>
                <w:b w:val="0"/>
                <w:i w:val="0"/>
                <w:sz w:val="15"/>
              </w:rPr>
              <w:t>No periodic audit of compliance with the Act has been undertaken. This assessment is the first exercise of its kind and was commissioned by management rather than performed by an independent auditor, so it does not itself discharge the obligation.</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s.10(2)(c), DPDP Act, 2023</w:t>
            </w:r>
          </w:p>
        </w:tc>
        <w:tc>
          <w:tcPr>
            <w:tcW w:type="dxa" w:w="2064"/>
          </w:tcPr>
          <w:p>
            <w:pPr>
              <w:spacing w:before="20" w:after="20"/>
            </w:pPr>
            <w:r/>
            <w:r>
              <w:rPr>
                <w:rFonts w:ascii="Arial" w:hAnsi="Arial"/>
                <w:b w:val="0"/>
                <w:i w:val="0"/>
                <w:sz w:val="14"/>
              </w:rPr>
              <w:t>Vikram Shetty, Chief Financial Officer</w:t>
            </w:r>
          </w:p>
        </w:tc>
      </w:tr>
      <w:tr>
        <w:trPr>
          <w:cantSplit/>
        </w:trPr>
        <w:tc>
          <w:tcPr>
            <w:tcW w:type="dxa" w:w="850"/>
          </w:tcPr>
          <w:p>
            <w:pPr>
              <w:spacing w:before="20" w:after="20"/>
              <w:jc w:val="center"/>
            </w:pPr>
            <w:r/>
            <w:r>
              <w:rPr>
                <w:rFonts w:ascii="Arial" w:hAnsi="Arial"/>
                <w:b/>
                <w:i w:val="0"/>
                <w:sz w:val="16"/>
              </w:rPr>
              <w:t>G021</w:t>
            </w:r>
          </w:p>
        </w:tc>
        <w:tc>
          <w:tcPr>
            <w:tcW w:type="dxa" w:w="972"/>
          </w:tcPr>
          <w:p>
            <w:pPr>
              <w:spacing w:before="20" w:after="20"/>
              <w:jc w:val="center"/>
            </w:pPr>
            <w:r/>
            <w:r>
              <w:rPr>
                <w:rFonts w:ascii="Arial" w:hAnsi="Arial"/>
                <w:b w:val="0"/>
                <w:i w:val="0"/>
                <w:sz w:val="16"/>
              </w:rPr>
              <w:t>SDF-05</w:t>
            </w:r>
          </w:p>
        </w:tc>
        <w:tc>
          <w:tcPr>
            <w:tcW w:type="dxa" w:w="1943"/>
          </w:tcPr>
          <w:p>
            <w:pPr>
              <w:spacing w:before="20" w:after="20"/>
            </w:pPr>
            <w:r/>
            <w:r>
              <w:rPr>
                <w:rFonts w:ascii="Arial" w:hAnsi="Arial"/>
                <w:b w:val="0"/>
                <w:i w:val="0"/>
                <w:sz w:val="15"/>
              </w:rPr>
              <w:t>Significant Data Fiduciary Obligations</w:t>
            </w:r>
          </w:p>
        </w:tc>
        <w:tc>
          <w:tcPr>
            <w:tcW w:type="dxa" w:w="3400"/>
          </w:tcPr>
          <w:p>
            <w:pPr>
              <w:spacing w:before="20" w:after="20"/>
            </w:pPr>
            <w:r/>
            <w:r>
              <w:rPr>
                <w:rFonts w:ascii="Times New Roman" w:hAnsi="Times New Roman"/>
                <w:b w:val="0"/>
                <w:i w:val="0"/>
                <w:sz w:val="15"/>
              </w:rPr>
              <w:t>Algorithmic due diligence is not performed. Three models act on personal data with direct consequences for Data Principals — underwriting, collections prioritisation and churn prediction — and none has been assessed for risk to the rights of Data Principals. The underwriting model has documented fairness testing performed for RBI purposes, which is the nearest available evidence but is directed at a different question.</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2D0"/>
          </w:tcPr>
          <w:p>
            <w:pPr>
              <w:spacing w:before="20" w:after="20"/>
              <w:jc w:val="center"/>
            </w:pPr>
            <w:r/>
            <w:r>
              <w:rPr>
                <w:rFonts w:ascii="Arial" w:hAnsi="Arial"/>
                <w:b/>
                <w:i w:val="0"/>
                <w:sz w:val="17"/>
              </w:rPr>
              <w:t>9</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s.10(2)(c),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G022</w:t>
            </w:r>
          </w:p>
        </w:tc>
        <w:tc>
          <w:tcPr>
            <w:tcW w:type="dxa" w:w="972"/>
          </w:tcPr>
          <w:p>
            <w:pPr>
              <w:spacing w:before="20" w:after="20"/>
              <w:jc w:val="center"/>
            </w:pPr>
            <w:r/>
            <w:r>
              <w:rPr>
                <w:rFonts w:ascii="Arial" w:hAnsi="Arial"/>
                <w:b w:val="0"/>
                <w:i w:val="0"/>
                <w:sz w:val="16"/>
              </w:rPr>
              <w:t>APP-02</w:t>
            </w:r>
          </w:p>
        </w:tc>
        <w:tc>
          <w:tcPr>
            <w:tcW w:type="dxa" w:w="1943"/>
          </w:tcPr>
          <w:p>
            <w:pPr>
              <w:spacing w:before="20" w:after="20"/>
            </w:pPr>
            <w:r/>
            <w:r>
              <w:rPr>
                <w:rFonts w:ascii="Arial" w:hAnsi="Arial"/>
                <w:b w:val="0"/>
                <w:i w:val="0"/>
                <w:sz w:val="15"/>
              </w:rPr>
              <w:t>Applicability &amp; Role Determination</w:t>
            </w:r>
          </w:p>
        </w:tc>
        <w:tc>
          <w:tcPr>
            <w:tcW w:type="dxa" w:w="3400"/>
          </w:tcPr>
          <w:p>
            <w:pPr>
              <w:spacing w:before="20" w:after="20"/>
            </w:pPr>
            <w:r/>
            <w:r>
              <w:rPr>
                <w:rFonts w:ascii="Times New Roman" w:hAnsi="Times New Roman"/>
                <w:b w:val="0"/>
                <w:i w:val="0"/>
                <w:sz w:val="15"/>
              </w:rPr>
              <w:t>Role determination has been performed for the co-lending arrangements and for the KYC vendors, but not for the marketing stack. CleverTap and the Meta Custom Audiences integration are treated as processors in the vendor register while the contractual terms and the practical control over onward use point to an independent fiduciary role for the advertising platforms.</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s.2(i), s.2(k), s.2(j),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G023</w:t>
            </w:r>
          </w:p>
        </w:tc>
        <w:tc>
          <w:tcPr>
            <w:tcW w:type="dxa" w:w="972"/>
          </w:tcPr>
          <w:p>
            <w:pPr>
              <w:spacing w:before="20" w:after="20"/>
              <w:jc w:val="center"/>
            </w:pPr>
            <w:r/>
            <w:r>
              <w:rPr>
                <w:rFonts w:ascii="Arial" w:hAnsi="Arial"/>
                <w:b w:val="0"/>
                <w:i w:val="0"/>
                <w:sz w:val="16"/>
              </w:rPr>
              <w:t>BRC-03</w:t>
            </w:r>
          </w:p>
        </w:tc>
        <w:tc>
          <w:tcPr>
            <w:tcW w:type="dxa" w:w="1943"/>
          </w:tcPr>
          <w:p>
            <w:pPr>
              <w:spacing w:before="20" w:after="20"/>
            </w:pPr>
            <w:r/>
            <w:r>
              <w:rPr>
                <w:rFonts w:ascii="Arial" w:hAnsi="Arial"/>
                <w:b w:val="0"/>
                <w:i w:val="0"/>
                <w:sz w:val="15"/>
              </w:rPr>
              <w:t>Personal Data Breach Notification</w:t>
            </w:r>
          </w:p>
        </w:tc>
        <w:tc>
          <w:tcPr>
            <w:tcW w:type="dxa" w:w="3400"/>
          </w:tcPr>
          <w:p>
            <w:pPr>
              <w:spacing w:before="20" w:after="20"/>
            </w:pPr>
            <w:r/>
            <w:r>
              <w:rPr>
                <w:rFonts w:ascii="Times New Roman" w:hAnsi="Times New Roman"/>
                <w:b w:val="0"/>
                <w:i w:val="0"/>
                <w:sz w:val="15"/>
              </w:rPr>
              <w:t>The procedure requires intimation to the Board but names neither the form nor the period, both of which are left as 'per applicable law'. Neither of the two incidents in the period was assessed for reportability, and no intimation has ever been prepared or rehearsed. Given that s.8(6) carries the second highest penalty in the Schedule, the absence of an operable mechanism is a material exposure.</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s.8(6),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G024</w:t>
            </w:r>
          </w:p>
        </w:tc>
        <w:tc>
          <w:tcPr>
            <w:tcW w:type="dxa" w:w="972"/>
          </w:tcPr>
          <w:p>
            <w:pPr>
              <w:spacing w:before="20" w:after="20"/>
              <w:jc w:val="center"/>
            </w:pPr>
            <w:r/>
            <w:r>
              <w:rPr>
                <w:rFonts w:ascii="Arial" w:hAnsi="Arial"/>
                <w:b w:val="0"/>
                <w:i w:val="0"/>
                <w:sz w:val="16"/>
              </w:rPr>
              <w:t>BRC-04</w:t>
            </w:r>
          </w:p>
        </w:tc>
        <w:tc>
          <w:tcPr>
            <w:tcW w:type="dxa" w:w="1943"/>
          </w:tcPr>
          <w:p>
            <w:pPr>
              <w:spacing w:before="20" w:after="20"/>
            </w:pPr>
            <w:r/>
            <w:r>
              <w:rPr>
                <w:rFonts w:ascii="Arial" w:hAnsi="Arial"/>
                <w:b w:val="0"/>
                <w:i w:val="0"/>
                <w:sz w:val="15"/>
              </w:rPr>
              <w:t>Personal Data Breach Notification</w:t>
            </w:r>
          </w:p>
        </w:tc>
        <w:tc>
          <w:tcPr>
            <w:tcW w:type="dxa" w:w="3400"/>
          </w:tcPr>
          <w:p>
            <w:pPr>
              <w:spacing w:before="20" w:after="20"/>
            </w:pPr>
            <w:r/>
            <w:r>
              <w:rPr>
                <w:rFonts w:ascii="Times New Roman" w:hAnsi="Times New Roman"/>
                <w:b w:val="0"/>
                <w:i w:val="0"/>
                <w:sz w:val="15"/>
              </w:rPr>
              <w:t>There is no template, channel or owner for intimation to affected Data Principals. The one incident in the period that affected identifiable individuals — 3,400 loan applicants whose data was exposed through a misconfigured partner API — was handled by customer service on a reactive basis, with no proactive intimation and no record of who was told what.</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s.8(6), DPDP Act, 2023</w:t>
            </w:r>
          </w:p>
        </w:tc>
        <w:tc>
          <w:tcPr>
            <w:tcW w:type="dxa" w:w="2064"/>
          </w:tcPr>
          <w:p>
            <w:pPr>
              <w:spacing w:before="20" w:after="20"/>
            </w:pPr>
            <w:r/>
            <w:r>
              <w:rPr>
                <w:rFonts w:ascii="Arial" w:hAnsi="Arial"/>
                <w:b w:val="0"/>
                <w:i w:val="0"/>
                <w:sz w:val="14"/>
              </w:rPr>
              <w:t>Anita Desai, Head of Customer Experience</w:t>
            </w:r>
          </w:p>
        </w:tc>
      </w:tr>
      <w:tr>
        <w:trPr>
          <w:cantSplit/>
        </w:trPr>
        <w:tc>
          <w:tcPr>
            <w:tcW w:type="dxa" w:w="850"/>
          </w:tcPr>
          <w:p>
            <w:pPr>
              <w:spacing w:before="20" w:after="20"/>
              <w:jc w:val="center"/>
            </w:pPr>
            <w:r/>
            <w:r>
              <w:rPr>
                <w:rFonts w:ascii="Arial" w:hAnsi="Arial"/>
                <w:b/>
                <w:i w:val="0"/>
                <w:sz w:val="16"/>
              </w:rPr>
              <w:t>G025</w:t>
            </w:r>
          </w:p>
        </w:tc>
        <w:tc>
          <w:tcPr>
            <w:tcW w:type="dxa" w:w="972"/>
          </w:tcPr>
          <w:p>
            <w:pPr>
              <w:spacing w:before="20" w:after="20"/>
              <w:jc w:val="center"/>
            </w:pPr>
            <w:r/>
            <w:r>
              <w:rPr>
                <w:rFonts w:ascii="Arial" w:hAnsi="Arial"/>
                <w:b w:val="0"/>
                <w:i w:val="0"/>
                <w:sz w:val="16"/>
              </w:rPr>
              <w:t>CHD-01</w:t>
            </w:r>
          </w:p>
        </w:tc>
        <w:tc>
          <w:tcPr>
            <w:tcW w:type="dxa" w:w="1943"/>
          </w:tcPr>
          <w:p>
            <w:pPr>
              <w:spacing w:before="20" w:after="20"/>
            </w:pPr>
            <w:r/>
            <w:r>
              <w:rPr>
                <w:rFonts w:ascii="Arial" w:hAnsi="Arial"/>
                <w:b w:val="0"/>
                <w:i w:val="0"/>
                <w:sz w:val="15"/>
              </w:rPr>
              <w:t>Children &amp; Persons with Disability</w:t>
            </w:r>
          </w:p>
        </w:tc>
        <w:tc>
          <w:tcPr>
            <w:tcW w:type="dxa" w:w="3400"/>
          </w:tcPr>
          <w:p>
            <w:pPr>
              <w:spacing w:before="20" w:after="20"/>
            </w:pPr>
            <w:r/>
            <w:r>
              <w:rPr>
                <w:rFonts w:ascii="Times New Roman" w:hAnsi="Times New Roman"/>
                <w:b w:val="0"/>
                <w:i w:val="0"/>
                <w:sz w:val="15"/>
              </w:rPr>
              <w:t>Kavach Junior collects date of birth and is designed for 13-17 year olds, so child users are identified within that product. The main KavachPay application relies on a self-declared 18-plus checkbox with no verification, and analysis of KYC data during this assessment identified 1,847 accounts whose bureau or document date of birth indicates the holder is under 18.</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s.2(f), s.9(1),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G026</w:t>
            </w:r>
          </w:p>
        </w:tc>
        <w:tc>
          <w:tcPr>
            <w:tcW w:type="dxa" w:w="972"/>
          </w:tcPr>
          <w:p>
            <w:pPr>
              <w:spacing w:before="20" w:after="20"/>
              <w:jc w:val="center"/>
            </w:pPr>
            <w:r/>
            <w:r>
              <w:rPr>
                <w:rFonts w:ascii="Arial" w:hAnsi="Arial"/>
                <w:b w:val="0"/>
                <w:i w:val="0"/>
                <w:sz w:val="16"/>
              </w:rPr>
              <w:t>CHD-02</w:t>
            </w:r>
          </w:p>
        </w:tc>
        <w:tc>
          <w:tcPr>
            <w:tcW w:type="dxa" w:w="1943"/>
          </w:tcPr>
          <w:p>
            <w:pPr>
              <w:spacing w:before="20" w:after="20"/>
            </w:pPr>
            <w:r/>
            <w:r>
              <w:rPr>
                <w:rFonts w:ascii="Arial" w:hAnsi="Arial"/>
                <w:b w:val="0"/>
                <w:i w:val="0"/>
                <w:sz w:val="15"/>
              </w:rPr>
              <w:t>Children &amp; Persons with Disability</w:t>
            </w:r>
          </w:p>
        </w:tc>
        <w:tc>
          <w:tcPr>
            <w:tcW w:type="dxa" w:w="3400"/>
          </w:tcPr>
          <w:p>
            <w:pPr>
              <w:spacing w:before="20" w:after="20"/>
            </w:pPr>
            <w:r/>
            <w:r>
              <w:rPr>
                <w:rFonts w:ascii="Times New Roman" w:hAnsi="Times New Roman"/>
                <w:b w:val="0"/>
                <w:i w:val="0"/>
                <w:sz w:val="15"/>
              </w:rPr>
              <w:t>The Kavach Junior journey requires the parent to initiate the account from their own authenticated, KYC-verified session, which is a reasonable foundation. The relationship between parent and child is self-declared and unverified, and the consent captured from the parent is the same bundled consent described at CON-01 rather than a consent directed at the child's data.</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s.9(1),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G027</w:t>
            </w:r>
          </w:p>
        </w:tc>
        <w:tc>
          <w:tcPr>
            <w:tcW w:type="dxa" w:w="972"/>
          </w:tcPr>
          <w:p>
            <w:pPr>
              <w:spacing w:before="20" w:after="20"/>
              <w:jc w:val="center"/>
            </w:pPr>
            <w:r/>
            <w:r>
              <w:rPr>
                <w:rFonts w:ascii="Arial" w:hAnsi="Arial"/>
                <w:b w:val="0"/>
                <w:i w:val="0"/>
                <w:sz w:val="16"/>
              </w:rPr>
              <w:t>CON-01</w:t>
            </w:r>
          </w:p>
        </w:tc>
        <w:tc>
          <w:tcPr>
            <w:tcW w:type="dxa" w:w="1943"/>
          </w:tcPr>
          <w:p>
            <w:pPr>
              <w:spacing w:before="20" w:after="20"/>
            </w:pPr>
            <w:r/>
            <w:r>
              <w:rPr>
                <w:rFonts w:ascii="Arial" w:hAnsi="Arial"/>
                <w:b w:val="0"/>
                <w:i w:val="0"/>
                <w:sz w:val="15"/>
              </w:rPr>
              <w:t>Consent</w:t>
            </w:r>
          </w:p>
        </w:tc>
        <w:tc>
          <w:tcPr>
            <w:tcW w:type="dxa" w:w="3400"/>
          </w:tcPr>
          <w:p>
            <w:pPr>
              <w:spacing w:before="20" w:after="20"/>
            </w:pPr>
            <w:r/>
            <w:r>
              <w:rPr>
                <w:rFonts w:ascii="Times New Roman" w:hAnsi="Times New Roman"/>
                <w:b w:val="0"/>
                <w:i w:val="0"/>
                <w:sz w:val="15"/>
              </w:rPr>
              <w:t>Consent is captured through a single checkbox covering the privacy policy, terms of service, marketing communications and credit bureau enquiry. It is therefore neither specific nor unconditional: a Data Principal cannot accept the service without also accepting marketing. Purpose-level granularity exists in the data model but is not exposed in the interface.</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s.6(1),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G028</w:t>
            </w:r>
          </w:p>
        </w:tc>
        <w:tc>
          <w:tcPr>
            <w:tcW w:type="dxa" w:w="972"/>
          </w:tcPr>
          <w:p>
            <w:pPr>
              <w:spacing w:before="20" w:after="20"/>
              <w:jc w:val="center"/>
            </w:pPr>
            <w:r/>
            <w:r>
              <w:rPr>
                <w:rFonts w:ascii="Arial" w:hAnsi="Arial"/>
                <w:b w:val="0"/>
                <w:i w:val="0"/>
                <w:sz w:val="16"/>
              </w:rPr>
              <w:t>CON-02</w:t>
            </w:r>
          </w:p>
        </w:tc>
        <w:tc>
          <w:tcPr>
            <w:tcW w:type="dxa" w:w="1943"/>
          </w:tcPr>
          <w:p>
            <w:pPr>
              <w:spacing w:before="20" w:after="20"/>
            </w:pPr>
            <w:r/>
            <w:r>
              <w:rPr>
                <w:rFonts w:ascii="Arial" w:hAnsi="Arial"/>
                <w:b w:val="0"/>
                <w:i w:val="0"/>
                <w:sz w:val="15"/>
              </w:rPr>
              <w:t>Consent</w:t>
            </w:r>
          </w:p>
        </w:tc>
        <w:tc>
          <w:tcPr>
            <w:tcW w:type="dxa" w:w="3400"/>
          </w:tcPr>
          <w:p>
            <w:pPr>
              <w:spacing w:before="20" w:after="20"/>
            </w:pPr>
            <w:r/>
            <w:r>
              <w:rPr>
                <w:rFonts w:ascii="Times New Roman" w:hAnsi="Times New Roman"/>
                <w:b w:val="0"/>
                <w:i w:val="0"/>
                <w:sz w:val="15"/>
              </w:rPr>
              <w:t>Registration for the payments-only product cannot be completed without consenting to the bureau enquiry, which is not necessary for that service. The lending journey, by contrast, is correctly scoped.</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s.6(1), s.6(2),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G029</w:t>
            </w:r>
          </w:p>
        </w:tc>
        <w:tc>
          <w:tcPr>
            <w:tcW w:type="dxa" w:w="972"/>
          </w:tcPr>
          <w:p>
            <w:pPr>
              <w:spacing w:before="20" w:after="20"/>
              <w:jc w:val="center"/>
            </w:pPr>
            <w:r/>
            <w:r>
              <w:rPr>
                <w:rFonts w:ascii="Arial" w:hAnsi="Arial"/>
                <w:b w:val="0"/>
                <w:i w:val="0"/>
                <w:sz w:val="16"/>
              </w:rPr>
              <w:t>GOV-01</w:t>
            </w:r>
          </w:p>
        </w:tc>
        <w:tc>
          <w:tcPr>
            <w:tcW w:type="dxa" w:w="1943"/>
          </w:tcPr>
          <w:p>
            <w:pPr>
              <w:spacing w:before="20" w:after="20"/>
            </w:pPr>
            <w:r/>
            <w:r>
              <w:rPr>
                <w:rFonts w:ascii="Arial" w:hAnsi="Arial"/>
                <w:b w:val="0"/>
                <w:i w:val="0"/>
                <w:sz w:val="15"/>
              </w:rPr>
              <w:t>Governance, Accountability &amp; Records</w:t>
            </w:r>
          </w:p>
        </w:tc>
        <w:tc>
          <w:tcPr>
            <w:tcW w:type="dxa" w:w="3400"/>
          </w:tcPr>
          <w:p>
            <w:pPr>
              <w:spacing w:before="20" w:after="20"/>
            </w:pPr>
            <w:r/>
            <w:r>
              <w:rPr>
                <w:rFonts w:ascii="Times New Roman" w:hAnsi="Times New Roman"/>
                <w:b w:val="0"/>
                <w:i w:val="0"/>
                <w:sz w:val="15"/>
              </w:rPr>
              <w:t>Accountability is asserted in the Information Privacy Policy v2.1 and the Head of Legal &amp; Compliance is named as owner. However the policy is silent on the entity's responsibility for processing carried out by processors on its behalf, and the collections subsidiary operates its own dialler and call recording estate without the parent's oversight of that processing.</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s.8(1),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G030</w:t>
            </w:r>
          </w:p>
        </w:tc>
        <w:tc>
          <w:tcPr>
            <w:tcW w:type="dxa" w:w="972"/>
          </w:tcPr>
          <w:p>
            <w:pPr>
              <w:spacing w:before="20" w:after="20"/>
              <w:jc w:val="center"/>
            </w:pPr>
            <w:r/>
            <w:r>
              <w:rPr>
                <w:rFonts w:ascii="Arial" w:hAnsi="Arial"/>
                <w:b w:val="0"/>
                <w:i w:val="0"/>
                <w:sz w:val="16"/>
              </w:rPr>
              <w:t>GOV-02</w:t>
            </w:r>
          </w:p>
        </w:tc>
        <w:tc>
          <w:tcPr>
            <w:tcW w:type="dxa" w:w="1943"/>
          </w:tcPr>
          <w:p>
            <w:pPr>
              <w:spacing w:before="20" w:after="20"/>
            </w:pPr>
            <w:r/>
            <w:r>
              <w:rPr>
                <w:rFonts w:ascii="Arial" w:hAnsi="Arial"/>
                <w:b w:val="0"/>
                <w:i w:val="0"/>
                <w:sz w:val="15"/>
              </w:rPr>
              <w:t>Governance, Accountability &amp; Records</w:t>
            </w:r>
          </w:p>
        </w:tc>
        <w:tc>
          <w:tcPr>
            <w:tcW w:type="dxa" w:w="3400"/>
          </w:tcPr>
          <w:p>
            <w:pPr>
              <w:spacing w:before="20" w:after="20"/>
            </w:pPr>
            <w:r/>
            <w:r>
              <w:rPr>
                <w:rFonts w:ascii="Times New Roman" w:hAnsi="Times New Roman"/>
                <w:b w:val="0"/>
                <w:i w:val="0"/>
                <w:sz w:val="15"/>
              </w:rPr>
              <w:t>A record of processing activities exists in a spreadsheet covering 61 activities, last updated November 2025. Walkthroughs identified four unrecorded processing activities: Kavach Junior parent supervision, the WhatsApp collections journey, the churn-prediction model in Kavach Analytics, and employee productivity monitoring in the collections function. The record does not capture retention period or recipient for 23 of the 61 entries.</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s.6(10), s.8(1), DPDP Act, 2023 (evidential requirement)</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G031</w:t>
            </w:r>
          </w:p>
        </w:tc>
        <w:tc>
          <w:tcPr>
            <w:tcW w:type="dxa" w:w="972"/>
          </w:tcPr>
          <w:p>
            <w:pPr>
              <w:spacing w:before="20" w:after="20"/>
              <w:jc w:val="center"/>
            </w:pPr>
            <w:r/>
            <w:r>
              <w:rPr>
                <w:rFonts w:ascii="Arial" w:hAnsi="Arial"/>
                <w:b w:val="0"/>
                <w:i w:val="0"/>
                <w:sz w:val="16"/>
              </w:rPr>
              <w:t>LGU-01</w:t>
            </w:r>
          </w:p>
        </w:tc>
        <w:tc>
          <w:tcPr>
            <w:tcW w:type="dxa" w:w="1943"/>
          </w:tcPr>
          <w:p>
            <w:pPr>
              <w:spacing w:before="20" w:after="20"/>
            </w:pPr>
            <w:r/>
            <w:r>
              <w:rPr>
                <w:rFonts w:ascii="Arial" w:hAnsi="Arial"/>
                <w:b w:val="0"/>
                <w:i w:val="0"/>
                <w:sz w:val="15"/>
              </w:rPr>
              <w:t>Legitimate Uses</w:t>
            </w:r>
          </w:p>
        </w:tc>
        <w:tc>
          <w:tcPr>
            <w:tcW w:type="dxa" w:w="3400"/>
          </w:tcPr>
          <w:p>
            <w:pPr>
              <w:spacing w:before="20" w:after="20"/>
            </w:pPr>
            <w:r/>
            <w:r>
              <w:rPr>
                <w:rFonts w:ascii="Times New Roman" w:hAnsi="Times New Roman"/>
                <w:b w:val="0"/>
                <w:i w:val="0"/>
                <w:sz w:val="15"/>
              </w:rPr>
              <w:t>Where consent is not relied upon, the entity's documentation cites 'legitimate use' generically rather than identifying the specific statutory limb. Two activities — fraud analytics using device signals, and the credit bureau reporting of repayment behaviour — rest on limbs that do not on their terms extend to that processing.</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s.7,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G032</w:t>
            </w:r>
          </w:p>
        </w:tc>
        <w:tc>
          <w:tcPr>
            <w:tcW w:type="dxa" w:w="972"/>
          </w:tcPr>
          <w:p>
            <w:pPr>
              <w:spacing w:before="20" w:after="20"/>
              <w:jc w:val="center"/>
            </w:pPr>
            <w:r/>
            <w:r>
              <w:rPr>
                <w:rFonts w:ascii="Arial" w:hAnsi="Arial"/>
                <w:b w:val="0"/>
                <w:i w:val="0"/>
                <w:sz w:val="16"/>
              </w:rPr>
              <w:t>PRO-02</w:t>
            </w:r>
          </w:p>
        </w:tc>
        <w:tc>
          <w:tcPr>
            <w:tcW w:type="dxa" w:w="1943"/>
          </w:tcPr>
          <w:p>
            <w:pPr>
              <w:spacing w:before="20" w:after="20"/>
            </w:pPr>
            <w:r/>
            <w:r>
              <w:rPr>
                <w:rFonts w:ascii="Arial" w:hAnsi="Arial"/>
                <w:b w:val="0"/>
                <w:i w:val="0"/>
                <w:sz w:val="15"/>
              </w:rPr>
              <w:t>Processors &amp; Vendor Contracts</w:t>
            </w:r>
          </w:p>
        </w:tc>
        <w:tc>
          <w:tcPr>
            <w:tcW w:type="dxa" w:w="3400"/>
          </w:tcPr>
          <w:p>
            <w:pPr>
              <w:spacing w:before="20" w:after="20"/>
            </w:pPr>
            <w:r/>
            <w:r>
              <w:rPr>
                <w:rFonts w:ascii="Times New Roman" w:hAnsi="Times New Roman"/>
                <w:b w:val="0"/>
                <w:i w:val="0"/>
                <w:sz w:val="15"/>
              </w:rPr>
              <w:t>Of 34 processors, 26 have an executed agreement containing data protection terms. Eight are engaged on click-through terms or purchase orders alone, including two with access to full customer records. The Act requires a valid contract for engagement of a processor and does not admit a de facto arrangement.</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s.8(2), DPDP Act, 2023</w:t>
            </w:r>
          </w:p>
        </w:tc>
        <w:tc>
          <w:tcPr>
            <w:tcW w:type="dxa" w:w="2064"/>
          </w:tcPr>
          <w:p>
            <w:pPr>
              <w:spacing w:before="20" w:after="20"/>
            </w:pPr>
            <w:r/>
            <w:r>
              <w:rPr>
                <w:rFonts w:ascii="Arial" w:hAnsi="Arial"/>
                <w:b w:val="0"/>
                <w:i w:val="0"/>
                <w:sz w:val="14"/>
              </w:rPr>
              <w:t>Farhan Qureshi, Head of Vendor Management</w:t>
            </w:r>
          </w:p>
        </w:tc>
      </w:tr>
      <w:tr>
        <w:trPr>
          <w:cantSplit/>
        </w:trPr>
        <w:tc>
          <w:tcPr>
            <w:tcW w:type="dxa" w:w="850"/>
          </w:tcPr>
          <w:p>
            <w:pPr>
              <w:spacing w:before="20" w:after="20"/>
              <w:jc w:val="center"/>
            </w:pPr>
            <w:r/>
            <w:r>
              <w:rPr>
                <w:rFonts w:ascii="Arial" w:hAnsi="Arial"/>
                <w:b/>
                <w:i w:val="0"/>
                <w:sz w:val="16"/>
              </w:rPr>
              <w:t>G033</w:t>
            </w:r>
          </w:p>
        </w:tc>
        <w:tc>
          <w:tcPr>
            <w:tcW w:type="dxa" w:w="972"/>
          </w:tcPr>
          <w:p>
            <w:pPr>
              <w:spacing w:before="20" w:after="20"/>
              <w:jc w:val="center"/>
            </w:pPr>
            <w:r/>
            <w:r>
              <w:rPr>
                <w:rFonts w:ascii="Arial" w:hAnsi="Arial"/>
                <w:b w:val="0"/>
                <w:i w:val="0"/>
                <w:sz w:val="16"/>
              </w:rPr>
              <w:t>PRO-03</w:t>
            </w:r>
          </w:p>
        </w:tc>
        <w:tc>
          <w:tcPr>
            <w:tcW w:type="dxa" w:w="1943"/>
          </w:tcPr>
          <w:p>
            <w:pPr>
              <w:spacing w:before="20" w:after="20"/>
            </w:pPr>
            <w:r/>
            <w:r>
              <w:rPr>
                <w:rFonts w:ascii="Arial" w:hAnsi="Arial"/>
                <w:b w:val="0"/>
                <w:i w:val="0"/>
                <w:sz w:val="15"/>
              </w:rPr>
              <w:t>Processors &amp; Vendor Contracts</w:t>
            </w:r>
          </w:p>
        </w:tc>
        <w:tc>
          <w:tcPr>
            <w:tcW w:type="dxa" w:w="3400"/>
          </w:tcPr>
          <w:p>
            <w:pPr>
              <w:spacing w:before="20" w:after="20"/>
            </w:pPr>
            <w:r/>
            <w:r>
              <w:rPr>
                <w:rFonts w:ascii="Times New Roman" w:hAnsi="Times New Roman"/>
                <w:b w:val="0"/>
                <w:i w:val="0"/>
                <w:sz w:val="15"/>
              </w:rPr>
              <w:t>Where agreements exist, security obligations are generally flowed down. Erasure on instruction is absent from 21 of 26 agreements and breach notification to the entity within a defined period is absent from 14. The entity therefore cannot discharge its own erasure and intimation obligations through its processors, which is the practical consequence identified at RET-03 and BRC-03.</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s.8(1), s.8(5), s.8(7), DPDP Act, 2023</w:t>
            </w:r>
          </w:p>
        </w:tc>
        <w:tc>
          <w:tcPr>
            <w:tcW w:type="dxa" w:w="2064"/>
          </w:tcPr>
          <w:p>
            <w:pPr>
              <w:spacing w:before="20" w:after="20"/>
            </w:pPr>
            <w:r/>
            <w:r>
              <w:rPr>
                <w:rFonts w:ascii="Arial" w:hAnsi="Arial"/>
                <w:b w:val="0"/>
                <w:i w:val="0"/>
                <w:sz w:val="14"/>
              </w:rPr>
              <w:t>Farhan Qureshi, Head of Vendor Management</w:t>
            </w:r>
          </w:p>
        </w:tc>
      </w:tr>
      <w:tr>
        <w:trPr>
          <w:cantSplit/>
        </w:trPr>
        <w:tc>
          <w:tcPr>
            <w:tcW w:type="dxa" w:w="850"/>
          </w:tcPr>
          <w:p>
            <w:pPr>
              <w:spacing w:before="20" w:after="20"/>
              <w:jc w:val="center"/>
            </w:pPr>
            <w:r/>
            <w:r>
              <w:rPr>
                <w:rFonts w:ascii="Arial" w:hAnsi="Arial"/>
                <w:b/>
                <w:i w:val="0"/>
                <w:sz w:val="16"/>
              </w:rPr>
              <w:t>G034</w:t>
            </w:r>
          </w:p>
        </w:tc>
        <w:tc>
          <w:tcPr>
            <w:tcW w:type="dxa" w:w="972"/>
          </w:tcPr>
          <w:p>
            <w:pPr>
              <w:spacing w:before="20" w:after="20"/>
              <w:jc w:val="center"/>
            </w:pPr>
            <w:r/>
            <w:r>
              <w:rPr>
                <w:rFonts w:ascii="Arial" w:hAnsi="Arial"/>
                <w:b w:val="0"/>
                <w:i w:val="0"/>
                <w:sz w:val="16"/>
              </w:rPr>
              <w:t>PUR-01</w:t>
            </w:r>
          </w:p>
        </w:tc>
        <w:tc>
          <w:tcPr>
            <w:tcW w:type="dxa" w:w="1943"/>
          </w:tcPr>
          <w:p>
            <w:pPr>
              <w:spacing w:before="20" w:after="20"/>
            </w:pPr>
            <w:r/>
            <w:r>
              <w:rPr>
                <w:rFonts w:ascii="Arial" w:hAnsi="Arial"/>
                <w:b w:val="0"/>
                <w:i w:val="0"/>
                <w:sz w:val="15"/>
              </w:rPr>
              <w:t>Lawful Purpose, Minimisation &amp; Accuracy</w:t>
            </w:r>
          </w:p>
        </w:tc>
        <w:tc>
          <w:tcPr>
            <w:tcW w:type="dxa" w:w="3400"/>
          </w:tcPr>
          <w:p>
            <w:pPr>
              <w:spacing w:before="20" w:after="20"/>
            </w:pPr>
            <w:r/>
            <w:r>
              <w:rPr>
                <w:rFonts w:ascii="Times New Roman" w:hAnsi="Times New Roman"/>
                <w:b w:val="0"/>
                <w:i w:val="0"/>
                <w:sz w:val="15"/>
              </w:rPr>
              <w:t>A lawful basis is documented for the lending and payments journeys. Four activities have no identified basis: the churn model, marketing enrichment from a third-party data broker, call recording in collections, and the employee monitoring noted at GOV-02. Management's position that these fall within 'legitimate business interest' has no counterpart in the Act, which provides a closed list of legitimate uses.</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s.4(1), s.4(2),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G035</w:t>
            </w:r>
          </w:p>
        </w:tc>
        <w:tc>
          <w:tcPr>
            <w:tcW w:type="dxa" w:w="972"/>
          </w:tcPr>
          <w:p>
            <w:pPr>
              <w:spacing w:before="20" w:after="20"/>
              <w:jc w:val="center"/>
            </w:pPr>
            <w:r/>
            <w:r>
              <w:rPr>
                <w:rFonts w:ascii="Arial" w:hAnsi="Arial"/>
                <w:b w:val="0"/>
                <w:i w:val="0"/>
                <w:sz w:val="16"/>
              </w:rPr>
              <w:t>XBD-03</w:t>
            </w:r>
          </w:p>
        </w:tc>
        <w:tc>
          <w:tcPr>
            <w:tcW w:type="dxa" w:w="1943"/>
          </w:tcPr>
          <w:p>
            <w:pPr>
              <w:spacing w:before="20" w:after="20"/>
            </w:pPr>
            <w:r/>
            <w:r>
              <w:rPr>
                <w:rFonts w:ascii="Arial" w:hAnsi="Arial"/>
                <w:b w:val="0"/>
                <w:i w:val="0"/>
                <w:sz w:val="15"/>
              </w:rPr>
              <w:t>Cross-Border Transfers</w:t>
            </w:r>
          </w:p>
        </w:tc>
        <w:tc>
          <w:tcPr>
            <w:tcW w:type="dxa" w:w="3400"/>
          </w:tcPr>
          <w:p>
            <w:pPr>
              <w:spacing w:before="20" w:after="20"/>
            </w:pPr>
            <w:r/>
            <w:r>
              <w:rPr>
                <w:rFonts w:ascii="Times New Roman" w:hAnsi="Times New Roman"/>
                <w:b w:val="0"/>
                <w:i w:val="0"/>
                <w:sz w:val="15"/>
              </w:rPr>
              <w:t>RBI payment system data localisation requirements are met for the payments platform, with the annual system audit report on file. Localisation requirements have not been assessed for the lending and analytics estates, and the Snowflake account holds transaction-derived data in a configuration that has not been reviewed against the RBI direction.</w:t>
            </w:r>
          </w:p>
        </w:tc>
        <w:tc>
          <w:tcPr>
            <w:tcW w:type="dxa" w:w="850"/>
            <w:shd w:val="clear" w:color="auto" w:fill="F8D7D7"/>
          </w:tcPr>
          <w:p>
            <w:pPr>
              <w:spacing w:before="20" w:after="20"/>
              <w:jc w:val="center"/>
            </w:pPr>
            <w:r/>
            <w:r>
              <w:rPr>
                <w:rFonts w:ascii="Arial" w:hAnsi="Arial"/>
                <w:b w:val="0"/>
                <w:i w:val="0"/>
                <w:sz w:val="15"/>
              </w:rPr>
              <w:t>Critical</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s.16(2),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G036</w:t>
            </w:r>
          </w:p>
        </w:tc>
        <w:tc>
          <w:tcPr>
            <w:tcW w:type="dxa" w:w="972"/>
          </w:tcPr>
          <w:p>
            <w:pPr>
              <w:spacing w:before="20" w:after="20"/>
              <w:jc w:val="center"/>
            </w:pPr>
            <w:r/>
            <w:r>
              <w:rPr>
                <w:rFonts w:ascii="Arial" w:hAnsi="Arial"/>
                <w:b w:val="0"/>
                <w:i w:val="0"/>
                <w:sz w:val="16"/>
              </w:rPr>
              <w:t>RET-05</w:t>
            </w:r>
          </w:p>
        </w:tc>
        <w:tc>
          <w:tcPr>
            <w:tcW w:type="dxa" w:w="1943"/>
          </w:tcPr>
          <w:p>
            <w:pPr>
              <w:spacing w:before="20" w:after="20"/>
            </w:pPr>
            <w:r/>
            <w:r>
              <w:rPr>
                <w:rFonts w:ascii="Arial" w:hAnsi="Arial"/>
                <w:b w:val="0"/>
                <w:i w:val="0"/>
                <w:sz w:val="15"/>
              </w:rPr>
              <w:t>Retention &amp; Erasure</w:t>
            </w:r>
          </w:p>
        </w:tc>
        <w:tc>
          <w:tcPr>
            <w:tcW w:type="dxa" w:w="3400"/>
          </w:tcPr>
          <w:p>
            <w:pPr>
              <w:spacing w:before="20" w:after="20"/>
            </w:pPr>
            <w:r/>
            <w:r>
              <w:rPr>
                <w:rFonts w:ascii="Times New Roman" w:hAnsi="Times New Roman"/>
                <w:b w:val="0"/>
                <w:i w:val="0"/>
                <w:sz w:val="15"/>
              </w:rPr>
              <w:t>No advance intimation is given before erasure, because no scheduled erasure takes place. The requirement has not been designed for.</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s.8(7), s.8(10) read with the Rules,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G037</w:t>
            </w:r>
          </w:p>
        </w:tc>
        <w:tc>
          <w:tcPr>
            <w:tcW w:type="dxa" w:w="972"/>
          </w:tcPr>
          <w:p>
            <w:pPr>
              <w:spacing w:before="20" w:after="20"/>
              <w:jc w:val="center"/>
            </w:pPr>
            <w:r/>
            <w:r>
              <w:rPr>
                <w:rFonts w:ascii="Arial" w:hAnsi="Arial"/>
                <w:b w:val="0"/>
                <w:i w:val="0"/>
                <w:sz w:val="16"/>
              </w:rPr>
              <w:t>RGT-04</w:t>
            </w:r>
          </w:p>
        </w:tc>
        <w:tc>
          <w:tcPr>
            <w:tcW w:type="dxa" w:w="1943"/>
          </w:tcPr>
          <w:p>
            <w:pPr>
              <w:spacing w:before="20" w:after="20"/>
            </w:pPr>
            <w:r/>
            <w:r>
              <w:rPr>
                <w:rFonts w:ascii="Arial" w:hAnsi="Arial"/>
                <w:b w:val="0"/>
                <w:i w:val="0"/>
                <w:sz w:val="15"/>
              </w:rPr>
              <w:t>Data Principal Rights</w:t>
            </w:r>
          </w:p>
        </w:tc>
        <w:tc>
          <w:tcPr>
            <w:tcW w:type="dxa" w:w="3400"/>
          </w:tcPr>
          <w:p>
            <w:pPr>
              <w:spacing w:before="20" w:after="20"/>
            </w:pPr>
            <w:r/>
            <w:r>
              <w:rPr>
                <w:rFonts w:ascii="Times New Roman" w:hAnsi="Times New Roman"/>
                <w:b w:val="0"/>
                <w:i w:val="0"/>
                <w:sz w:val="15"/>
              </w:rPr>
              <w:t>The right to nominate has not been implemented. There is no interface, no record structure and no operating procedure for giving effect to a nomination on death or incapacity.</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2D0"/>
          </w:tcPr>
          <w:p>
            <w:pPr>
              <w:spacing w:before="20" w:after="20"/>
              <w:jc w:val="center"/>
            </w:pPr>
            <w:r/>
            <w:r>
              <w:rPr>
                <w:rFonts w:ascii="Arial" w:hAnsi="Arial"/>
                <w:b/>
                <w:i w:val="0"/>
                <w:sz w:val="17"/>
              </w:rPr>
              <w:t>8</w:t>
            </w:r>
          </w:p>
        </w:tc>
        <w:tc>
          <w:tcPr>
            <w:tcW w:type="dxa" w:w="911"/>
          </w:tcPr>
          <w:p>
            <w:pPr>
              <w:spacing w:before="20" w:after="20"/>
              <w:jc w:val="center"/>
            </w:pPr>
            <w:r/>
            <w:r>
              <w:rPr>
                <w:rFonts w:ascii="Arial" w:hAnsi="Arial"/>
                <w:b/>
                <w:i w:val="0"/>
                <w:sz w:val="16"/>
              </w:rPr>
              <w:t>P2</w:t>
            </w:r>
          </w:p>
        </w:tc>
        <w:tc>
          <w:tcPr>
            <w:tcW w:type="dxa" w:w="972"/>
          </w:tcPr>
          <w:p>
            <w:pPr>
              <w:spacing w:before="20" w:after="20"/>
              <w:jc w:val="center"/>
            </w:pPr>
            <w:r/>
            <w:r>
              <w:rPr>
                <w:rFonts w:ascii="Arial" w:hAnsi="Arial"/>
                <w:b w:val="0"/>
                <w:i w:val="0"/>
                <w:sz w:val="15"/>
              </w:rPr>
              <w:t>2026-10-13</w:t>
            </w:r>
          </w:p>
        </w:tc>
        <w:tc>
          <w:tcPr>
            <w:tcW w:type="dxa" w:w="1336"/>
          </w:tcPr>
          <w:p>
            <w:pPr>
              <w:spacing w:before="20" w:after="20"/>
              <w:jc w:val="center"/>
            </w:pPr>
            <w:r/>
            <w:r>
              <w:rPr>
                <w:rFonts w:ascii="Arial" w:hAnsi="Arial"/>
                <w:b w:val="0"/>
                <w:i w:val="0"/>
                <w:sz w:val="14"/>
              </w:rPr>
              <w:t>s.14,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G038</w:t>
            </w:r>
          </w:p>
        </w:tc>
        <w:tc>
          <w:tcPr>
            <w:tcW w:type="dxa" w:w="972"/>
          </w:tcPr>
          <w:p>
            <w:pPr>
              <w:spacing w:before="20" w:after="20"/>
              <w:jc w:val="center"/>
            </w:pPr>
            <w:r/>
            <w:r>
              <w:rPr>
                <w:rFonts w:ascii="Arial" w:hAnsi="Arial"/>
                <w:b w:val="0"/>
                <w:i w:val="0"/>
                <w:sz w:val="16"/>
              </w:rPr>
              <w:t>BRC-06</w:t>
            </w:r>
          </w:p>
        </w:tc>
        <w:tc>
          <w:tcPr>
            <w:tcW w:type="dxa" w:w="1943"/>
          </w:tcPr>
          <w:p>
            <w:pPr>
              <w:spacing w:before="20" w:after="20"/>
            </w:pPr>
            <w:r/>
            <w:r>
              <w:rPr>
                <w:rFonts w:ascii="Arial" w:hAnsi="Arial"/>
                <w:b w:val="0"/>
                <w:i w:val="0"/>
                <w:sz w:val="15"/>
              </w:rPr>
              <w:t>Personal Data Breach Notification</w:t>
            </w:r>
          </w:p>
        </w:tc>
        <w:tc>
          <w:tcPr>
            <w:tcW w:type="dxa" w:w="3400"/>
          </w:tcPr>
          <w:p>
            <w:pPr>
              <w:spacing w:before="20" w:after="20"/>
            </w:pPr>
            <w:r/>
            <w:r>
              <w:rPr>
                <w:rFonts w:ascii="Times New Roman" w:hAnsi="Times New Roman"/>
                <w:b w:val="0"/>
                <w:i w:val="0"/>
                <w:sz w:val="15"/>
              </w:rPr>
              <w:t>A tabletop exercise was conducted in October 2025 covering a ransomware scenario. No exercise has tested a personal data breach requiring regulatory and Data Principal intimation. Post-incident actions from the partner API incident remain open six months later with no owner recorded.</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s.8(6), s.33(2), DPDP Act, 2023</w:t>
            </w:r>
          </w:p>
        </w:tc>
        <w:tc>
          <w:tcPr>
            <w:tcW w:type="dxa" w:w="2064"/>
          </w:tcPr>
          <w:p>
            <w:pPr>
              <w:spacing w:before="20" w:after="20"/>
            </w:pPr>
            <w:r/>
            <w:r>
              <w:rPr>
                <w:rFonts w:ascii="Arial" w:hAnsi="Arial"/>
                <w:b w:val="0"/>
                <w:i w:val="0"/>
                <w:sz w:val="14"/>
              </w:rPr>
              <w:t>Arjun Nair, Chief Information Security Officer</w:t>
            </w:r>
          </w:p>
        </w:tc>
      </w:tr>
      <w:tr>
        <w:trPr>
          <w:cantSplit/>
        </w:trPr>
        <w:tc>
          <w:tcPr>
            <w:tcW w:type="dxa" w:w="850"/>
          </w:tcPr>
          <w:p>
            <w:pPr>
              <w:spacing w:before="20" w:after="20"/>
              <w:jc w:val="center"/>
            </w:pPr>
            <w:r/>
            <w:r>
              <w:rPr>
                <w:rFonts w:ascii="Arial" w:hAnsi="Arial"/>
                <w:b/>
                <w:i w:val="0"/>
                <w:sz w:val="16"/>
              </w:rPr>
              <w:t>G039</w:t>
            </w:r>
          </w:p>
        </w:tc>
        <w:tc>
          <w:tcPr>
            <w:tcW w:type="dxa" w:w="972"/>
          </w:tcPr>
          <w:p>
            <w:pPr>
              <w:spacing w:before="20" w:after="20"/>
              <w:jc w:val="center"/>
            </w:pPr>
            <w:r/>
            <w:r>
              <w:rPr>
                <w:rFonts w:ascii="Arial" w:hAnsi="Arial"/>
                <w:b w:val="0"/>
                <w:i w:val="0"/>
                <w:sz w:val="16"/>
              </w:rPr>
              <w:t>BRD-03</w:t>
            </w:r>
          </w:p>
        </w:tc>
        <w:tc>
          <w:tcPr>
            <w:tcW w:type="dxa" w:w="1943"/>
          </w:tcPr>
          <w:p>
            <w:pPr>
              <w:spacing w:before="20" w:after="20"/>
            </w:pPr>
            <w:r/>
            <w:r>
              <w:rPr>
                <w:rFonts w:ascii="Arial" w:hAnsi="Arial"/>
                <w:b w:val="0"/>
                <w:i w:val="0"/>
                <w:sz w:val="15"/>
              </w:rPr>
              <w:t>Enforcement Readiness &amp; Board Engagement</w:t>
            </w:r>
          </w:p>
        </w:tc>
        <w:tc>
          <w:tcPr>
            <w:tcW w:type="dxa" w:w="3400"/>
          </w:tcPr>
          <w:p>
            <w:pPr>
              <w:spacing w:before="20" w:after="20"/>
            </w:pPr>
            <w:r/>
            <w:r>
              <w:rPr>
                <w:rFonts w:ascii="Times New Roman" w:hAnsi="Times New Roman"/>
                <w:b w:val="0"/>
                <w:i w:val="0"/>
                <w:sz w:val="15"/>
              </w:rPr>
              <w:t>A remediation tracker exists and carries 23 open privacy items. Fourteen have no owner, 19 have no target date, and no budget has been allocated for the engineering work that the erasure, consent and withdrawal findings in this report will require. Without funding and ownership the plan is a list rather than a commitment.</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s.8(1), s.33(2), DPDP Act, 2023</w:t>
            </w:r>
          </w:p>
        </w:tc>
        <w:tc>
          <w:tcPr>
            <w:tcW w:type="dxa" w:w="2064"/>
          </w:tcPr>
          <w:p>
            <w:pPr>
              <w:spacing w:before="20" w:after="20"/>
            </w:pPr>
            <w:r/>
            <w:r>
              <w:rPr>
                <w:rFonts w:ascii="Arial" w:hAnsi="Arial"/>
                <w:b w:val="0"/>
                <w:i w:val="0"/>
                <w:sz w:val="14"/>
              </w:rPr>
              <w:t>Vikram Shetty, Chief Financial Officer</w:t>
            </w:r>
          </w:p>
        </w:tc>
      </w:tr>
      <w:tr>
        <w:trPr>
          <w:cantSplit/>
        </w:trPr>
        <w:tc>
          <w:tcPr>
            <w:tcW w:type="dxa" w:w="850"/>
          </w:tcPr>
          <w:p>
            <w:pPr>
              <w:spacing w:before="20" w:after="20"/>
              <w:jc w:val="center"/>
            </w:pPr>
            <w:r/>
            <w:r>
              <w:rPr>
                <w:rFonts w:ascii="Arial" w:hAnsi="Arial"/>
                <w:b/>
                <w:i w:val="0"/>
                <w:sz w:val="16"/>
              </w:rPr>
              <w:t>G040</w:t>
            </w:r>
          </w:p>
        </w:tc>
        <w:tc>
          <w:tcPr>
            <w:tcW w:type="dxa" w:w="972"/>
          </w:tcPr>
          <w:p>
            <w:pPr>
              <w:spacing w:before="20" w:after="20"/>
              <w:jc w:val="center"/>
            </w:pPr>
            <w:r/>
            <w:r>
              <w:rPr>
                <w:rFonts w:ascii="Arial" w:hAnsi="Arial"/>
                <w:b w:val="0"/>
                <w:i w:val="0"/>
                <w:sz w:val="16"/>
              </w:rPr>
              <w:t>CHD-04</w:t>
            </w:r>
          </w:p>
        </w:tc>
        <w:tc>
          <w:tcPr>
            <w:tcW w:type="dxa" w:w="1943"/>
          </w:tcPr>
          <w:p>
            <w:pPr>
              <w:spacing w:before="20" w:after="20"/>
            </w:pPr>
            <w:r/>
            <w:r>
              <w:rPr>
                <w:rFonts w:ascii="Arial" w:hAnsi="Arial"/>
                <w:b w:val="0"/>
                <w:i w:val="0"/>
                <w:sz w:val="15"/>
              </w:rPr>
              <w:t>Children &amp; Persons with Disability</w:t>
            </w:r>
          </w:p>
        </w:tc>
        <w:tc>
          <w:tcPr>
            <w:tcW w:type="dxa" w:w="3400"/>
          </w:tcPr>
          <w:p>
            <w:pPr>
              <w:spacing w:before="20" w:after="20"/>
            </w:pPr>
            <w:r/>
            <w:r>
              <w:rPr>
                <w:rFonts w:ascii="Times New Roman" w:hAnsi="Times New Roman"/>
                <w:b w:val="0"/>
                <w:i w:val="0"/>
                <w:sz w:val="15"/>
              </w:rPr>
              <w:t>No assessment of detrimental effect on children's wellbeing has been performed for Kavach Junior. Features that warrant such an assessment — spending streak rewards, peer comparison of savings, and push notifications timed to school hours — were designed without privacy or wellbeing review, consistent with the gate failure at PUR-05.</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s.9(2),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G041</w:t>
            </w:r>
          </w:p>
        </w:tc>
        <w:tc>
          <w:tcPr>
            <w:tcW w:type="dxa" w:w="972"/>
          </w:tcPr>
          <w:p>
            <w:pPr>
              <w:spacing w:before="20" w:after="20"/>
              <w:jc w:val="center"/>
            </w:pPr>
            <w:r/>
            <w:r>
              <w:rPr>
                <w:rFonts w:ascii="Arial" w:hAnsi="Arial"/>
                <w:b w:val="0"/>
                <w:i w:val="0"/>
                <w:sz w:val="16"/>
              </w:rPr>
              <w:t>CMG-02</w:t>
            </w:r>
          </w:p>
        </w:tc>
        <w:tc>
          <w:tcPr>
            <w:tcW w:type="dxa" w:w="1943"/>
          </w:tcPr>
          <w:p>
            <w:pPr>
              <w:spacing w:before="20" w:after="20"/>
            </w:pPr>
            <w:r/>
            <w:r>
              <w:rPr>
                <w:rFonts w:ascii="Arial" w:hAnsi="Arial"/>
                <w:b w:val="0"/>
                <w:i w:val="0"/>
                <w:sz w:val="15"/>
              </w:rPr>
              <w:t>Consent Manager</w:t>
            </w:r>
          </w:p>
        </w:tc>
        <w:tc>
          <w:tcPr>
            <w:tcW w:type="dxa" w:w="3400"/>
          </w:tcPr>
          <w:p>
            <w:pPr>
              <w:spacing w:before="20" w:after="20"/>
            </w:pPr>
            <w:r/>
            <w:r>
              <w:rPr>
                <w:rFonts w:ascii="Times New Roman" w:hAnsi="Times New Roman"/>
                <w:b w:val="0"/>
                <w:i w:val="0"/>
                <w:sz w:val="15"/>
              </w:rPr>
              <w:t>Consent artefacts received through the aggregator are stored and the data fetch is scoped to the artefact. Reconciliation between artefacts held by the aggregator and consents recorded internally is not performed, so a revoked artefact would not necessarily stop an internal reuse of previously fetched financial information.</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s.6(7), s.6(10), s.8(1),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G042</w:t>
            </w:r>
          </w:p>
        </w:tc>
        <w:tc>
          <w:tcPr>
            <w:tcW w:type="dxa" w:w="972"/>
          </w:tcPr>
          <w:p>
            <w:pPr>
              <w:spacing w:before="20" w:after="20"/>
              <w:jc w:val="center"/>
            </w:pPr>
            <w:r/>
            <w:r>
              <w:rPr>
                <w:rFonts w:ascii="Arial" w:hAnsi="Arial"/>
                <w:b w:val="0"/>
                <w:i w:val="0"/>
                <w:sz w:val="16"/>
              </w:rPr>
              <w:t>GRV-01</w:t>
            </w:r>
          </w:p>
        </w:tc>
        <w:tc>
          <w:tcPr>
            <w:tcW w:type="dxa" w:w="1943"/>
          </w:tcPr>
          <w:p>
            <w:pPr>
              <w:spacing w:before="20" w:after="20"/>
            </w:pPr>
            <w:r/>
            <w:r>
              <w:rPr>
                <w:rFonts w:ascii="Arial" w:hAnsi="Arial"/>
                <w:b w:val="0"/>
                <w:i w:val="0"/>
                <w:sz w:val="15"/>
              </w:rPr>
              <w:t>Grievance Redressal</w:t>
            </w:r>
          </w:p>
        </w:tc>
        <w:tc>
          <w:tcPr>
            <w:tcW w:type="dxa" w:w="3400"/>
          </w:tcPr>
          <w:p>
            <w:pPr>
              <w:spacing w:before="20" w:after="20"/>
            </w:pPr>
            <w:r/>
            <w:r>
              <w:rPr>
                <w:rFonts w:ascii="Times New Roman" w:hAnsi="Times New Roman"/>
                <w:b w:val="0"/>
                <w:i w:val="0"/>
                <w:sz w:val="15"/>
              </w:rPr>
              <w:t>A grievance mechanism exists in the form of a web form and a support email address, both monitored. There is no defined escalation path, no distinction between a service complaint and a data protection grievance, and no owner accountable for grievance outcomes as opposed to ticket closure.</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s.8(9), DPDP Act, 2023</w:t>
            </w:r>
          </w:p>
        </w:tc>
        <w:tc>
          <w:tcPr>
            <w:tcW w:type="dxa" w:w="2064"/>
          </w:tcPr>
          <w:p>
            <w:pPr>
              <w:spacing w:before="20" w:after="20"/>
            </w:pPr>
            <w:r/>
            <w:r>
              <w:rPr>
                <w:rFonts w:ascii="Arial" w:hAnsi="Arial"/>
                <w:b w:val="0"/>
                <w:i w:val="0"/>
                <w:sz w:val="14"/>
              </w:rPr>
              <w:t>Anita Desai, Head of Customer Experience</w:t>
            </w:r>
          </w:p>
        </w:tc>
      </w:tr>
      <w:tr>
        <w:trPr>
          <w:cantSplit/>
        </w:trPr>
        <w:tc>
          <w:tcPr>
            <w:tcW w:type="dxa" w:w="850"/>
          </w:tcPr>
          <w:p>
            <w:pPr>
              <w:spacing w:before="20" w:after="20"/>
              <w:jc w:val="center"/>
            </w:pPr>
            <w:r/>
            <w:r>
              <w:rPr>
                <w:rFonts w:ascii="Arial" w:hAnsi="Arial"/>
                <w:b/>
                <w:i w:val="0"/>
                <w:sz w:val="16"/>
              </w:rPr>
              <w:t>G043</w:t>
            </w:r>
          </w:p>
        </w:tc>
        <w:tc>
          <w:tcPr>
            <w:tcW w:type="dxa" w:w="972"/>
          </w:tcPr>
          <w:p>
            <w:pPr>
              <w:spacing w:before="20" w:after="20"/>
              <w:jc w:val="center"/>
            </w:pPr>
            <w:r/>
            <w:r>
              <w:rPr>
                <w:rFonts w:ascii="Arial" w:hAnsi="Arial"/>
                <w:b w:val="0"/>
                <w:i w:val="0"/>
                <w:sz w:val="16"/>
              </w:rPr>
              <w:t>NOT-03</w:t>
            </w:r>
          </w:p>
        </w:tc>
        <w:tc>
          <w:tcPr>
            <w:tcW w:type="dxa" w:w="1943"/>
          </w:tcPr>
          <w:p>
            <w:pPr>
              <w:spacing w:before="20" w:after="20"/>
            </w:pPr>
            <w:r/>
            <w:r>
              <w:rPr>
                <w:rFonts w:ascii="Arial" w:hAnsi="Arial"/>
                <w:b w:val="0"/>
                <w:i w:val="0"/>
                <w:sz w:val="15"/>
              </w:rPr>
              <w:t>Notice</w:t>
            </w:r>
          </w:p>
        </w:tc>
        <w:tc>
          <w:tcPr>
            <w:tcW w:type="dxa" w:w="3400"/>
          </w:tcPr>
          <w:p>
            <w:pPr>
              <w:spacing w:before="20" w:after="20"/>
            </w:pPr>
            <w:r/>
            <w:r>
              <w:rPr>
                <w:rFonts w:ascii="Times New Roman" w:hAnsi="Times New Roman"/>
                <w:b w:val="0"/>
                <w:i w:val="0"/>
                <w:sz w:val="15"/>
              </w:rPr>
              <w:t>The notice explains the access and correction rights and links to the grievance form. It does not explain the right to withdraw consent, the right to nominate, or the manner in which a Data Principal may make a complaint to the Data Protection Board.</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s.5(1)(ii), s.5(1)(iii),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G044</w:t>
            </w:r>
          </w:p>
        </w:tc>
        <w:tc>
          <w:tcPr>
            <w:tcW w:type="dxa" w:w="972"/>
          </w:tcPr>
          <w:p>
            <w:pPr>
              <w:spacing w:before="20" w:after="20"/>
              <w:jc w:val="center"/>
            </w:pPr>
            <w:r/>
            <w:r>
              <w:rPr>
                <w:rFonts w:ascii="Arial" w:hAnsi="Arial"/>
                <w:b w:val="0"/>
                <w:i w:val="0"/>
                <w:sz w:val="16"/>
              </w:rPr>
              <w:t>PRO-04</w:t>
            </w:r>
          </w:p>
        </w:tc>
        <w:tc>
          <w:tcPr>
            <w:tcW w:type="dxa" w:w="1943"/>
          </w:tcPr>
          <w:p>
            <w:pPr>
              <w:spacing w:before="20" w:after="20"/>
            </w:pPr>
            <w:r/>
            <w:r>
              <w:rPr>
                <w:rFonts w:ascii="Arial" w:hAnsi="Arial"/>
                <w:b w:val="0"/>
                <w:i w:val="0"/>
                <w:sz w:val="15"/>
              </w:rPr>
              <w:t>Processors &amp; Vendor Contracts</w:t>
            </w:r>
          </w:p>
        </w:tc>
        <w:tc>
          <w:tcPr>
            <w:tcW w:type="dxa" w:w="3400"/>
          </w:tcPr>
          <w:p>
            <w:pPr>
              <w:spacing w:before="20" w:after="20"/>
            </w:pPr>
            <w:r/>
            <w:r>
              <w:rPr>
                <w:rFonts w:ascii="Times New Roman" w:hAnsi="Times New Roman"/>
                <w:b w:val="0"/>
                <w:i w:val="0"/>
                <w:sz w:val="15"/>
              </w:rPr>
              <w:t>Sub-processor authorisation is required in the standard template but the template was adopted in 2024 and older agreements are silent. No processor has notified a sub-processor change in the period, which given the vendors involved is more likely to indicate the clause is not operating than that no changes occurred.</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s.8(1), s.8(2), DPDP Act, 2023</w:t>
            </w:r>
          </w:p>
        </w:tc>
        <w:tc>
          <w:tcPr>
            <w:tcW w:type="dxa" w:w="2064"/>
          </w:tcPr>
          <w:p>
            <w:pPr>
              <w:spacing w:before="20" w:after="20"/>
            </w:pPr>
            <w:r/>
            <w:r>
              <w:rPr>
                <w:rFonts w:ascii="Arial" w:hAnsi="Arial"/>
                <w:b w:val="0"/>
                <w:i w:val="0"/>
                <w:sz w:val="14"/>
              </w:rPr>
              <w:t>Farhan Qureshi, Head of Vendor Management</w:t>
            </w:r>
          </w:p>
        </w:tc>
      </w:tr>
      <w:tr>
        <w:trPr>
          <w:cantSplit/>
        </w:trPr>
        <w:tc>
          <w:tcPr>
            <w:tcW w:type="dxa" w:w="850"/>
          </w:tcPr>
          <w:p>
            <w:pPr>
              <w:spacing w:before="20" w:after="20"/>
              <w:jc w:val="center"/>
            </w:pPr>
            <w:r/>
            <w:r>
              <w:rPr>
                <w:rFonts w:ascii="Arial" w:hAnsi="Arial"/>
                <w:b/>
                <w:i w:val="0"/>
                <w:sz w:val="16"/>
              </w:rPr>
              <w:t>G045</w:t>
            </w:r>
          </w:p>
        </w:tc>
        <w:tc>
          <w:tcPr>
            <w:tcW w:type="dxa" w:w="972"/>
          </w:tcPr>
          <w:p>
            <w:pPr>
              <w:spacing w:before="20" w:after="20"/>
              <w:jc w:val="center"/>
            </w:pPr>
            <w:r/>
            <w:r>
              <w:rPr>
                <w:rFonts w:ascii="Arial" w:hAnsi="Arial"/>
                <w:b w:val="0"/>
                <w:i w:val="0"/>
                <w:sz w:val="16"/>
              </w:rPr>
              <w:t>PRO-06</w:t>
            </w:r>
          </w:p>
        </w:tc>
        <w:tc>
          <w:tcPr>
            <w:tcW w:type="dxa" w:w="1943"/>
          </w:tcPr>
          <w:p>
            <w:pPr>
              <w:spacing w:before="20" w:after="20"/>
            </w:pPr>
            <w:r/>
            <w:r>
              <w:rPr>
                <w:rFonts w:ascii="Arial" w:hAnsi="Arial"/>
                <w:b w:val="0"/>
                <w:i w:val="0"/>
                <w:sz w:val="15"/>
              </w:rPr>
              <w:t>Processors &amp; Vendor Contracts</w:t>
            </w:r>
          </w:p>
        </w:tc>
        <w:tc>
          <w:tcPr>
            <w:tcW w:type="dxa" w:w="3400"/>
          </w:tcPr>
          <w:p>
            <w:pPr>
              <w:spacing w:before="20" w:after="20"/>
            </w:pPr>
            <w:r/>
            <w:r>
              <w:rPr>
                <w:rFonts w:ascii="Times New Roman" w:hAnsi="Times New Roman"/>
                <w:b w:val="0"/>
                <w:i w:val="0"/>
                <w:sz w:val="15"/>
              </w:rPr>
              <w:t>Exit provisions requiring return or erasure appear in 15 of 26 agreements. Two processors were disengaged in the period and neither provided a certificate of erasure; in one case the entity's own records show data remained accessible in the vendor's environment three months after termination.</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s.8(7), DPDP Act, 2023</w:t>
            </w:r>
          </w:p>
        </w:tc>
        <w:tc>
          <w:tcPr>
            <w:tcW w:type="dxa" w:w="2064"/>
          </w:tcPr>
          <w:p>
            <w:pPr>
              <w:spacing w:before="20" w:after="20"/>
            </w:pPr>
            <w:r/>
            <w:r>
              <w:rPr>
                <w:rFonts w:ascii="Arial" w:hAnsi="Arial"/>
                <w:b w:val="0"/>
                <w:i w:val="0"/>
                <w:sz w:val="14"/>
              </w:rPr>
              <w:t>Farhan Qureshi, Head of Vendor Management</w:t>
            </w:r>
          </w:p>
        </w:tc>
      </w:tr>
      <w:tr>
        <w:trPr>
          <w:cantSplit/>
        </w:trPr>
        <w:tc>
          <w:tcPr>
            <w:tcW w:type="dxa" w:w="850"/>
          </w:tcPr>
          <w:p>
            <w:pPr>
              <w:spacing w:before="20" w:after="20"/>
              <w:jc w:val="center"/>
            </w:pPr>
            <w:r/>
            <w:r>
              <w:rPr>
                <w:rFonts w:ascii="Arial" w:hAnsi="Arial"/>
                <w:b/>
                <w:i w:val="0"/>
                <w:sz w:val="16"/>
              </w:rPr>
              <w:t>G046</w:t>
            </w:r>
          </w:p>
        </w:tc>
        <w:tc>
          <w:tcPr>
            <w:tcW w:type="dxa" w:w="972"/>
          </w:tcPr>
          <w:p>
            <w:pPr>
              <w:spacing w:before="20" w:after="20"/>
              <w:jc w:val="center"/>
            </w:pPr>
            <w:r/>
            <w:r>
              <w:rPr>
                <w:rFonts w:ascii="Arial" w:hAnsi="Arial"/>
                <w:b w:val="0"/>
                <w:i w:val="0"/>
                <w:sz w:val="16"/>
              </w:rPr>
              <w:t>PUR-02</w:t>
            </w:r>
          </w:p>
        </w:tc>
        <w:tc>
          <w:tcPr>
            <w:tcW w:type="dxa" w:w="1943"/>
          </w:tcPr>
          <w:p>
            <w:pPr>
              <w:spacing w:before="20" w:after="20"/>
            </w:pPr>
            <w:r/>
            <w:r>
              <w:rPr>
                <w:rFonts w:ascii="Arial" w:hAnsi="Arial"/>
                <w:b w:val="0"/>
                <w:i w:val="0"/>
                <w:sz w:val="15"/>
              </w:rPr>
              <w:t>Lawful Purpose, Minimisation &amp; Accuracy</w:t>
            </w:r>
          </w:p>
        </w:tc>
        <w:tc>
          <w:tcPr>
            <w:tcW w:type="dxa" w:w="3400"/>
          </w:tcPr>
          <w:p>
            <w:pPr>
              <w:spacing w:before="20" w:after="20"/>
            </w:pPr>
            <w:r/>
            <w:r>
              <w:rPr>
                <w:rFonts w:ascii="Times New Roman" w:hAnsi="Times New Roman"/>
                <w:b w:val="0"/>
                <w:i w:val="0"/>
                <w:sz w:val="15"/>
              </w:rPr>
              <w:t>The onboarding journey collects marital status, education level and employer address for all applicants irrespective of product. Product management confirmed these fields are used only for a subset of underwriting models and could not evidence necessity for the payments-only journey, which represents roughly 60 per cent of registrations.</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s.6(1), s.6(2),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G047</w:t>
            </w:r>
          </w:p>
        </w:tc>
        <w:tc>
          <w:tcPr>
            <w:tcW w:type="dxa" w:w="972"/>
          </w:tcPr>
          <w:p>
            <w:pPr>
              <w:spacing w:before="20" w:after="20"/>
              <w:jc w:val="center"/>
            </w:pPr>
            <w:r/>
            <w:r>
              <w:rPr>
                <w:rFonts w:ascii="Arial" w:hAnsi="Arial"/>
                <w:b w:val="0"/>
                <w:i w:val="0"/>
                <w:sz w:val="16"/>
              </w:rPr>
              <w:t>RET-01</w:t>
            </w:r>
          </w:p>
        </w:tc>
        <w:tc>
          <w:tcPr>
            <w:tcW w:type="dxa" w:w="1943"/>
          </w:tcPr>
          <w:p>
            <w:pPr>
              <w:spacing w:before="20" w:after="20"/>
            </w:pPr>
            <w:r/>
            <w:r>
              <w:rPr>
                <w:rFonts w:ascii="Arial" w:hAnsi="Arial"/>
                <w:b w:val="0"/>
                <w:i w:val="0"/>
                <w:sz w:val="15"/>
              </w:rPr>
              <w:t>Retention &amp; Erasure</w:t>
            </w:r>
          </w:p>
        </w:tc>
        <w:tc>
          <w:tcPr>
            <w:tcW w:type="dxa" w:w="3400"/>
          </w:tcPr>
          <w:p>
            <w:pPr>
              <w:spacing w:before="20" w:after="20"/>
            </w:pPr>
            <w:r/>
            <w:r>
              <w:rPr>
                <w:rFonts w:ascii="Times New Roman" w:hAnsi="Times New Roman"/>
                <w:b w:val="0"/>
                <w:i w:val="0"/>
                <w:sz w:val="15"/>
              </w:rPr>
              <w:t>A retention schedule exists but is expressed at system level rather than by data category and purpose, and defaults to 'as required by applicable law' for 11 of 19 systems. Snowflake and the S3 data lake have no defined retention period at all; the oldest personal data located during testing dated from 2019.</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s.8(7), DPDP Act, 2023</w:t>
            </w:r>
          </w:p>
        </w:tc>
        <w:tc>
          <w:tcPr>
            <w:tcW w:type="dxa" w:w="2064"/>
          </w:tcPr>
          <w:p>
            <w:pPr>
              <w:spacing w:before="20" w:after="20"/>
            </w:pPr>
            <w:r/>
            <w:r>
              <w:rPr>
                <w:rFonts w:ascii="Arial" w:hAnsi="Arial"/>
                <w:b w:val="0"/>
                <w:i w:val="0"/>
                <w:sz w:val="14"/>
              </w:rPr>
              <w:t>Devika Iyer, VP Engineering</w:t>
            </w:r>
          </w:p>
        </w:tc>
      </w:tr>
      <w:tr>
        <w:trPr>
          <w:cantSplit/>
        </w:trPr>
        <w:tc>
          <w:tcPr>
            <w:tcW w:type="dxa" w:w="850"/>
          </w:tcPr>
          <w:p>
            <w:pPr>
              <w:spacing w:before="20" w:after="20"/>
              <w:jc w:val="center"/>
            </w:pPr>
            <w:r/>
            <w:r>
              <w:rPr>
                <w:rFonts w:ascii="Arial" w:hAnsi="Arial"/>
                <w:b/>
                <w:i w:val="0"/>
                <w:sz w:val="16"/>
              </w:rPr>
              <w:t>G048</w:t>
            </w:r>
          </w:p>
        </w:tc>
        <w:tc>
          <w:tcPr>
            <w:tcW w:type="dxa" w:w="972"/>
          </w:tcPr>
          <w:p>
            <w:pPr>
              <w:spacing w:before="20" w:after="20"/>
              <w:jc w:val="center"/>
            </w:pPr>
            <w:r/>
            <w:r>
              <w:rPr>
                <w:rFonts w:ascii="Arial" w:hAnsi="Arial"/>
                <w:b w:val="0"/>
                <w:i w:val="0"/>
                <w:sz w:val="16"/>
              </w:rPr>
              <w:t>RGT-01</w:t>
            </w:r>
          </w:p>
        </w:tc>
        <w:tc>
          <w:tcPr>
            <w:tcW w:type="dxa" w:w="1943"/>
          </w:tcPr>
          <w:p>
            <w:pPr>
              <w:spacing w:before="20" w:after="20"/>
            </w:pPr>
            <w:r/>
            <w:r>
              <w:rPr>
                <w:rFonts w:ascii="Arial" w:hAnsi="Arial"/>
                <w:b w:val="0"/>
                <w:i w:val="0"/>
                <w:sz w:val="15"/>
              </w:rPr>
              <w:t>Data Principal Rights</w:t>
            </w:r>
          </w:p>
        </w:tc>
        <w:tc>
          <w:tcPr>
            <w:tcW w:type="dxa" w:w="3400"/>
          </w:tcPr>
          <w:p>
            <w:pPr>
              <w:spacing w:before="20" w:after="20"/>
            </w:pPr>
            <w:r/>
            <w:r>
              <w:rPr>
                <w:rFonts w:ascii="Times New Roman" w:hAnsi="Times New Roman"/>
                <w:b w:val="0"/>
                <w:i w:val="0"/>
                <w:sz w:val="15"/>
              </w:rPr>
              <w:t>An access request route exists via the grievance form and produces a summary of profile data. It does not include the identities of processors or other recipients with whom data has been shared, nor a description of the processing activities. Two of the four requests received in the period were answered outside 30 days.</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s.11(1), DPDP Act, 2023</w:t>
            </w:r>
          </w:p>
        </w:tc>
        <w:tc>
          <w:tcPr>
            <w:tcW w:type="dxa" w:w="2064"/>
          </w:tcPr>
          <w:p>
            <w:pPr>
              <w:spacing w:before="20" w:after="20"/>
            </w:pPr>
            <w:r/>
            <w:r>
              <w:rPr>
                <w:rFonts w:ascii="Arial" w:hAnsi="Arial"/>
                <w:b w:val="0"/>
                <w:i w:val="0"/>
                <w:sz w:val="14"/>
              </w:rPr>
              <w:t>Anita Desai, Head of Customer Experience</w:t>
            </w:r>
          </w:p>
        </w:tc>
      </w:tr>
      <w:tr>
        <w:trPr>
          <w:cantSplit/>
        </w:trPr>
        <w:tc>
          <w:tcPr>
            <w:tcW w:type="dxa" w:w="850"/>
          </w:tcPr>
          <w:p>
            <w:pPr>
              <w:spacing w:before="20" w:after="20"/>
              <w:jc w:val="center"/>
            </w:pPr>
            <w:r/>
            <w:r>
              <w:rPr>
                <w:rFonts w:ascii="Arial" w:hAnsi="Arial"/>
                <w:b/>
                <w:i w:val="0"/>
                <w:sz w:val="16"/>
              </w:rPr>
              <w:t>G049</w:t>
            </w:r>
          </w:p>
        </w:tc>
        <w:tc>
          <w:tcPr>
            <w:tcW w:type="dxa" w:w="972"/>
          </w:tcPr>
          <w:p>
            <w:pPr>
              <w:spacing w:before="20" w:after="20"/>
              <w:jc w:val="center"/>
            </w:pPr>
            <w:r/>
            <w:r>
              <w:rPr>
                <w:rFonts w:ascii="Arial" w:hAnsi="Arial"/>
                <w:b w:val="0"/>
                <w:i w:val="0"/>
                <w:sz w:val="16"/>
              </w:rPr>
              <w:t>RGT-06</w:t>
            </w:r>
          </w:p>
        </w:tc>
        <w:tc>
          <w:tcPr>
            <w:tcW w:type="dxa" w:w="1943"/>
          </w:tcPr>
          <w:p>
            <w:pPr>
              <w:spacing w:before="20" w:after="20"/>
            </w:pPr>
            <w:r/>
            <w:r>
              <w:rPr>
                <w:rFonts w:ascii="Arial" w:hAnsi="Arial"/>
                <w:b w:val="0"/>
                <w:i w:val="0"/>
                <w:sz w:val="15"/>
              </w:rPr>
              <w:t>Data Principal Rights</w:t>
            </w:r>
          </w:p>
        </w:tc>
        <w:tc>
          <w:tcPr>
            <w:tcW w:type="dxa" w:w="3400"/>
          </w:tcPr>
          <w:p>
            <w:pPr>
              <w:spacing w:before="20" w:after="20"/>
            </w:pPr>
            <w:r/>
            <w:r>
              <w:rPr>
                <w:rFonts w:ascii="Times New Roman" w:hAnsi="Times New Roman"/>
                <w:b w:val="0"/>
                <w:i w:val="0"/>
                <w:sz w:val="15"/>
              </w:rPr>
              <w:t>Rights requests arrive through the general support queue and are not separately categorised, so volumes, ageing and outcomes cannot be reported. The eight requests identified in the period were reconstructed manually from mailbox searches during this assessment. No service level is defined.</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s.8(1), s.11, s.12, s.13, DPDP Act, 2023</w:t>
            </w:r>
          </w:p>
        </w:tc>
        <w:tc>
          <w:tcPr>
            <w:tcW w:type="dxa" w:w="2064"/>
          </w:tcPr>
          <w:p>
            <w:pPr>
              <w:spacing w:before="20" w:after="20"/>
            </w:pPr>
            <w:r/>
            <w:r>
              <w:rPr>
                <w:rFonts w:ascii="Arial" w:hAnsi="Arial"/>
                <w:b w:val="0"/>
                <w:i w:val="0"/>
                <w:sz w:val="14"/>
              </w:rPr>
              <w:t>Anita Desai, Head of Customer Experience</w:t>
            </w:r>
          </w:p>
        </w:tc>
      </w:tr>
      <w:tr>
        <w:trPr>
          <w:cantSplit/>
        </w:trPr>
        <w:tc>
          <w:tcPr>
            <w:tcW w:type="dxa" w:w="850"/>
          </w:tcPr>
          <w:p>
            <w:pPr>
              <w:spacing w:before="20" w:after="20"/>
              <w:jc w:val="center"/>
            </w:pPr>
            <w:r/>
            <w:r>
              <w:rPr>
                <w:rFonts w:ascii="Arial" w:hAnsi="Arial"/>
                <w:b/>
                <w:i w:val="0"/>
                <w:sz w:val="16"/>
              </w:rPr>
              <w:t>G050</w:t>
            </w:r>
          </w:p>
        </w:tc>
        <w:tc>
          <w:tcPr>
            <w:tcW w:type="dxa" w:w="972"/>
          </w:tcPr>
          <w:p>
            <w:pPr>
              <w:spacing w:before="20" w:after="20"/>
              <w:jc w:val="center"/>
            </w:pPr>
            <w:r/>
            <w:r>
              <w:rPr>
                <w:rFonts w:ascii="Arial" w:hAnsi="Arial"/>
                <w:b w:val="0"/>
                <w:i w:val="0"/>
                <w:sz w:val="16"/>
              </w:rPr>
              <w:t>SDF-06</w:t>
            </w:r>
          </w:p>
        </w:tc>
        <w:tc>
          <w:tcPr>
            <w:tcW w:type="dxa" w:w="1943"/>
          </w:tcPr>
          <w:p>
            <w:pPr>
              <w:spacing w:before="20" w:after="20"/>
            </w:pPr>
            <w:r/>
            <w:r>
              <w:rPr>
                <w:rFonts w:ascii="Arial" w:hAnsi="Arial"/>
                <w:b w:val="0"/>
                <w:i w:val="0"/>
                <w:sz w:val="15"/>
              </w:rPr>
              <w:t>Significant Data Fiduciary Obligations</w:t>
            </w:r>
          </w:p>
        </w:tc>
        <w:tc>
          <w:tcPr>
            <w:tcW w:type="dxa" w:w="3400"/>
          </w:tcPr>
          <w:p>
            <w:pPr>
              <w:spacing w:before="20" w:after="20"/>
            </w:pPr>
            <w:r/>
            <w:r>
              <w:rPr>
                <w:rFonts w:ascii="Times New Roman" w:hAnsi="Times New Roman"/>
                <w:b w:val="0"/>
                <w:i w:val="0"/>
                <w:sz w:val="15"/>
              </w:rPr>
              <w:t>The entity has not identified whether any transfer restriction specific to a Significant Data Fiduciary applies to it, and has no process for monitoring the position. The gap follows from XBD-02 and would be closed by the same mechanism.</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s.10(2)(c) read with s.16,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G051</w:t>
            </w:r>
          </w:p>
        </w:tc>
        <w:tc>
          <w:tcPr>
            <w:tcW w:type="dxa" w:w="972"/>
          </w:tcPr>
          <w:p>
            <w:pPr>
              <w:spacing w:before="20" w:after="20"/>
              <w:jc w:val="center"/>
            </w:pPr>
            <w:r/>
            <w:r>
              <w:rPr>
                <w:rFonts w:ascii="Arial" w:hAnsi="Arial"/>
                <w:b w:val="0"/>
                <w:i w:val="0"/>
                <w:sz w:val="16"/>
              </w:rPr>
              <w:t>XBD-04</w:t>
            </w:r>
          </w:p>
        </w:tc>
        <w:tc>
          <w:tcPr>
            <w:tcW w:type="dxa" w:w="1943"/>
          </w:tcPr>
          <w:p>
            <w:pPr>
              <w:spacing w:before="20" w:after="20"/>
            </w:pPr>
            <w:r/>
            <w:r>
              <w:rPr>
                <w:rFonts w:ascii="Arial" w:hAnsi="Arial"/>
                <w:b w:val="0"/>
                <w:i w:val="0"/>
                <w:sz w:val="15"/>
              </w:rPr>
              <w:t>Cross-Border Transfers</w:t>
            </w:r>
          </w:p>
        </w:tc>
        <w:tc>
          <w:tcPr>
            <w:tcW w:type="dxa" w:w="3400"/>
          </w:tcPr>
          <w:p>
            <w:pPr>
              <w:spacing w:before="20" w:after="20"/>
            </w:pPr>
            <w:r/>
            <w:r>
              <w:rPr>
                <w:rFonts w:ascii="Times New Roman" w:hAnsi="Times New Roman"/>
                <w:b w:val="0"/>
                <w:i w:val="0"/>
                <w:sz w:val="15"/>
              </w:rPr>
              <w:t>Standard contractual protections are present in the major SaaS agreements. Transfers are not disclosed in the notice, no assessment of the destination environment has been performed, and the Singapore affiliate's support access operates under an intra-group arrangement that has never been documented.</w:t>
            </w:r>
          </w:p>
        </w:tc>
        <w:tc>
          <w:tcPr>
            <w:tcW w:type="dxa" w:w="850"/>
            <w:shd w:val="clear" w:color="auto" w:fill="FDE2D0"/>
          </w:tcPr>
          <w:p>
            <w:pPr>
              <w:spacing w:before="20" w:after="20"/>
              <w:jc w:val="center"/>
            </w:pPr>
            <w:r/>
            <w:r>
              <w:rPr>
                <w:rFonts w:ascii="Arial" w:hAnsi="Arial"/>
                <w:b w:val="0"/>
                <w:i w:val="0"/>
                <w:sz w:val="15"/>
              </w:rPr>
              <w:t>High</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s.8(1), s.11(1)(b), s.16,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G052</w:t>
            </w:r>
          </w:p>
        </w:tc>
        <w:tc>
          <w:tcPr>
            <w:tcW w:type="dxa" w:w="972"/>
          </w:tcPr>
          <w:p>
            <w:pPr>
              <w:spacing w:before="20" w:after="20"/>
              <w:jc w:val="center"/>
            </w:pPr>
            <w:r/>
            <w:r>
              <w:rPr>
                <w:rFonts w:ascii="Arial" w:hAnsi="Arial"/>
                <w:b w:val="0"/>
                <w:i w:val="0"/>
                <w:sz w:val="16"/>
              </w:rPr>
              <w:t>NOT-04</w:t>
            </w:r>
          </w:p>
        </w:tc>
        <w:tc>
          <w:tcPr>
            <w:tcW w:type="dxa" w:w="1943"/>
          </w:tcPr>
          <w:p>
            <w:pPr>
              <w:spacing w:before="20" w:after="20"/>
            </w:pPr>
            <w:r/>
            <w:r>
              <w:rPr>
                <w:rFonts w:ascii="Arial" w:hAnsi="Arial"/>
                <w:b w:val="0"/>
                <w:i w:val="0"/>
                <w:sz w:val="15"/>
              </w:rPr>
              <w:t>Notice</w:t>
            </w:r>
          </w:p>
        </w:tc>
        <w:tc>
          <w:tcPr>
            <w:tcW w:type="dxa" w:w="3400"/>
          </w:tcPr>
          <w:p>
            <w:pPr>
              <w:spacing w:before="20" w:after="20"/>
            </w:pPr>
            <w:r/>
            <w:r>
              <w:rPr>
                <w:rFonts w:ascii="Times New Roman" w:hAnsi="Times New Roman"/>
                <w:b w:val="0"/>
                <w:i w:val="0"/>
                <w:sz w:val="15"/>
              </w:rPr>
              <w:t>Notice and consent screens are available in English and Hindi only. The entity's own registration data shows material user populations in Tamil, Telugu, Marathi, Bengali and Kannada. No language other than English and Hindi is offered, and no request mechanism exists for the remaining Eighth Schedule languages.</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CC8"/>
          </w:tcPr>
          <w:p>
            <w:pPr>
              <w:spacing w:before="20" w:after="20"/>
              <w:jc w:val="center"/>
            </w:pPr>
            <w:r/>
            <w:r>
              <w:rPr>
                <w:rFonts w:ascii="Arial" w:hAnsi="Arial"/>
                <w:b/>
                <w:i w:val="0"/>
                <w:sz w:val="17"/>
              </w:rPr>
              <w:t>6</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s.5(3),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G053</w:t>
            </w:r>
          </w:p>
        </w:tc>
        <w:tc>
          <w:tcPr>
            <w:tcW w:type="dxa" w:w="972"/>
          </w:tcPr>
          <w:p>
            <w:pPr>
              <w:spacing w:before="20" w:after="20"/>
              <w:jc w:val="center"/>
            </w:pPr>
            <w:r/>
            <w:r>
              <w:rPr>
                <w:rFonts w:ascii="Arial" w:hAnsi="Arial"/>
                <w:b w:val="0"/>
                <w:i w:val="0"/>
                <w:sz w:val="16"/>
              </w:rPr>
              <w:t>BRD-01</w:t>
            </w:r>
          </w:p>
        </w:tc>
        <w:tc>
          <w:tcPr>
            <w:tcW w:type="dxa" w:w="1943"/>
          </w:tcPr>
          <w:p>
            <w:pPr>
              <w:spacing w:before="20" w:after="20"/>
            </w:pPr>
            <w:r/>
            <w:r>
              <w:rPr>
                <w:rFonts w:ascii="Arial" w:hAnsi="Arial"/>
                <w:b w:val="0"/>
                <w:i w:val="0"/>
                <w:sz w:val="15"/>
              </w:rPr>
              <w:t>Enforcement Readiness &amp; Board Engagement</w:t>
            </w:r>
          </w:p>
        </w:tc>
        <w:tc>
          <w:tcPr>
            <w:tcW w:type="dxa" w:w="3400"/>
          </w:tcPr>
          <w:p>
            <w:pPr>
              <w:spacing w:before="20" w:after="20"/>
            </w:pPr>
            <w:r/>
            <w:r>
              <w:rPr>
                <w:rFonts w:ascii="Times New Roman" w:hAnsi="Times New Roman"/>
                <w:b w:val="0"/>
                <w:i w:val="0"/>
                <w:sz w:val="15"/>
              </w:rPr>
              <w:t>The entity has experience of responding to RBI inspections and has a regulatory response process, which provides a partial foundation. No owner is designated for Data Protection Board correspondence, and the evidence deficiencies at GOV-07 and CON-07 mean the entity could not currently produce the consent and notice records an inquiry would be most likely to seek.</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CC8"/>
          </w:tcPr>
          <w:p>
            <w:pPr>
              <w:spacing w:before="20" w:after="20"/>
              <w:jc w:val="center"/>
            </w:pPr>
            <w:r/>
            <w:r>
              <w:rPr>
                <w:rFonts w:ascii="Arial" w:hAnsi="Arial"/>
                <w:b/>
                <w:i w:val="0"/>
                <w:sz w:val="17"/>
              </w:rPr>
              <w:t>4</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s.27, s.28, s.36,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G054</w:t>
            </w:r>
          </w:p>
        </w:tc>
        <w:tc>
          <w:tcPr>
            <w:tcW w:type="dxa" w:w="972"/>
          </w:tcPr>
          <w:p>
            <w:pPr>
              <w:spacing w:before="20" w:after="20"/>
              <w:jc w:val="center"/>
            </w:pPr>
            <w:r/>
            <w:r>
              <w:rPr>
                <w:rFonts w:ascii="Arial" w:hAnsi="Arial"/>
                <w:b w:val="0"/>
                <w:i w:val="0"/>
                <w:sz w:val="16"/>
              </w:rPr>
              <w:t>CON-05</w:t>
            </w:r>
          </w:p>
        </w:tc>
        <w:tc>
          <w:tcPr>
            <w:tcW w:type="dxa" w:w="1943"/>
          </w:tcPr>
          <w:p>
            <w:pPr>
              <w:spacing w:before="20" w:after="20"/>
            </w:pPr>
            <w:r/>
            <w:r>
              <w:rPr>
                <w:rFonts w:ascii="Arial" w:hAnsi="Arial"/>
                <w:b w:val="0"/>
                <w:i w:val="0"/>
                <w:sz w:val="15"/>
              </w:rPr>
              <w:t>Consent</w:t>
            </w:r>
          </w:p>
        </w:tc>
        <w:tc>
          <w:tcPr>
            <w:tcW w:type="dxa" w:w="3400"/>
          </w:tcPr>
          <w:p>
            <w:pPr>
              <w:spacing w:before="20" w:after="20"/>
            </w:pPr>
            <w:r/>
            <w:r>
              <w:rPr>
                <w:rFonts w:ascii="Times New Roman" w:hAnsi="Times New Roman"/>
                <w:b w:val="0"/>
                <w:i w:val="0"/>
                <w:sz w:val="15"/>
              </w:rPr>
              <w:t>Consequences of withdrawal are described in the policy document but are not surfaced at the point of withdrawal, and the description does not distinguish consequences that follow from the withdrawal itself from service changes the entity elects to make.</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CC8"/>
          </w:tcPr>
          <w:p>
            <w:pPr>
              <w:spacing w:before="20" w:after="20"/>
              <w:jc w:val="center"/>
            </w:pPr>
            <w:r/>
            <w:r>
              <w:rPr>
                <w:rFonts w:ascii="Arial" w:hAnsi="Arial"/>
                <w:b/>
                <w:i w:val="0"/>
                <w:sz w:val="17"/>
              </w:rPr>
              <w:t>4</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s.6(5), s.6(6),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G055</w:t>
            </w:r>
          </w:p>
        </w:tc>
        <w:tc>
          <w:tcPr>
            <w:tcW w:type="dxa" w:w="972"/>
          </w:tcPr>
          <w:p>
            <w:pPr>
              <w:spacing w:before="20" w:after="20"/>
              <w:jc w:val="center"/>
            </w:pPr>
            <w:r/>
            <w:r>
              <w:rPr>
                <w:rFonts w:ascii="Arial" w:hAnsi="Arial"/>
                <w:b w:val="0"/>
                <w:i w:val="0"/>
                <w:sz w:val="16"/>
              </w:rPr>
              <w:t>GOV-04</w:t>
            </w:r>
          </w:p>
        </w:tc>
        <w:tc>
          <w:tcPr>
            <w:tcW w:type="dxa" w:w="1943"/>
          </w:tcPr>
          <w:p>
            <w:pPr>
              <w:spacing w:before="20" w:after="20"/>
            </w:pPr>
            <w:r/>
            <w:r>
              <w:rPr>
                <w:rFonts w:ascii="Arial" w:hAnsi="Arial"/>
                <w:b w:val="0"/>
                <w:i w:val="0"/>
                <w:sz w:val="15"/>
              </w:rPr>
              <w:t>Governance, Accountability &amp; Records</w:t>
            </w:r>
          </w:p>
        </w:tc>
        <w:tc>
          <w:tcPr>
            <w:tcW w:type="dxa" w:w="3400"/>
          </w:tcPr>
          <w:p>
            <w:pPr>
              <w:spacing w:before="20" w:after="20"/>
            </w:pPr>
            <w:r/>
            <w:r>
              <w:rPr>
                <w:rFonts w:ascii="Times New Roman" w:hAnsi="Times New Roman"/>
                <w:b w:val="0"/>
                <w:i w:val="0"/>
                <w:sz w:val="15"/>
              </w:rPr>
              <w:t>Privacy is reported to the Risk Management Committee twice yearly as part of a combined information security update. Minutes for the two meetings in the period record no privacy-specific decision, no budget approval and no challenge from members. There is no board-level acceptance of the residual risk arising from the open items in this report.</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CC8"/>
          </w:tcPr>
          <w:p>
            <w:pPr>
              <w:spacing w:before="20" w:after="20"/>
              <w:jc w:val="center"/>
            </w:pPr>
            <w:r/>
            <w:r>
              <w:rPr>
                <w:rFonts w:ascii="Arial" w:hAnsi="Arial"/>
                <w:b/>
                <w:i w:val="0"/>
                <w:sz w:val="17"/>
              </w:rPr>
              <w:t>4</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s.8(1), s.10(2)(a), DPDP Act, 2023</w:t>
            </w:r>
          </w:p>
        </w:tc>
        <w:tc>
          <w:tcPr>
            <w:tcW w:type="dxa" w:w="2064"/>
          </w:tcPr>
          <w:p>
            <w:pPr>
              <w:spacing w:before="20" w:after="20"/>
            </w:pPr>
            <w:r/>
            <w:r>
              <w:rPr>
                <w:rFonts w:ascii="Arial" w:hAnsi="Arial"/>
                <w:b w:val="0"/>
                <w:i w:val="0"/>
                <w:sz w:val="14"/>
              </w:rPr>
              <w:t>Vikram Shetty, Chief Financial Officer</w:t>
            </w:r>
          </w:p>
        </w:tc>
      </w:tr>
      <w:tr>
        <w:trPr>
          <w:cantSplit/>
        </w:trPr>
        <w:tc>
          <w:tcPr>
            <w:tcW w:type="dxa" w:w="850"/>
          </w:tcPr>
          <w:p>
            <w:pPr>
              <w:spacing w:before="20" w:after="20"/>
              <w:jc w:val="center"/>
            </w:pPr>
            <w:r/>
            <w:r>
              <w:rPr>
                <w:rFonts w:ascii="Arial" w:hAnsi="Arial"/>
                <w:b/>
                <w:i w:val="0"/>
                <w:sz w:val="16"/>
              </w:rPr>
              <w:t>G056</w:t>
            </w:r>
          </w:p>
        </w:tc>
        <w:tc>
          <w:tcPr>
            <w:tcW w:type="dxa" w:w="972"/>
          </w:tcPr>
          <w:p>
            <w:pPr>
              <w:spacing w:before="20" w:after="20"/>
              <w:jc w:val="center"/>
            </w:pPr>
            <w:r/>
            <w:r>
              <w:rPr>
                <w:rFonts w:ascii="Arial" w:hAnsi="Arial"/>
                <w:b w:val="0"/>
                <w:i w:val="0"/>
                <w:sz w:val="16"/>
              </w:rPr>
              <w:t>GOV-06</w:t>
            </w:r>
          </w:p>
        </w:tc>
        <w:tc>
          <w:tcPr>
            <w:tcW w:type="dxa" w:w="1943"/>
          </w:tcPr>
          <w:p>
            <w:pPr>
              <w:spacing w:before="20" w:after="20"/>
            </w:pPr>
            <w:r/>
            <w:r>
              <w:rPr>
                <w:rFonts w:ascii="Arial" w:hAnsi="Arial"/>
                <w:b w:val="0"/>
                <w:i w:val="0"/>
                <w:sz w:val="15"/>
              </w:rPr>
              <w:t>Governance, Accountability &amp; Records</w:t>
            </w:r>
          </w:p>
        </w:tc>
        <w:tc>
          <w:tcPr>
            <w:tcW w:type="dxa" w:w="3400"/>
          </w:tcPr>
          <w:p>
            <w:pPr>
              <w:spacing w:before="20" w:after="20"/>
            </w:pPr>
            <w:r/>
            <w:r>
              <w:rPr>
                <w:rFonts w:ascii="Times New Roman" w:hAnsi="Times New Roman"/>
                <w:b w:val="0"/>
                <w:i w:val="0"/>
                <w:sz w:val="15"/>
              </w:rPr>
              <w:t>Annual information security training is mandatory and completion stands at 94 per cent. Privacy content within it runs to four slides and does not address consent, rights handling or the children's provisions. No role-specific training has been delivered to the engineering, marketing or collections teams whose decisions determine compliance in practice.</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CC8"/>
          </w:tcPr>
          <w:p>
            <w:pPr>
              <w:spacing w:before="20" w:after="20"/>
              <w:jc w:val="center"/>
            </w:pPr>
            <w:r/>
            <w:r>
              <w:rPr>
                <w:rFonts w:ascii="Arial" w:hAnsi="Arial"/>
                <w:b/>
                <w:i w:val="0"/>
                <w:sz w:val="17"/>
              </w:rPr>
              <w:t>4</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s.8(4), DPDP Act, 2023</w:t>
            </w:r>
          </w:p>
        </w:tc>
        <w:tc>
          <w:tcPr>
            <w:tcW w:type="dxa" w:w="2064"/>
          </w:tcPr>
          <w:p>
            <w:pPr>
              <w:spacing w:before="20" w:after="20"/>
            </w:pPr>
            <w:r/>
            <w:r>
              <w:rPr>
                <w:rFonts w:ascii="Arial" w:hAnsi="Arial"/>
                <w:b w:val="0"/>
                <w:i w:val="0"/>
                <w:sz w:val="14"/>
              </w:rPr>
              <w:t>Sneha Kulkarni, Head of People</w:t>
            </w:r>
          </w:p>
        </w:tc>
      </w:tr>
      <w:tr>
        <w:trPr>
          <w:cantSplit/>
        </w:trPr>
        <w:tc>
          <w:tcPr>
            <w:tcW w:type="dxa" w:w="850"/>
          </w:tcPr>
          <w:p>
            <w:pPr>
              <w:spacing w:before="20" w:after="20"/>
              <w:jc w:val="center"/>
            </w:pPr>
            <w:r/>
            <w:r>
              <w:rPr>
                <w:rFonts w:ascii="Arial" w:hAnsi="Arial"/>
                <w:b/>
                <w:i w:val="0"/>
                <w:sz w:val="16"/>
              </w:rPr>
              <w:t>G057</w:t>
            </w:r>
          </w:p>
        </w:tc>
        <w:tc>
          <w:tcPr>
            <w:tcW w:type="dxa" w:w="972"/>
          </w:tcPr>
          <w:p>
            <w:pPr>
              <w:spacing w:before="20" w:after="20"/>
              <w:jc w:val="center"/>
            </w:pPr>
            <w:r/>
            <w:r>
              <w:rPr>
                <w:rFonts w:ascii="Arial" w:hAnsi="Arial"/>
                <w:b w:val="0"/>
                <w:i w:val="0"/>
                <w:sz w:val="16"/>
              </w:rPr>
              <w:t>PUR-05</w:t>
            </w:r>
          </w:p>
        </w:tc>
        <w:tc>
          <w:tcPr>
            <w:tcW w:type="dxa" w:w="1943"/>
          </w:tcPr>
          <w:p>
            <w:pPr>
              <w:spacing w:before="20" w:after="20"/>
            </w:pPr>
            <w:r/>
            <w:r>
              <w:rPr>
                <w:rFonts w:ascii="Arial" w:hAnsi="Arial"/>
                <w:b w:val="0"/>
                <w:i w:val="0"/>
                <w:sz w:val="15"/>
              </w:rPr>
              <w:t>Lawful Purpose, Minimisation &amp; Accuracy</w:t>
            </w:r>
          </w:p>
        </w:tc>
        <w:tc>
          <w:tcPr>
            <w:tcW w:type="dxa" w:w="3400"/>
          </w:tcPr>
          <w:p>
            <w:pPr>
              <w:spacing w:before="20" w:after="20"/>
            </w:pPr>
            <w:r/>
            <w:r>
              <w:rPr>
                <w:rFonts w:ascii="Times New Roman" w:hAnsi="Times New Roman"/>
                <w:b w:val="0"/>
                <w:i w:val="0"/>
                <w:sz w:val="15"/>
              </w:rPr>
              <w:t>A privacy review is a documented gate in the product development lifecycle but is discretionary in practice. Of the 11 features released in the period, three carried a completed review. Kavach Junior, the highest-risk launch in the period, went live without one.</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CC8"/>
          </w:tcPr>
          <w:p>
            <w:pPr>
              <w:spacing w:before="20" w:after="20"/>
              <w:jc w:val="center"/>
            </w:pPr>
            <w:r/>
            <w:r>
              <w:rPr>
                <w:rFonts w:ascii="Arial" w:hAnsi="Arial"/>
                <w:b/>
                <w:i w:val="0"/>
                <w:sz w:val="17"/>
              </w:rPr>
              <w:t>4</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s.8(4), DPDP Act, 2023</w:t>
            </w:r>
          </w:p>
        </w:tc>
        <w:tc>
          <w:tcPr>
            <w:tcW w:type="dxa" w:w="2064"/>
          </w:tcPr>
          <w:p>
            <w:pPr>
              <w:spacing w:before="20" w:after="20"/>
            </w:pPr>
            <w:r/>
            <w:r>
              <w:rPr>
                <w:rFonts w:ascii="Arial" w:hAnsi="Arial"/>
                <w:b w:val="0"/>
                <w:i w:val="0"/>
                <w:sz w:val="14"/>
              </w:rPr>
              <w:t>Rohit Menon, Head of Product</w:t>
            </w:r>
          </w:p>
        </w:tc>
      </w:tr>
      <w:tr>
        <w:trPr>
          <w:cantSplit/>
        </w:trPr>
        <w:tc>
          <w:tcPr>
            <w:tcW w:type="dxa" w:w="850"/>
          </w:tcPr>
          <w:p>
            <w:pPr>
              <w:spacing w:before="20" w:after="20"/>
              <w:jc w:val="center"/>
            </w:pPr>
            <w:r/>
            <w:r>
              <w:rPr>
                <w:rFonts w:ascii="Arial" w:hAnsi="Arial"/>
                <w:b/>
                <w:i w:val="0"/>
                <w:sz w:val="16"/>
              </w:rPr>
              <w:t>G058</w:t>
            </w:r>
          </w:p>
        </w:tc>
        <w:tc>
          <w:tcPr>
            <w:tcW w:type="dxa" w:w="972"/>
          </w:tcPr>
          <w:p>
            <w:pPr>
              <w:spacing w:before="20" w:after="20"/>
              <w:jc w:val="center"/>
            </w:pPr>
            <w:r/>
            <w:r>
              <w:rPr>
                <w:rFonts w:ascii="Arial" w:hAnsi="Arial"/>
                <w:b w:val="0"/>
                <w:i w:val="0"/>
                <w:sz w:val="16"/>
              </w:rPr>
              <w:t>XBD-02</w:t>
            </w:r>
          </w:p>
        </w:tc>
        <w:tc>
          <w:tcPr>
            <w:tcW w:type="dxa" w:w="1943"/>
          </w:tcPr>
          <w:p>
            <w:pPr>
              <w:spacing w:before="20" w:after="20"/>
            </w:pPr>
            <w:r/>
            <w:r>
              <w:rPr>
                <w:rFonts w:ascii="Arial" w:hAnsi="Arial"/>
                <w:b w:val="0"/>
                <w:i w:val="0"/>
                <w:sz w:val="15"/>
              </w:rPr>
              <w:t>Cross-Border Transfers</w:t>
            </w:r>
          </w:p>
        </w:tc>
        <w:tc>
          <w:tcPr>
            <w:tcW w:type="dxa" w:w="3400"/>
          </w:tcPr>
          <w:p>
            <w:pPr>
              <w:spacing w:before="20" w:after="20"/>
            </w:pPr>
            <w:r/>
            <w:r>
              <w:rPr>
                <w:rFonts w:ascii="Times New Roman" w:hAnsi="Times New Roman"/>
                <w:b w:val="0"/>
                <w:i w:val="0"/>
                <w:sz w:val="15"/>
              </w:rPr>
              <w:t>No mechanism exists for monitoring restricted-country notifications. The entity became aware of the transfer restriction regime through this assessment and has no owner for tracking it, which means a notification would not be detected and acted upon.</w:t>
            </w:r>
          </w:p>
        </w:tc>
        <w:tc>
          <w:tcPr>
            <w:tcW w:type="dxa" w:w="850"/>
            <w:shd w:val="clear" w:color="auto" w:fill="FDECC8"/>
          </w:tcPr>
          <w:p>
            <w:pPr>
              <w:spacing w:before="20" w:after="20"/>
              <w:jc w:val="center"/>
            </w:pPr>
            <w:r/>
            <w:r>
              <w:rPr>
                <w:rFonts w:ascii="Arial" w:hAnsi="Arial"/>
                <w:b w:val="0"/>
                <w:i w:val="0"/>
                <w:sz w:val="15"/>
              </w:rPr>
              <w:t>Medium</w:t>
            </w:r>
          </w:p>
        </w:tc>
        <w:tc>
          <w:tcPr>
            <w:tcW w:type="dxa" w:w="729"/>
            <w:shd w:val="clear" w:color="auto" w:fill="FDECC8"/>
          </w:tcPr>
          <w:p>
            <w:pPr>
              <w:spacing w:before="20" w:after="20"/>
              <w:jc w:val="center"/>
            </w:pPr>
            <w:r/>
            <w:r>
              <w:rPr>
                <w:rFonts w:ascii="Arial" w:hAnsi="Arial"/>
                <w:b/>
                <w:i w:val="0"/>
                <w:sz w:val="17"/>
              </w:rPr>
              <w:t>4</w:t>
            </w:r>
          </w:p>
        </w:tc>
        <w:tc>
          <w:tcPr>
            <w:tcW w:type="dxa" w:w="911"/>
          </w:tcPr>
          <w:p>
            <w:pPr>
              <w:spacing w:before="20" w:after="20"/>
              <w:jc w:val="center"/>
            </w:pPr>
            <w:r/>
            <w:r>
              <w:rPr>
                <w:rFonts w:ascii="Arial" w:hAnsi="Arial"/>
                <w:b/>
                <w:i w:val="0"/>
                <w:sz w:val="16"/>
              </w:rPr>
              <w:t>P3</w:t>
            </w:r>
          </w:p>
        </w:tc>
        <w:tc>
          <w:tcPr>
            <w:tcW w:type="dxa" w:w="972"/>
          </w:tcPr>
          <w:p>
            <w:pPr>
              <w:spacing w:before="20" w:after="20"/>
              <w:jc w:val="center"/>
            </w:pPr>
            <w:r/>
            <w:r>
              <w:rPr>
                <w:rFonts w:ascii="Arial" w:hAnsi="Arial"/>
                <w:b w:val="0"/>
                <w:i w:val="0"/>
                <w:sz w:val="15"/>
              </w:rPr>
              <w:t>2026-11-12</w:t>
            </w:r>
          </w:p>
        </w:tc>
        <w:tc>
          <w:tcPr>
            <w:tcW w:type="dxa" w:w="1336"/>
          </w:tcPr>
          <w:p>
            <w:pPr>
              <w:spacing w:before="20" w:after="20"/>
              <w:jc w:val="center"/>
            </w:pPr>
            <w:r/>
            <w:r>
              <w:rPr>
                <w:rFonts w:ascii="Arial" w:hAnsi="Arial"/>
                <w:b w:val="0"/>
                <w:i w:val="0"/>
                <w:sz w:val="14"/>
              </w:rPr>
              <w:t>s.16(1),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G059</w:t>
            </w:r>
          </w:p>
        </w:tc>
        <w:tc>
          <w:tcPr>
            <w:tcW w:type="dxa" w:w="972"/>
          </w:tcPr>
          <w:p>
            <w:pPr>
              <w:spacing w:before="20" w:after="20"/>
              <w:jc w:val="center"/>
            </w:pPr>
            <w:r/>
            <w:r>
              <w:rPr>
                <w:rFonts w:ascii="Arial" w:hAnsi="Arial"/>
                <w:b w:val="0"/>
                <w:i w:val="0"/>
                <w:sz w:val="16"/>
              </w:rPr>
              <w:t>BRD-02</w:t>
            </w:r>
          </w:p>
        </w:tc>
        <w:tc>
          <w:tcPr>
            <w:tcW w:type="dxa" w:w="1943"/>
          </w:tcPr>
          <w:p>
            <w:pPr>
              <w:spacing w:before="20" w:after="20"/>
            </w:pPr>
            <w:r/>
            <w:r>
              <w:rPr>
                <w:rFonts w:ascii="Arial" w:hAnsi="Arial"/>
                <w:b w:val="0"/>
                <w:i w:val="0"/>
                <w:sz w:val="15"/>
              </w:rPr>
              <w:t>Enforcement Readiness &amp; Board Engagement</w:t>
            </w:r>
          </w:p>
        </w:tc>
        <w:tc>
          <w:tcPr>
            <w:tcW w:type="dxa" w:w="3400"/>
          </w:tcPr>
          <w:p>
            <w:pPr>
              <w:spacing w:before="20" w:after="20"/>
            </w:pPr>
            <w:r/>
            <w:r>
              <w:rPr>
                <w:rFonts w:ascii="Times New Roman" w:hAnsi="Times New Roman"/>
                <w:b w:val="0"/>
                <w:i w:val="0"/>
                <w:sz w:val="15"/>
              </w:rPr>
              <w:t>Management was not aware of the voluntary undertaking mechanism or that mitigating action and its timeliness are express factors in determining a penalty. The practical significance — that documented prompt remediation of the findings in this report is itself risk mitigation — had not been considered.</w:t>
            </w:r>
          </w:p>
        </w:tc>
        <w:tc>
          <w:tcPr>
            <w:tcW w:type="dxa" w:w="850"/>
            <w:shd w:val="clear" w:color="auto" w:fill="EDEDED"/>
          </w:tcPr>
          <w:p>
            <w:pPr>
              <w:spacing w:before="20" w:after="20"/>
              <w:jc w:val="center"/>
            </w:pPr>
            <w:r/>
            <w:r>
              <w:rPr>
                <w:rFonts w:ascii="Arial" w:hAnsi="Arial"/>
                <w:b w:val="0"/>
                <w:i w:val="0"/>
                <w:sz w:val="15"/>
              </w:rPr>
              <w:t>Low</w:t>
            </w:r>
          </w:p>
        </w:tc>
        <w:tc>
          <w:tcPr>
            <w:tcW w:type="dxa" w:w="729"/>
            <w:shd w:val="clear" w:color="auto" w:fill="EDEDED"/>
          </w:tcPr>
          <w:p>
            <w:pPr>
              <w:spacing w:before="20" w:after="20"/>
              <w:jc w:val="center"/>
            </w:pPr>
            <w:r/>
            <w:r>
              <w:rPr>
                <w:rFonts w:ascii="Arial" w:hAnsi="Arial"/>
                <w:b/>
                <w:i w:val="0"/>
                <w:sz w:val="17"/>
              </w:rPr>
              <w:t>3</w:t>
            </w:r>
          </w:p>
        </w:tc>
        <w:tc>
          <w:tcPr>
            <w:tcW w:type="dxa" w:w="911"/>
          </w:tcPr>
          <w:p>
            <w:pPr>
              <w:spacing w:before="20" w:after="20"/>
              <w:jc w:val="center"/>
            </w:pPr>
            <w:r/>
            <w:r>
              <w:rPr>
                <w:rFonts w:ascii="Arial" w:hAnsi="Arial"/>
                <w:b/>
                <w:i w:val="0"/>
                <w:sz w:val="16"/>
              </w:rPr>
              <w:t>P4</w:t>
            </w:r>
          </w:p>
        </w:tc>
        <w:tc>
          <w:tcPr>
            <w:tcW w:type="dxa" w:w="972"/>
          </w:tcPr>
          <w:p>
            <w:pPr>
              <w:spacing w:before="20" w:after="20"/>
              <w:jc w:val="center"/>
            </w:pPr>
            <w:r/>
            <w:r>
              <w:rPr>
                <w:rFonts w:ascii="Arial" w:hAnsi="Arial"/>
                <w:b w:val="0"/>
                <w:i w:val="0"/>
                <w:sz w:val="15"/>
              </w:rPr>
              <w:t>2027-02-10</w:t>
            </w:r>
          </w:p>
        </w:tc>
        <w:tc>
          <w:tcPr>
            <w:tcW w:type="dxa" w:w="1336"/>
          </w:tcPr>
          <w:p>
            <w:pPr>
              <w:spacing w:before="20" w:after="20"/>
              <w:jc w:val="center"/>
            </w:pPr>
            <w:r/>
            <w:r>
              <w:rPr>
                <w:rFonts w:ascii="Arial" w:hAnsi="Arial"/>
                <w:b w:val="0"/>
                <w:i w:val="0"/>
                <w:sz w:val="14"/>
              </w:rPr>
              <w:t>s.32, s.33(2), DPDP Act, 2023</w:t>
            </w:r>
          </w:p>
        </w:tc>
        <w:tc>
          <w:tcPr>
            <w:tcW w:type="dxa" w:w="2064"/>
          </w:tcPr>
          <w:p>
            <w:pPr>
              <w:spacing w:before="20" w:after="20"/>
            </w:pPr>
            <w:r/>
            <w:r>
              <w:rPr>
                <w:rFonts w:ascii="Arial" w:hAnsi="Arial"/>
                <w:b w:val="0"/>
                <w:i w:val="0"/>
                <w:sz w:val="14"/>
              </w:rPr>
              <w:t>Meera Raghunathan, Head of Legal &amp; Compliance</w:t>
            </w:r>
          </w:p>
        </w:tc>
      </w:tr>
      <w:tr>
        <w:trPr>
          <w:cantSplit/>
        </w:trPr>
        <w:tc>
          <w:tcPr>
            <w:tcW w:type="dxa" w:w="850"/>
          </w:tcPr>
          <w:p>
            <w:pPr>
              <w:spacing w:before="20" w:after="20"/>
              <w:jc w:val="center"/>
            </w:pPr>
            <w:r/>
            <w:r>
              <w:rPr>
                <w:rFonts w:ascii="Arial" w:hAnsi="Arial"/>
                <w:b/>
                <w:i w:val="0"/>
                <w:sz w:val="16"/>
              </w:rPr>
              <w:t>G060</w:t>
            </w:r>
          </w:p>
        </w:tc>
        <w:tc>
          <w:tcPr>
            <w:tcW w:type="dxa" w:w="972"/>
          </w:tcPr>
          <w:p>
            <w:pPr>
              <w:spacing w:before="20" w:after="20"/>
              <w:jc w:val="center"/>
            </w:pPr>
            <w:r/>
            <w:r>
              <w:rPr>
                <w:rFonts w:ascii="Arial" w:hAnsi="Arial"/>
                <w:b w:val="0"/>
                <w:i w:val="0"/>
                <w:sz w:val="16"/>
              </w:rPr>
              <w:t>GRV-04</w:t>
            </w:r>
          </w:p>
        </w:tc>
        <w:tc>
          <w:tcPr>
            <w:tcW w:type="dxa" w:w="1943"/>
          </w:tcPr>
          <w:p>
            <w:pPr>
              <w:spacing w:before="20" w:after="20"/>
            </w:pPr>
            <w:r/>
            <w:r>
              <w:rPr>
                <w:rFonts w:ascii="Arial" w:hAnsi="Arial"/>
                <w:b w:val="0"/>
                <w:i w:val="0"/>
                <w:sz w:val="15"/>
              </w:rPr>
              <w:t>Grievance Redressal</w:t>
            </w:r>
          </w:p>
        </w:tc>
        <w:tc>
          <w:tcPr>
            <w:tcW w:type="dxa" w:w="3400"/>
          </w:tcPr>
          <w:p>
            <w:pPr>
              <w:spacing w:before="20" w:after="20"/>
            </w:pPr>
            <w:r/>
            <w:r>
              <w:rPr>
                <w:rFonts w:ascii="Times New Roman" w:hAnsi="Times New Roman"/>
                <w:b w:val="0"/>
                <w:i w:val="0"/>
                <w:sz w:val="15"/>
              </w:rPr>
              <w:t>No trend analysis is performed. Privacy grievances are not tagged, so the recurring theme identified during this assessment — inability to stop marketing contact after withdrawal — has never been reported to management as a pattern despite appearing in 9 of the 15 tickets sampled.</w:t>
            </w:r>
          </w:p>
        </w:tc>
        <w:tc>
          <w:tcPr>
            <w:tcW w:type="dxa" w:w="850"/>
            <w:shd w:val="clear" w:color="auto" w:fill="EDEDED"/>
          </w:tcPr>
          <w:p>
            <w:pPr>
              <w:spacing w:before="20" w:after="20"/>
              <w:jc w:val="center"/>
            </w:pPr>
            <w:r/>
            <w:r>
              <w:rPr>
                <w:rFonts w:ascii="Arial" w:hAnsi="Arial"/>
                <w:b w:val="0"/>
                <w:i w:val="0"/>
                <w:sz w:val="15"/>
              </w:rPr>
              <w:t>Low</w:t>
            </w:r>
          </w:p>
        </w:tc>
        <w:tc>
          <w:tcPr>
            <w:tcW w:type="dxa" w:w="729"/>
            <w:shd w:val="clear" w:color="auto" w:fill="EDEDED"/>
          </w:tcPr>
          <w:p>
            <w:pPr>
              <w:spacing w:before="20" w:after="20"/>
              <w:jc w:val="center"/>
            </w:pPr>
            <w:r/>
            <w:r>
              <w:rPr>
                <w:rFonts w:ascii="Arial" w:hAnsi="Arial"/>
                <w:b/>
                <w:i w:val="0"/>
                <w:sz w:val="17"/>
              </w:rPr>
              <w:t>3</w:t>
            </w:r>
          </w:p>
        </w:tc>
        <w:tc>
          <w:tcPr>
            <w:tcW w:type="dxa" w:w="911"/>
          </w:tcPr>
          <w:p>
            <w:pPr>
              <w:spacing w:before="20" w:after="20"/>
              <w:jc w:val="center"/>
            </w:pPr>
            <w:r/>
            <w:r>
              <w:rPr>
                <w:rFonts w:ascii="Arial" w:hAnsi="Arial"/>
                <w:b/>
                <w:i w:val="0"/>
                <w:sz w:val="16"/>
              </w:rPr>
              <w:t>P4</w:t>
            </w:r>
          </w:p>
        </w:tc>
        <w:tc>
          <w:tcPr>
            <w:tcW w:type="dxa" w:w="972"/>
          </w:tcPr>
          <w:p>
            <w:pPr>
              <w:spacing w:before="20" w:after="20"/>
              <w:jc w:val="center"/>
            </w:pPr>
            <w:r/>
            <w:r>
              <w:rPr>
                <w:rFonts w:ascii="Arial" w:hAnsi="Arial"/>
                <w:b w:val="0"/>
                <w:i w:val="0"/>
                <w:sz w:val="15"/>
              </w:rPr>
              <w:t>2027-02-10</w:t>
            </w:r>
          </w:p>
        </w:tc>
        <w:tc>
          <w:tcPr>
            <w:tcW w:type="dxa" w:w="1336"/>
          </w:tcPr>
          <w:p>
            <w:pPr>
              <w:spacing w:before="20" w:after="20"/>
              <w:jc w:val="center"/>
            </w:pPr>
            <w:r/>
            <w:r>
              <w:rPr>
                <w:rFonts w:ascii="Arial" w:hAnsi="Arial"/>
                <w:b w:val="0"/>
                <w:i w:val="0"/>
                <w:sz w:val="14"/>
              </w:rPr>
              <w:t>s.8(9), DPDP Act, 2023</w:t>
            </w:r>
          </w:p>
        </w:tc>
        <w:tc>
          <w:tcPr>
            <w:tcW w:type="dxa" w:w="2064"/>
          </w:tcPr>
          <w:p>
            <w:pPr>
              <w:spacing w:before="20" w:after="20"/>
            </w:pPr>
            <w:r/>
            <w:r>
              <w:rPr>
                <w:rFonts w:ascii="Arial" w:hAnsi="Arial"/>
                <w:b w:val="0"/>
                <w:i w:val="0"/>
                <w:sz w:val="14"/>
              </w:rPr>
              <w:t>Anita Desai, Head of Customer Experience</w:t>
            </w:r>
          </w:p>
        </w:tc>
      </w:tr>
    </w:tbl>
    <w:p>
      <w:pPr>
        <w:sectPr>
          <w:footerReference w:type="default" r:id="rId10"/>
          <w:pgSz w:w="15840" w:h="12240" w:orient="landscape"/>
          <w:pgMar w:top="1020" w:right="907" w:bottom="1020" w:left="907" w:header="720" w:footer="720" w:gutter="0"/>
          <w:cols w:space="720"/>
          <w:docGrid w:linePitch="360"/>
        </w:sectPr>
      </w:pPr>
    </w:p>
    <w:p>
      <w:pPr>
        <w:pStyle w:val="Heading1"/>
        <w:keepNext/>
        <w:spacing w:before="280" w:after="120"/>
      </w:pPr>
      <w:r>
        <w:rPr>
          <w:rFonts w:ascii="Arial" w:hAnsi="Arial"/>
          <w:b/>
          <w:color w:val="1F3552"/>
          <w:sz w:val="32"/>
        </w:rPr>
        <w:t>6.  Remediation roadmap</w:t>
      </w:r>
    </w:p>
    <w:p>
      <w:pPr>
        <w:spacing w:before="0" w:after="120"/>
        <w:jc w:val="both"/>
      </w:pPr>
      <w:r>
        <w:rPr>
          <w:rFonts w:ascii="Times New Roman" w:hAnsi="Times New Roman"/>
          <w:b w:val="0"/>
          <w:i w:val="0"/>
          <w:sz w:val="21"/>
        </w:rPr>
        <w:t>Actions are grouped by priority band. Within a band, items are ordered by residual risk. The roadmap is expressed as target states rather than implementation designs: how each is achieved is a matter for the owner, but the standard to be reached is fixed by the control.</w:t>
      </w:r>
    </w:p>
    <w:p>
      <w:pPr>
        <w:spacing w:before="80" w:after="120"/>
        <w:jc w:val="both"/>
      </w:pPr>
      <w:r>
        <w:rPr>
          <w:rFonts w:ascii="Times New Roman" w:hAnsi="Times New Roman"/>
          <w:b w:val="0"/>
          <w:i w:val="0"/>
          <w:sz w:val="21"/>
        </w:rPr>
        <w:t>Sequencing note: several findings sit behind others. Retention and erasure (RET), rights fulfilment (RGT) and consent withdrawal (CON) all depend on the same underlying capability — the ability to locate every copy of a Data Principal's data and act on it. Commissioning that capability once will close a disproportionate share of the register, and it should be scheduled ahead of items that merely document existing practice.</w:t>
      </w:r>
    </w:p>
    <w:p>
      <w:pPr>
        <w:pStyle w:val="Heading2"/>
        <w:keepNext/>
        <w:spacing w:before="280" w:after="120"/>
      </w:pPr>
      <w:r>
        <w:rPr>
          <w:rFonts w:ascii="Arial" w:hAnsi="Arial"/>
          <w:b/>
          <w:color w:val="1F3552"/>
          <w:sz w:val="26"/>
        </w:rPr>
        <w:t>6.1  P1 — Immediate — remediate within 30 days</w:t>
      </w:r>
    </w:p>
    <w:p>
      <w:pPr>
        <w:spacing w:before="0" w:after="120"/>
      </w:pPr>
      <w:r>
        <w:rPr>
          <w:rFonts w:ascii="Times New Roman" w:hAnsi="Times New Roman"/>
          <w:b w:val="0"/>
          <w:i/>
          <w:color w:val="44546A"/>
          <w:sz w:val="19"/>
        </w:rPr>
        <w:t>13 items. Residual risk 12 to 16 of 16.</w:t>
      </w:r>
    </w:p>
    <w:tbl>
      <w:tblPr>
        <w:tblStyle w:val="TableGrid"/>
        <w:tblW w:w="9746" w:type="dxa"/>
        <w:jc w:val="center"/>
        <w:tblLayout w:type="fixed"/>
        <w:tblLook w:firstColumn="1" w:firstRow="1" w:lastColumn="0" w:lastRow="0" w:noHBand="0" w:noVBand="1" w:val="04A0"/>
      </w:tblPr>
      <w:tblGrid>
        <w:gridCol w:w="909"/>
        <w:gridCol w:w="1104"/>
        <w:gridCol w:w="4808"/>
        <w:gridCol w:w="1364"/>
        <w:gridCol w:w="1559"/>
      </w:tblGrid>
      <w:tr>
        <w:trPr>
          <w:tblHeader w:val="true"/>
        </w:trPr>
        <w:tc>
          <w:tcPr>
            <w:tcW w:type="dxa" w:w="909"/>
            <w:shd w:val="clear" w:color="auto" w:fill="1F3552"/>
          </w:tcPr>
          <w:p>
            <w:pPr>
              <w:spacing w:before="20" w:after="20"/>
              <w:jc w:val="center"/>
            </w:pPr>
            <w:r/>
            <w:r>
              <w:rPr>
                <w:rFonts w:ascii="Arial" w:hAnsi="Arial"/>
                <w:b/>
                <w:i w:val="0"/>
                <w:color w:val="FFFFFF"/>
                <w:sz w:val="18"/>
              </w:rPr>
              <w:t>Ref</w:t>
            </w:r>
          </w:p>
        </w:tc>
        <w:tc>
          <w:tcPr>
            <w:tcW w:type="dxa" w:w="1104"/>
            <w:shd w:val="clear" w:color="auto" w:fill="1F3552"/>
          </w:tcPr>
          <w:p>
            <w:pPr>
              <w:spacing w:before="20" w:after="20"/>
              <w:jc w:val="center"/>
            </w:pPr>
            <w:r/>
            <w:r>
              <w:rPr>
                <w:rFonts w:ascii="Arial" w:hAnsi="Arial"/>
                <w:b/>
                <w:i w:val="0"/>
                <w:color w:val="FFFFFF"/>
                <w:sz w:val="18"/>
              </w:rPr>
              <w:t>Control</w:t>
            </w:r>
          </w:p>
        </w:tc>
        <w:tc>
          <w:tcPr>
            <w:tcW w:type="dxa" w:w="4808"/>
            <w:shd w:val="clear" w:color="auto" w:fill="1F3552"/>
          </w:tcPr>
          <w:p>
            <w:pPr>
              <w:spacing w:before="20" w:after="20"/>
              <w:jc w:val="center"/>
            </w:pPr>
            <w:r/>
            <w:r>
              <w:rPr>
                <w:rFonts w:ascii="Arial" w:hAnsi="Arial"/>
                <w:b/>
                <w:i w:val="0"/>
                <w:color w:val="FFFFFF"/>
                <w:sz w:val="18"/>
              </w:rPr>
              <w:t>Required target state</w:t>
            </w:r>
          </w:p>
        </w:tc>
        <w:tc>
          <w:tcPr>
            <w:tcW w:type="dxa" w:w="1365"/>
            <w:shd w:val="clear" w:color="auto" w:fill="1F3552"/>
          </w:tcPr>
          <w:p>
            <w:pPr>
              <w:spacing w:before="20" w:after="20"/>
              <w:jc w:val="center"/>
            </w:pPr>
            <w:r/>
            <w:r>
              <w:rPr>
                <w:rFonts w:ascii="Arial" w:hAnsi="Arial"/>
                <w:b/>
                <w:i w:val="0"/>
                <w:color w:val="FFFFFF"/>
                <w:sz w:val="18"/>
              </w:rPr>
              <w:t>Target date</w:t>
            </w:r>
          </w:p>
        </w:tc>
        <w:tc>
          <w:tcPr>
            <w:tcW w:type="dxa" w:w="1560"/>
            <w:shd w:val="clear" w:color="auto" w:fill="1F3552"/>
          </w:tcPr>
          <w:p>
            <w:pPr>
              <w:spacing w:before="20" w:after="20"/>
              <w:jc w:val="center"/>
            </w:pPr>
            <w:r/>
            <w:r>
              <w:rPr>
                <w:rFonts w:ascii="Arial" w:hAnsi="Arial"/>
                <w:b/>
                <w:i w:val="0"/>
                <w:color w:val="FFFFFF"/>
                <w:sz w:val="18"/>
              </w:rPr>
              <w:t>Owner</w:t>
            </w:r>
          </w:p>
        </w:tc>
      </w:tr>
      <w:tr>
        <w:trPr>
          <w:cantSplit/>
        </w:trPr>
        <w:tc>
          <w:tcPr>
            <w:tcW w:type="dxa" w:w="909"/>
          </w:tcPr>
          <w:p>
            <w:pPr>
              <w:spacing w:before="20" w:after="20"/>
              <w:jc w:val="center"/>
            </w:pPr>
            <w:r/>
            <w:r>
              <w:rPr>
                <w:rFonts w:ascii="Arial" w:hAnsi="Arial"/>
                <w:b/>
                <w:i w:val="0"/>
                <w:sz w:val="17"/>
              </w:rPr>
              <w:t>G001</w:t>
            </w:r>
          </w:p>
        </w:tc>
        <w:tc>
          <w:tcPr>
            <w:tcW w:type="dxa" w:w="1104"/>
          </w:tcPr>
          <w:p>
            <w:pPr>
              <w:spacing w:before="20" w:after="20"/>
              <w:jc w:val="center"/>
            </w:pPr>
            <w:r/>
            <w:r>
              <w:rPr>
                <w:rFonts w:ascii="Arial" w:hAnsi="Arial"/>
                <w:b w:val="0"/>
                <w:i w:val="0"/>
                <w:sz w:val="17"/>
              </w:rPr>
              <w:t>CHD-03</w:t>
            </w:r>
          </w:p>
        </w:tc>
        <w:tc>
          <w:tcPr>
            <w:tcW w:type="dxa" w:w="4808"/>
          </w:tcPr>
          <w:p>
            <w:pPr>
              <w:spacing w:before="20" w:after="20"/>
            </w:pPr>
            <w:r/>
            <w:r>
              <w:rPr>
                <w:rFonts w:ascii="Times New Roman" w:hAnsi="Times New Roman"/>
                <w:b w:val="0"/>
                <w:i w:val="0"/>
                <w:sz w:val="17"/>
              </w:rPr>
              <w:t>Tracking, behavioural monitoring and targeted advertising are technically suppressed for child accounts across first and third-party components, verified by instrumented testing.</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G002</w:t>
            </w:r>
          </w:p>
        </w:tc>
        <w:tc>
          <w:tcPr>
            <w:tcW w:type="dxa" w:w="1104"/>
          </w:tcPr>
          <w:p>
            <w:pPr>
              <w:spacing w:before="20" w:after="20"/>
              <w:jc w:val="center"/>
            </w:pPr>
            <w:r/>
            <w:r>
              <w:rPr>
                <w:rFonts w:ascii="Arial" w:hAnsi="Arial"/>
                <w:b w:val="0"/>
                <w:i w:val="0"/>
                <w:sz w:val="17"/>
              </w:rPr>
              <w:t>SDF-02</w:t>
            </w:r>
          </w:p>
        </w:tc>
        <w:tc>
          <w:tcPr>
            <w:tcW w:type="dxa" w:w="4808"/>
          </w:tcPr>
          <w:p>
            <w:pPr>
              <w:spacing w:before="20" w:after="20"/>
            </w:pPr>
            <w:r/>
            <w:r>
              <w:rPr>
                <w:rFonts w:ascii="Times New Roman" w:hAnsi="Times New Roman"/>
                <w:b w:val="0"/>
                <w:i w:val="0"/>
                <w:sz w:val="17"/>
              </w:rPr>
              <w:t>An independent auditor with documented independence is appointed on a scope covering the Act, reports are issued and considered by the board, and findings are tracked to closure.</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Vikram Shetty, Chief Financial Officer</w:t>
            </w:r>
          </w:p>
        </w:tc>
      </w:tr>
      <w:tr>
        <w:trPr>
          <w:cantSplit/>
        </w:trPr>
        <w:tc>
          <w:tcPr>
            <w:tcW w:type="dxa" w:w="909"/>
          </w:tcPr>
          <w:p>
            <w:pPr>
              <w:spacing w:before="20" w:after="20"/>
              <w:jc w:val="center"/>
            </w:pPr>
            <w:r/>
            <w:r>
              <w:rPr>
                <w:rFonts w:ascii="Arial" w:hAnsi="Arial"/>
                <w:b/>
                <w:i w:val="0"/>
                <w:sz w:val="17"/>
              </w:rPr>
              <w:t>G003</w:t>
            </w:r>
          </w:p>
        </w:tc>
        <w:tc>
          <w:tcPr>
            <w:tcW w:type="dxa" w:w="1104"/>
          </w:tcPr>
          <w:p>
            <w:pPr>
              <w:spacing w:before="20" w:after="20"/>
              <w:jc w:val="center"/>
            </w:pPr>
            <w:r/>
            <w:r>
              <w:rPr>
                <w:rFonts w:ascii="Arial" w:hAnsi="Arial"/>
                <w:b w:val="0"/>
                <w:i w:val="0"/>
                <w:sz w:val="17"/>
              </w:rPr>
              <w:t>CON-04</w:t>
            </w:r>
          </w:p>
        </w:tc>
        <w:tc>
          <w:tcPr>
            <w:tcW w:type="dxa" w:w="4808"/>
          </w:tcPr>
          <w:p>
            <w:pPr>
              <w:spacing w:before="20" w:after="20"/>
            </w:pPr>
            <w:r/>
            <w:r>
              <w:rPr>
                <w:rFonts w:ascii="Times New Roman" w:hAnsi="Times New Roman"/>
                <w:b w:val="0"/>
                <w:i w:val="0"/>
                <w:sz w:val="17"/>
              </w:rPr>
              <w:t>Withdrawal is available on the same surface with comparable effort, tested end to end, and the step-count comparison is documented.</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G004</w:t>
            </w:r>
          </w:p>
        </w:tc>
        <w:tc>
          <w:tcPr>
            <w:tcW w:type="dxa" w:w="1104"/>
          </w:tcPr>
          <w:p>
            <w:pPr>
              <w:spacing w:before="20" w:after="20"/>
              <w:jc w:val="center"/>
            </w:pPr>
            <w:r/>
            <w:r>
              <w:rPr>
                <w:rFonts w:ascii="Arial" w:hAnsi="Arial"/>
                <w:b w:val="0"/>
                <w:i w:val="0"/>
                <w:sz w:val="17"/>
              </w:rPr>
              <w:t>CON-06</w:t>
            </w:r>
          </w:p>
        </w:tc>
        <w:tc>
          <w:tcPr>
            <w:tcW w:type="dxa" w:w="4808"/>
          </w:tcPr>
          <w:p>
            <w:pPr>
              <w:spacing w:before="20" w:after="20"/>
            </w:pPr>
            <w:r/>
            <w:r>
              <w:rPr>
                <w:rFonts w:ascii="Times New Roman" w:hAnsi="Times New Roman"/>
                <w:b w:val="0"/>
                <w:i w:val="0"/>
                <w:sz w:val="17"/>
              </w:rPr>
              <w:t>Withdrawal propagates to every consumer including processors within a measured and documented interval, exceptions are logged and owned, and tracing a test record confirms end-to-end cessation.</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G005</w:t>
            </w:r>
          </w:p>
        </w:tc>
        <w:tc>
          <w:tcPr>
            <w:tcW w:type="dxa" w:w="1104"/>
          </w:tcPr>
          <w:p>
            <w:pPr>
              <w:spacing w:before="20" w:after="20"/>
              <w:jc w:val="center"/>
            </w:pPr>
            <w:r/>
            <w:r>
              <w:rPr>
                <w:rFonts w:ascii="Arial" w:hAnsi="Arial"/>
                <w:b w:val="0"/>
                <w:i w:val="0"/>
                <w:sz w:val="17"/>
              </w:rPr>
              <w:t>CON-07</w:t>
            </w:r>
          </w:p>
        </w:tc>
        <w:tc>
          <w:tcPr>
            <w:tcW w:type="dxa" w:w="4808"/>
          </w:tcPr>
          <w:p>
            <w:pPr>
              <w:spacing w:before="20" w:after="20"/>
            </w:pPr>
            <w:r/>
            <w:r>
              <w:rPr>
                <w:rFonts w:ascii="Times New Roman" w:hAnsi="Times New Roman"/>
                <w:b w:val="0"/>
                <w:i w:val="0"/>
                <w:sz w:val="17"/>
              </w:rPr>
              <w:t>Complete, tamper-evident artefacts capture purpose set, timestamp, interface and notice version, are retrievable on demand for any individual, and testing confirms retrieval.</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G006</w:t>
            </w:r>
          </w:p>
        </w:tc>
        <w:tc>
          <w:tcPr>
            <w:tcW w:type="dxa" w:w="1104"/>
          </w:tcPr>
          <w:p>
            <w:pPr>
              <w:spacing w:before="20" w:after="20"/>
              <w:jc w:val="center"/>
            </w:pPr>
            <w:r/>
            <w:r>
              <w:rPr>
                <w:rFonts w:ascii="Arial" w:hAnsi="Arial"/>
                <w:b w:val="0"/>
                <w:i w:val="0"/>
                <w:sz w:val="17"/>
              </w:rPr>
              <w:t>GOV-07</w:t>
            </w:r>
          </w:p>
        </w:tc>
        <w:tc>
          <w:tcPr>
            <w:tcW w:type="dxa" w:w="4808"/>
          </w:tcPr>
          <w:p>
            <w:pPr>
              <w:spacing w:before="20" w:after="20"/>
            </w:pPr>
            <w:r/>
            <w:r>
              <w:rPr>
                <w:rFonts w:ascii="Times New Roman" w:hAnsi="Times New Roman"/>
                <w:b w:val="0"/>
                <w:i w:val="0"/>
                <w:sz w:val="17"/>
              </w:rPr>
              <w:t>Notice versions and consent artefacts are archived and jointly retrievable per Data Principal, and testing confirms the entity can reconstruct precisely what was presented and agreed to, and when.</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G007</w:t>
            </w:r>
          </w:p>
        </w:tc>
        <w:tc>
          <w:tcPr>
            <w:tcW w:type="dxa" w:w="1104"/>
          </w:tcPr>
          <w:p>
            <w:pPr>
              <w:spacing w:before="20" w:after="20"/>
              <w:jc w:val="center"/>
            </w:pPr>
            <w:r/>
            <w:r>
              <w:rPr>
                <w:rFonts w:ascii="Arial" w:hAnsi="Arial"/>
                <w:b w:val="0"/>
                <w:i w:val="0"/>
                <w:sz w:val="17"/>
              </w:rPr>
              <w:t>NOT-02</w:t>
            </w:r>
          </w:p>
        </w:tc>
        <w:tc>
          <w:tcPr>
            <w:tcW w:type="dxa" w:w="4808"/>
          </w:tcPr>
          <w:p>
            <w:pPr>
              <w:spacing w:before="20" w:after="20"/>
            </w:pPr>
            <w:r/>
            <w:r>
              <w:rPr>
                <w:rFonts w:ascii="Times New Roman" w:hAnsi="Times New Roman"/>
                <w:b w:val="0"/>
                <w:i w:val="0"/>
                <w:sz w:val="17"/>
              </w:rPr>
              <w:t>Notice itemises data categories and states each purpose specifically, reconciles to the register in both directions, and is updated when processing changes.</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G008</w:t>
            </w:r>
          </w:p>
        </w:tc>
        <w:tc>
          <w:tcPr>
            <w:tcW w:type="dxa" w:w="1104"/>
          </w:tcPr>
          <w:p>
            <w:pPr>
              <w:spacing w:before="20" w:after="20"/>
              <w:jc w:val="center"/>
            </w:pPr>
            <w:r/>
            <w:r>
              <w:rPr>
                <w:rFonts w:ascii="Arial" w:hAnsi="Arial"/>
                <w:b w:val="0"/>
                <w:i w:val="0"/>
                <w:sz w:val="17"/>
              </w:rPr>
              <w:t>RET-02</w:t>
            </w:r>
          </w:p>
        </w:tc>
        <w:tc>
          <w:tcPr>
            <w:tcW w:type="dxa" w:w="4808"/>
          </w:tcPr>
          <w:p>
            <w:pPr>
              <w:spacing w:before="20" w:after="20"/>
            </w:pPr>
            <w:r/>
            <w:r>
              <w:rPr>
                <w:rFonts w:ascii="Times New Roman" w:hAnsi="Times New Roman"/>
                <w:b w:val="0"/>
                <w:i w:val="0"/>
                <w:sz w:val="17"/>
              </w:rPr>
              <w:t>Erasure is automatically triggered, verified by direct query across stores, logged, and exceptions where law requires retention are individually documented.</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G009</w:t>
            </w:r>
          </w:p>
        </w:tc>
        <w:tc>
          <w:tcPr>
            <w:tcW w:type="dxa" w:w="1104"/>
          </w:tcPr>
          <w:p>
            <w:pPr>
              <w:spacing w:before="20" w:after="20"/>
              <w:jc w:val="center"/>
            </w:pPr>
            <w:r/>
            <w:r>
              <w:rPr>
                <w:rFonts w:ascii="Arial" w:hAnsi="Arial"/>
                <w:b w:val="0"/>
                <w:i w:val="0"/>
                <w:sz w:val="17"/>
              </w:rPr>
              <w:t>RET-03</w:t>
            </w:r>
          </w:p>
        </w:tc>
        <w:tc>
          <w:tcPr>
            <w:tcW w:type="dxa" w:w="4808"/>
          </w:tcPr>
          <w:p>
            <w:pPr>
              <w:spacing w:before="20" w:after="20"/>
            </w:pPr>
            <w:r/>
            <w:r>
              <w:rPr>
                <w:rFonts w:ascii="Times New Roman" w:hAnsi="Times New Roman"/>
                <w:b w:val="0"/>
                <w:i w:val="0"/>
                <w:sz w:val="17"/>
              </w:rPr>
              <w:t>A complete topology drives erasure across every store, processors return confirmations that are tracked, and the backup approach is documented including re-erasure on restore.</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G010</w:t>
            </w:r>
          </w:p>
        </w:tc>
        <w:tc>
          <w:tcPr>
            <w:tcW w:type="dxa" w:w="1104"/>
          </w:tcPr>
          <w:p>
            <w:pPr>
              <w:spacing w:before="20" w:after="20"/>
              <w:jc w:val="center"/>
            </w:pPr>
            <w:r/>
            <w:r>
              <w:rPr>
                <w:rFonts w:ascii="Arial" w:hAnsi="Arial"/>
                <w:b w:val="0"/>
                <w:i w:val="0"/>
                <w:sz w:val="17"/>
              </w:rPr>
              <w:t>SDF-01</w:t>
            </w:r>
          </w:p>
        </w:tc>
        <w:tc>
          <w:tcPr>
            <w:tcW w:type="dxa" w:w="4808"/>
          </w:tcPr>
          <w:p>
            <w:pPr>
              <w:spacing w:before="20" w:after="20"/>
            </w:pPr>
            <w:r/>
            <w:r>
              <w:rPr>
                <w:rFonts w:ascii="Times New Roman" w:hAnsi="Times New Roman"/>
                <w:b w:val="0"/>
                <w:i w:val="0"/>
                <w:sz w:val="17"/>
              </w:rPr>
              <w:t>An India-based DPO is formally appointed with a reporting line to the board evidenced in minutes, is the published grievance contact, and has resourcing and independence to act.</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Vikram Shetty, Chief Financial Officer</w:t>
            </w:r>
          </w:p>
        </w:tc>
      </w:tr>
      <w:tr>
        <w:trPr>
          <w:cantSplit/>
        </w:trPr>
        <w:tc>
          <w:tcPr>
            <w:tcW w:type="dxa" w:w="909"/>
          </w:tcPr>
          <w:p>
            <w:pPr>
              <w:spacing w:before="20" w:after="20"/>
              <w:jc w:val="center"/>
            </w:pPr>
            <w:r/>
            <w:r>
              <w:rPr>
                <w:rFonts w:ascii="Arial" w:hAnsi="Arial"/>
                <w:b/>
                <w:i w:val="0"/>
                <w:sz w:val="17"/>
              </w:rPr>
              <w:t>G011</w:t>
            </w:r>
          </w:p>
        </w:tc>
        <w:tc>
          <w:tcPr>
            <w:tcW w:type="dxa" w:w="1104"/>
          </w:tcPr>
          <w:p>
            <w:pPr>
              <w:spacing w:before="20" w:after="20"/>
              <w:jc w:val="center"/>
            </w:pPr>
            <w:r/>
            <w:r>
              <w:rPr>
                <w:rFonts w:ascii="Arial" w:hAnsi="Arial"/>
                <w:b w:val="0"/>
                <w:i w:val="0"/>
                <w:sz w:val="17"/>
              </w:rPr>
              <w:t>SDF-03</w:t>
            </w:r>
          </w:p>
        </w:tc>
        <w:tc>
          <w:tcPr>
            <w:tcW w:type="dxa" w:w="4808"/>
          </w:tcPr>
          <w:p>
            <w:pPr>
              <w:spacing w:before="20" w:after="20"/>
            </w:pPr>
            <w:r/>
            <w:r>
              <w:rPr>
                <w:rFonts w:ascii="Times New Roman" w:hAnsi="Times New Roman"/>
                <w:b w:val="0"/>
                <w:i w:val="0"/>
                <w:sz w:val="17"/>
              </w:rPr>
              <w:t>DPIAs address every statutory element, run on a defined periodic cycle and on material change, and demonstrably drive mitigation tracked to closure.</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G012</w:t>
            </w:r>
          </w:p>
        </w:tc>
        <w:tc>
          <w:tcPr>
            <w:tcW w:type="dxa" w:w="1104"/>
          </w:tcPr>
          <w:p>
            <w:pPr>
              <w:spacing w:before="20" w:after="20"/>
              <w:jc w:val="center"/>
            </w:pPr>
            <w:r/>
            <w:r>
              <w:rPr>
                <w:rFonts w:ascii="Arial" w:hAnsi="Arial"/>
                <w:b w:val="0"/>
                <w:i w:val="0"/>
                <w:sz w:val="17"/>
              </w:rPr>
              <w:t>NOT-05</w:t>
            </w:r>
          </w:p>
        </w:tc>
        <w:tc>
          <w:tcPr>
            <w:tcW w:type="dxa" w:w="4808"/>
          </w:tcPr>
          <w:p>
            <w:pPr>
              <w:spacing w:before="20" w:after="20"/>
            </w:pPr>
            <w:r/>
            <w:r>
              <w:rPr>
                <w:rFonts w:ascii="Times New Roman" w:hAnsi="Times New Roman"/>
                <w:b w:val="0"/>
                <w:i w:val="0"/>
                <w:sz w:val="17"/>
              </w:rPr>
              <w:t>The full population is identified, compliant notice is evidenced as despatched, coverage gaps are documented with rationale, and resulting withdrawals were processed and evidenced.</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G013</w:t>
            </w:r>
          </w:p>
        </w:tc>
        <w:tc>
          <w:tcPr>
            <w:tcW w:type="dxa" w:w="1104"/>
          </w:tcPr>
          <w:p>
            <w:pPr>
              <w:spacing w:before="20" w:after="20"/>
              <w:jc w:val="center"/>
            </w:pPr>
            <w:r/>
            <w:r>
              <w:rPr>
                <w:rFonts w:ascii="Arial" w:hAnsi="Arial"/>
                <w:b w:val="0"/>
                <w:i w:val="0"/>
                <w:sz w:val="17"/>
              </w:rPr>
              <w:t>RET-04</w:t>
            </w:r>
          </w:p>
        </w:tc>
        <w:tc>
          <w:tcPr>
            <w:tcW w:type="dxa" w:w="4808"/>
          </w:tcPr>
          <w:p>
            <w:pPr>
              <w:spacing w:before="20" w:after="20"/>
            </w:pPr>
            <w:r/>
            <w:r>
              <w:rPr>
                <w:rFonts w:ascii="Times New Roman" w:hAnsi="Times New Roman"/>
                <w:b w:val="0"/>
                <w:i w:val="0"/>
                <w:sz w:val="17"/>
              </w:rPr>
              <w:t>Inactivity is tracked per category, the class determination is documented, erasure triggers operate on the prescribed period, and dormant-population erasure is evidenced.</w:t>
            </w:r>
          </w:p>
        </w:tc>
        <w:tc>
          <w:tcPr>
            <w:tcW w:type="dxa" w:w="1365"/>
          </w:tcPr>
          <w:p>
            <w:pPr>
              <w:spacing w:before="20" w:after="20"/>
              <w:jc w:val="center"/>
            </w:pPr>
            <w:r/>
            <w:r>
              <w:rPr>
                <w:rFonts w:ascii="Arial" w:hAnsi="Arial"/>
                <w:b w:val="0"/>
                <w:i w:val="0"/>
                <w:sz w:val="17"/>
              </w:rPr>
              <w:t>2026-09-13</w:t>
            </w:r>
          </w:p>
        </w:tc>
        <w:tc>
          <w:tcPr>
            <w:tcW w:type="dxa" w:w="1560"/>
          </w:tcPr>
          <w:p>
            <w:pPr>
              <w:spacing w:before="20" w:after="20"/>
            </w:pPr>
            <w:r/>
            <w:r>
              <w:rPr>
                <w:rFonts w:ascii="Arial" w:hAnsi="Arial"/>
                <w:b w:val="0"/>
                <w:i w:val="0"/>
                <w:sz w:val="16"/>
              </w:rPr>
              <w:t>Devika Iyer, VP Engineering</w:t>
            </w:r>
          </w:p>
        </w:tc>
      </w:tr>
    </w:tbl>
    <w:p>
      <w:pPr>
        <w:pStyle w:val="Heading2"/>
        <w:keepNext/>
        <w:spacing w:before="280" w:after="120"/>
      </w:pPr>
      <w:r>
        <w:rPr>
          <w:rFonts w:ascii="Arial" w:hAnsi="Arial"/>
          <w:b/>
          <w:color w:val="1F3552"/>
          <w:sz w:val="26"/>
        </w:rPr>
        <w:t>6.2  P2 — High — remediate within 60 days</w:t>
      </w:r>
    </w:p>
    <w:p>
      <w:pPr>
        <w:spacing w:before="0" w:after="120"/>
      </w:pPr>
      <w:r>
        <w:rPr>
          <w:rFonts w:ascii="Times New Roman" w:hAnsi="Times New Roman"/>
          <w:b w:val="0"/>
          <w:i/>
          <w:color w:val="44546A"/>
          <w:sz w:val="19"/>
        </w:rPr>
        <w:t>24 items. Residual risk 8 to 9 of 16.</w:t>
      </w:r>
    </w:p>
    <w:tbl>
      <w:tblPr>
        <w:tblStyle w:val="TableGrid"/>
        <w:tblW w:w="9746" w:type="dxa"/>
        <w:jc w:val="center"/>
        <w:tblLayout w:type="fixed"/>
        <w:tblLook w:firstColumn="1" w:firstRow="1" w:lastColumn="0" w:lastRow="0" w:noHBand="0" w:noVBand="1" w:val="04A0"/>
      </w:tblPr>
      <w:tblGrid>
        <w:gridCol w:w="909"/>
        <w:gridCol w:w="1104"/>
        <w:gridCol w:w="4808"/>
        <w:gridCol w:w="1364"/>
        <w:gridCol w:w="1559"/>
      </w:tblGrid>
      <w:tr>
        <w:trPr>
          <w:tblHeader w:val="true"/>
        </w:trPr>
        <w:tc>
          <w:tcPr>
            <w:tcW w:type="dxa" w:w="909"/>
            <w:shd w:val="clear" w:color="auto" w:fill="1F3552"/>
          </w:tcPr>
          <w:p>
            <w:pPr>
              <w:spacing w:before="20" w:after="20"/>
              <w:jc w:val="center"/>
            </w:pPr>
            <w:r/>
            <w:r>
              <w:rPr>
                <w:rFonts w:ascii="Arial" w:hAnsi="Arial"/>
                <w:b/>
                <w:i w:val="0"/>
                <w:color w:val="FFFFFF"/>
                <w:sz w:val="18"/>
              </w:rPr>
              <w:t>Ref</w:t>
            </w:r>
          </w:p>
        </w:tc>
        <w:tc>
          <w:tcPr>
            <w:tcW w:type="dxa" w:w="1104"/>
            <w:shd w:val="clear" w:color="auto" w:fill="1F3552"/>
          </w:tcPr>
          <w:p>
            <w:pPr>
              <w:spacing w:before="20" w:after="20"/>
              <w:jc w:val="center"/>
            </w:pPr>
            <w:r/>
            <w:r>
              <w:rPr>
                <w:rFonts w:ascii="Arial" w:hAnsi="Arial"/>
                <w:b/>
                <w:i w:val="0"/>
                <w:color w:val="FFFFFF"/>
                <w:sz w:val="18"/>
              </w:rPr>
              <w:t>Control</w:t>
            </w:r>
          </w:p>
        </w:tc>
        <w:tc>
          <w:tcPr>
            <w:tcW w:type="dxa" w:w="4808"/>
            <w:shd w:val="clear" w:color="auto" w:fill="1F3552"/>
          </w:tcPr>
          <w:p>
            <w:pPr>
              <w:spacing w:before="20" w:after="20"/>
              <w:jc w:val="center"/>
            </w:pPr>
            <w:r/>
            <w:r>
              <w:rPr>
                <w:rFonts w:ascii="Arial" w:hAnsi="Arial"/>
                <w:b/>
                <w:i w:val="0"/>
                <w:color w:val="FFFFFF"/>
                <w:sz w:val="18"/>
              </w:rPr>
              <w:t>Required target state</w:t>
            </w:r>
          </w:p>
        </w:tc>
        <w:tc>
          <w:tcPr>
            <w:tcW w:type="dxa" w:w="1365"/>
            <w:shd w:val="clear" w:color="auto" w:fill="1F3552"/>
          </w:tcPr>
          <w:p>
            <w:pPr>
              <w:spacing w:before="20" w:after="20"/>
              <w:jc w:val="center"/>
            </w:pPr>
            <w:r/>
            <w:r>
              <w:rPr>
                <w:rFonts w:ascii="Arial" w:hAnsi="Arial"/>
                <w:b/>
                <w:i w:val="0"/>
                <w:color w:val="FFFFFF"/>
                <w:sz w:val="18"/>
              </w:rPr>
              <w:t>Target date</w:t>
            </w:r>
          </w:p>
        </w:tc>
        <w:tc>
          <w:tcPr>
            <w:tcW w:type="dxa" w:w="1560"/>
            <w:shd w:val="clear" w:color="auto" w:fill="1F3552"/>
          </w:tcPr>
          <w:p>
            <w:pPr>
              <w:spacing w:before="20" w:after="20"/>
              <w:jc w:val="center"/>
            </w:pPr>
            <w:r/>
            <w:r>
              <w:rPr>
                <w:rFonts w:ascii="Arial" w:hAnsi="Arial"/>
                <w:b/>
                <w:i w:val="0"/>
                <w:color w:val="FFFFFF"/>
                <w:sz w:val="18"/>
              </w:rPr>
              <w:t>Owner</w:t>
            </w:r>
          </w:p>
        </w:tc>
      </w:tr>
      <w:tr>
        <w:trPr>
          <w:cantSplit/>
        </w:trPr>
        <w:tc>
          <w:tcPr>
            <w:tcW w:type="dxa" w:w="909"/>
          </w:tcPr>
          <w:p>
            <w:pPr>
              <w:spacing w:before="20" w:after="20"/>
              <w:jc w:val="center"/>
            </w:pPr>
            <w:r/>
            <w:r>
              <w:rPr>
                <w:rFonts w:ascii="Arial" w:hAnsi="Arial"/>
                <w:b/>
                <w:i w:val="0"/>
                <w:sz w:val="17"/>
              </w:rPr>
              <w:t>G014</w:t>
            </w:r>
          </w:p>
        </w:tc>
        <w:tc>
          <w:tcPr>
            <w:tcW w:type="dxa" w:w="1104"/>
          </w:tcPr>
          <w:p>
            <w:pPr>
              <w:spacing w:before="20" w:after="20"/>
              <w:jc w:val="center"/>
            </w:pPr>
            <w:r/>
            <w:r>
              <w:rPr>
                <w:rFonts w:ascii="Arial" w:hAnsi="Arial"/>
                <w:b w:val="0"/>
                <w:i w:val="0"/>
                <w:sz w:val="17"/>
              </w:rPr>
              <w:t>APP-05</w:t>
            </w:r>
          </w:p>
        </w:tc>
        <w:tc>
          <w:tcPr>
            <w:tcW w:type="dxa" w:w="4808"/>
          </w:tcPr>
          <w:p>
            <w:pPr>
              <w:spacing w:before="20" w:after="20"/>
            </w:pPr>
            <w:r/>
            <w:r>
              <w:rPr>
                <w:rFonts w:ascii="Times New Roman" w:hAnsi="Times New Roman"/>
                <w:b w:val="0"/>
                <w:i w:val="0"/>
                <w:sz w:val="17"/>
              </w:rPr>
              <w:t>A maintained calendar tracks each tranche, remediation is sequenced against it, and a named owner monitors for further notifications and Board guidance.</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G015</w:t>
            </w:r>
          </w:p>
        </w:tc>
        <w:tc>
          <w:tcPr>
            <w:tcW w:type="dxa" w:w="1104"/>
          </w:tcPr>
          <w:p>
            <w:pPr>
              <w:spacing w:before="20" w:after="20"/>
              <w:jc w:val="center"/>
            </w:pPr>
            <w:r/>
            <w:r>
              <w:rPr>
                <w:rFonts w:ascii="Arial" w:hAnsi="Arial"/>
                <w:b w:val="0"/>
                <w:i w:val="0"/>
                <w:sz w:val="17"/>
              </w:rPr>
              <w:t>CHD-05</w:t>
            </w:r>
          </w:p>
        </w:tc>
        <w:tc>
          <w:tcPr>
            <w:tcW w:type="dxa" w:w="4808"/>
          </w:tcPr>
          <w:p>
            <w:pPr>
              <w:spacing w:before="20" w:after="20"/>
            </w:pPr>
            <w:r/>
            <w:r>
              <w:rPr>
                <w:rFonts w:ascii="Times New Roman" w:hAnsi="Times New Roman"/>
                <w:b w:val="0"/>
                <w:i w:val="0"/>
                <w:sz w:val="17"/>
              </w:rPr>
              <w:t>A defined mechanism captures and verifies guardianship, a published route lets guardians come forward, and records link guardian to Data Principal and support rights exercise.</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Anita Desai, Head of Customer Experience</w:t>
            </w:r>
          </w:p>
        </w:tc>
      </w:tr>
      <w:tr>
        <w:trPr>
          <w:cantSplit/>
        </w:trPr>
        <w:tc>
          <w:tcPr>
            <w:tcW w:type="dxa" w:w="909"/>
          </w:tcPr>
          <w:p>
            <w:pPr>
              <w:spacing w:before="20" w:after="20"/>
              <w:jc w:val="center"/>
            </w:pPr>
            <w:r/>
            <w:r>
              <w:rPr>
                <w:rFonts w:ascii="Arial" w:hAnsi="Arial"/>
                <w:b/>
                <w:i w:val="0"/>
                <w:sz w:val="17"/>
              </w:rPr>
              <w:t>G016</w:t>
            </w:r>
          </w:p>
        </w:tc>
        <w:tc>
          <w:tcPr>
            <w:tcW w:type="dxa" w:w="1104"/>
          </w:tcPr>
          <w:p>
            <w:pPr>
              <w:spacing w:before="20" w:after="20"/>
              <w:jc w:val="center"/>
            </w:pPr>
            <w:r/>
            <w:r>
              <w:rPr>
                <w:rFonts w:ascii="Arial" w:hAnsi="Arial"/>
                <w:b w:val="0"/>
                <w:i w:val="0"/>
                <w:sz w:val="17"/>
              </w:rPr>
              <w:t>CON-08</w:t>
            </w:r>
          </w:p>
        </w:tc>
        <w:tc>
          <w:tcPr>
            <w:tcW w:type="dxa" w:w="4808"/>
          </w:tcPr>
          <w:p>
            <w:pPr>
              <w:spacing w:before="20" w:after="20"/>
            </w:pPr>
            <w:r/>
            <w:r>
              <w:rPr>
                <w:rFonts w:ascii="Times New Roman" w:hAnsi="Times New Roman"/>
                <w:b w:val="0"/>
                <w:i w:val="0"/>
                <w:sz w:val="17"/>
              </w:rPr>
              <w:t>A documented materiality test governs whether re-consent is required, is consistently applied with evidence of re-consent campaigns, and continued use is never treated as agreement to new purposes.</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G017</w:t>
            </w:r>
          </w:p>
        </w:tc>
        <w:tc>
          <w:tcPr>
            <w:tcW w:type="dxa" w:w="1104"/>
          </w:tcPr>
          <w:p>
            <w:pPr>
              <w:spacing w:before="20" w:after="20"/>
              <w:jc w:val="center"/>
            </w:pPr>
            <w:r/>
            <w:r>
              <w:rPr>
                <w:rFonts w:ascii="Arial" w:hAnsi="Arial"/>
                <w:b w:val="0"/>
                <w:i w:val="0"/>
                <w:sz w:val="17"/>
              </w:rPr>
              <w:t>GRV-02</w:t>
            </w:r>
          </w:p>
        </w:tc>
        <w:tc>
          <w:tcPr>
            <w:tcW w:type="dxa" w:w="4808"/>
          </w:tcPr>
          <w:p>
            <w:pPr>
              <w:spacing w:before="20" w:after="20"/>
            </w:pPr>
            <w:r/>
            <w:r>
              <w:rPr>
                <w:rFonts w:ascii="Times New Roman" w:hAnsi="Times New Roman"/>
                <w:b w:val="0"/>
                <w:i w:val="0"/>
                <w:sz w:val="17"/>
              </w:rPr>
              <w:t>The service level matches the prescribed period, is enforced by automated escalation, performance is measured at request level, and overruns are root-caused.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Anita Desai, Head of Customer Experience</w:t>
            </w:r>
          </w:p>
        </w:tc>
      </w:tr>
      <w:tr>
        <w:trPr>
          <w:cantSplit/>
        </w:trPr>
        <w:tc>
          <w:tcPr>
            <w:tcW w:type="dxa" w:w="909"/>
          </w:tcPr>
          <w:p>
            <w:pPr>
              <w:spacing w:before="20" w:after="20"/>
              <w:jc w:val="center"/>
            </w:pPr>
            <w:r/>
            <w:r>
              <w:rPr>
                <w:rFonts w:ascii="Arial" w:hAnsi="Arial"/>
                <w:b/>
                <w:i w:val="0"/>
                <w:sz w:val="17"/>
              </w:rPr>
              <w:t>G018</w:t>
            </w:r>
          </w:p>
        </w:tc>
        <w:tc>
          <w:tcPr>
            <w:tcW w:type="dxa" w:w="1104"/>
          </w:tcPr>
          <w:p>
            <w:pPr>
              <w:spacing w:before="20" w:after="20"/>
              <w:jc w:val="center"/>
            </w:pPr>
            <w:r/>
            <w:r>
              <w:rPr>
                <w:rFonts w:ascii="Arial" w:hAnsi="Arial"/>
                <w:b w:val="0"/>
                <w:i w:val="0"/>
                <w:sz w:val="17"/>
              </w:rPr>
              <w:t>PUR-03</w:t>
            </w:r>
          </w:p>
        </w:tc>
        <w:tc>
          <w:tcPr>
            <w:tcW w:type="dxa" w:w="4808"/>
          </w:tcPr>
          <w:p>
            <w:pPr>
              <w:spacing w:before="20" w:after="20"/>
            </w:pPr>
            <w:r/>
            <w:r>
              <w:rPr>
                <w:rFonts w:ascii="Times New Roman" w:hAnsi="Times New Roman"/>
                <w:b w:val="0"/>
                <w:i w:val="0"/>
                <w:sz w:val="17"/>
              </w:rPr>
              <w:t>Secondary use is gated by documented compatibility assessment, technically constrained where possible, and fresh notice and consent are obtained for materially new purposes with evidence of the gate having been enforced.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G019</w:t>
            </w:r>
          </w:p>
        </w:tc>
        <w:tc>
          <w:tcPr>
            <w:tcW w:type="dxa" w:w="1104"/>
          </w:tcPr>
          <w:p>
            <w:pPr>
              <w:spacing w:before="20" w:after="20"/>
              <w:jc w:val="center"/>
            </w:pPr>
            <w:r/>
            <w:r>
              <w:rPr>
                <w:rFonts w:ascii="Arial" w:hAnsi="Arial"/>
                <w:b w:val="0"/>
                <w:i w:val="0"/>
                <w:sz w:val="17"/>
              </w:rPr>
              <w:t>RGT-03</w:t>
            </w:r>
          </w:p>
        </w:tc>
        <w:tc>
          <w:tcPr>
            <w:tcW w:type="dxa" w:w="4808"/>
          </w:tcPr>
          <w:p>
            <w:pPr>
              <w:spacing w:before="20" w:after="20"/>
            </w:pPr>
            <w:r/>
            <w:r>
              <w:rPr>
                <w:rFonts w:ascii="Times New Roman" w:hAnsi="Times New Roman"/>
                <w:b w:val="0"/>
                <w:i w:val="0"/>
                <w:sz w:val="17"/>
              </w:rPr>
              <w:t>Erasure is actioned and verified across all stores within the prescribed period, and each refusal cites a specific legal basis and is communicated to the Data Principal.</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Anita Desai, Head of Customer Experience</w:t>
            </w:r>
          </w:p>
        </w:tc>
      </w:tr>
      <w:tr>
        <w:trPr>
          <w:cantSplit/>
        </w:trPr>
        <w:tc>
          <w:tcPr>
            <w:tcW w:type="dxa" w:w="909"/>
          </w:tcPr>
          <w:p>
            <w:pPr>
              <w:spacing w:before="20" w:after="20"/>
              <w:jc w:val="center"/>
            </w:pPr>
            <w:r/>
            <w:r>
              <w:rPr>
                <w:rFonts w:ascii="Arial" w:hAnsi="Arial"/>
                <w:b/>
                <w:i w:val="0"/>
                <w:sz w:val="17"/>
              </w:rPr>
              <w:t>G020</w:t>
            </w:r>
          </w:p>
        </w:tc>
        <w:tc>
          <w:tcPr>
            <w:tcW w:type="dxa" w:w="1104"/>
          </w:tcPr>
          <w:p>
            <w:pPr>
              <w:spacing w:before="20" w:after="20"/>
              <w:jc w:val="center"/>
            </w:pPr>
            <w:r/>
            <w:r>
              <w:rPr>
                <w:rFonts w:ascii="Arial" w:hAnsi="Arial"/>
                <w:b w:val="0"/>
                <w:i w:val="0"/>
                <w:sz w:val="17"/>
              </w:rPr>
              <w:t>SDF-04</w:t>
            </w:r>
          </w:p>
        </w:tc>
        <w:tc>
          <w:tcPr>
            <w:tcW w:type="dxa" w:w="4808"/>
          </w:tcPr>
          <w:p>
            <w:pPr>
              <w:spacing w:before="20" w:after="20"/>
            </w:pPr>
            <w:r/>
            <w:r>
              <w:rPr>
                <w:rFonts w:ascii="Times New Roman" w:hAnsi="Times New Roman"/>
                <w:b w:val="0"/>
                <w:i w:val="0"/>
                <w:sz w:val="17"/>
              </w:rPr>
              <w:t>Audits run on the prescribed cycle with adequate scope, are reported to the board, and findings are remediated and validated.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Vikram Shetty, Chief Financial Officer</w:t>
            </w:r>
          </w:p>
        </w:tc>
      </w:tr>
      <w:tr>
        <w:trPr>
          <w:cantSplit/>
        </w:trPr>
        <w:tc>
          <w:tcPr>
            <w:tcW w:type="dxa" w:w="909"/>
          </w:tcPr>
          <w:p>
            <w:pPr>
              <w:spacing w:before="20" w:after="20"/>
              <w:jc w:val="center"/>
            </w:pPr>
            <w:r/>
            <w:r>
              <w:rPr>
                <w:rFonts w:ascii="Arial" w:hAnsi="Arial"/>
                <w:b/>
                <w:i w:val="0"/>
                <w:sz w:val="17"/>
              </w:rPr>
              <w:t>G021</w:t>
            </w:r>
          </w:p>
        </w:tc>
        <w:tc>
          <w:tcPr>
            <w:tcW w:type="dxa" w:w="1104"/>
          </w:tcPr>
          <w:p>
            <w:pPr>
              <w:spacing w:before="20" w:after="20"/>
              <w:jc w:val="center"/>
            </w:pPr>
            <w:r/>
            <w:r>
              <w:rPr>
                <w:rFonts w:ascii="Arial" w:hAnsi="Arial"/>
                <w:b w:val="0"/>
                <w:i w:val="0"/>
                <w:sz w:val="17"/>
              </w:rPr>
              <w:t>SDF-05</w:t>
            </w:r>
          </w:p>
        </w:tc>
        <w:tc>
          <w:tcPr>
            <w:tcW w:type="dxa" w:w="4808"/>
          </w:tcPr>
          <w:p>
            <w:pPr>
              <w:spacing w:before="20" w:after="20"/>
            </w:pPr>
            <w:r/>
            <w:r>
              <w:rPr>
                <w:rFonts w:ascii="Times New Roman" w:hAnsi="Times New Roman"/>
                <w:b w:val="0"/>
                <w:i w:val="0"/>
                <w:sz w:val="17"/>
              </w:rPr>
              <w:t>A complete inventory is subject to documented due diligence addressing risk to rights, with bias and accuracy testing, mitigation, and human review for high-impact decisions.</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G022</w:t>
            </w:r>
          </w:p>
        </w:tc>
        <w:tc>
          <w:tcPr>
            <w:tcW w:type="dxa" w:w="1104"/>
          </w:tcPr>
          <w:p>
            <w:pPr>
              <w:spacing w:before="20" w:after="20"/>
              <w:jc w:val="center"/>
            </w:pPr>
            <w:r/>
            <w:r>
              <w:rPr>
                <w:rFonts w:ascii="Arial" w:hAnsi="Arial"/>
                <w:b w:val="0"/>
                <w:i w:val="0"/>
                <w:sz w:val="17"/>
              </w:rPr>
              <w:t>APP-02</w:t>
            </w:r>
          </w:p>
        </w:tc>
        <w:tc>
          <w:tcPr>
            <w:tcW w:type="dxa" w:w="4808"/>
          </w:tcPr>
          <w:p>
            <w:pPr>
              <w:spacing w:before="20" w:after="20"/>
            </w:pPr>
            <w:r/>
            <w:r>
              <w:rPr>
                <w:rFonts w:ascii="Times New Roman" w:hAnsi="Times New Roman"/>
                <w:b w:val="0"/>
                <w:i w:val="0"/>
                <w:sz w:val="17"/>
              </w:rPr>
              <w:t>Roles are determined per activity, documented with reasoning, consistent with contracts and observed data flows, and re-tested when new uses such as model training are introduced.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G023</w:t>
            </w:r>
          </w:p>
        </w:tc>
        <w:tc>
          <w:tcPr>
            <w:tcW w:type="dxa" w:w="1104"/>
          </w:tcPr>
          <w:p>
            <w:pPr>
              <w:spacing w:before="20" w:after="20"/>
              <w:jc w:val="center"/>
            </w:pPr>
            <w:r/>
            <w:r>
              <w:rPr>
                <w:rFonts w:ascii="Arial" w:hAnsi="Arial"/>
                <w:b w:val="0"/>
                <w:i w:val="0"/>
                <w:sz w:val="17"/>
              </w:rPr>
              <w:t>BRC-03</w:t>
            </w:r>
          </w:p>
        </w:tc>
        <w:tc>
          <w:tcPr>
            <w:tcW w:type="dxa" w:w="4808"/>
          </w:tcPr>
          <w:p>
            <w:pPr>
              <w:spacing w:before="20" w:after="20"/>
            </w:pPr>
            <w:r/>
            <w:r>
              <w:rPr>
                <w:rFonts w:ascii="Times New Roman" w:hAnsi="Times New Roman"/>
                <w:b w:val="0"/>
                <w:i w:val="0"/>
                <w:sz w:val="17"/>
              </w:rPr>
              <w:t>A pre-drafted template covers every prescribed field, the timescale is embedded with escalation, the signatory has a deputy, and the submission route has been tested.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G024</w:t>
            </w:r>
          </w:p>
        </w:tc>
        <w:tc>
          <w:tcPr>
            <w:tcW w:type="dxa" w:w="1104"/>
          </w:tcPr>
          <w:p>
            <w:pPr>
              <w:spacing w:before="20" w:after="20"/>
              <w:jc w:val="center"/>
            </w:pPr>
            <w:r/>
            <w:r>
              <w:rPr>
                <w:rFonts w:ascii="Arial" w:hAnsi="Arial"/>
                <w:b w:val="0"/>
                <w:i w:val="0"/>
                <w:sz w:val="17"/>
              </w:rPr>
              <w:t>BRC-04</w:t>
            </w:r>
          </w:p>
        </w:tc>
        <w:tc>
          <w:tcPr>
            <w:tcW w:type="dxa" w:w="4808"/>
          </w:tcPr>
          <w:p>
            <w:pPr>
              <w:spacing w:before="20" w:after="20"/>
            </w:pPr>
            <w:r/>
            <w:r>
              <w:rPr>
                <w:rFonts w:ascii="Times New Roman" w:hAnsi="Times New Roman"/>
                <w:b w:val="0"/>
                <w:i w:val="0"/>
                <w:sz w:val="17"/>
              </w:rPr>
              <w:t>The affected population can be derived promptly from breach scope, mass notification is tested at realistic volume across channels, and a documented approach covers unreachable individuals.</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Anita Desai, Head of Customer Experience</w:t>
            </w:r>
          </w:p>
        </w:tc>
      </w:tr>
      <w:tr>
        <w:trPr>
          <w:cantSplit/>
        </w:trPr>
        <w:tc>
          <w:tcPr>
            <w:tcW w:type="dxa" w:w="909"/>
          </w:tcPr>
          <w:p>
            <w:pPr>
              <w:spacing w:before="20" w:after="20"/>
              <w:jc w:val="center"/>
            </w:pPr>
            <w:r/>
            <w:r>
              <w:rPr>
                <w:rFonts w:ascii="Arial" w:hAnsi="Arial"/>
                <w:b/>
                <w:i w:val="0"/>
                <w:sz w:val="17"/>
              </w:rPr>
              <w:t>G025</w:t>
            </w:r>
          </w:p>
        </w:tc>
        <w:tc>
          <w:tcPr>
            <w:tcW w:type="dxa" w:w="1104"/>
          </w:tcPr>
          <w:p>
            <w:pPr>
              <w:spacing w:before="20" w:after="20"/>
              <w:jc w:val="center"/>
            </w:pPr>
            <w:r/>
            <w:r>
              <w:rPr>
                <w:rFonts w:ascii="Arial" w:hAnsi="Arial"/>
                <w:b w:val="0"/>
                <w:i w:val="0"/>
                <w:sz w:val="17"/>
              </w:rPr>
              <w:t>CHD-01</w:t>
            </w:r>
          </w:p>
        </w:tc>
        <w:tc>
          <w:tcPr>
            <w:tcW w:type="dxa" w:w="4808"/>
          </w:tcPr>
          <w:p>
            <w:pPr>
              <w:spacing w:before="20" w:after="20"/>
            </w:pPr>
            <w:r/>
            <w:r>
              <w:rPr>
                <w:rFonts w:ascii="Times New Roman" w:hAnsi="Times New Roman"/>
                <w:b w:val="0"/>
                <w:i w:val="0"/>
                <w:sz w:val="17"/>
              </w:rPr>
              <w:t>The threshold is eighteen, age determination is supported by proportionate signals rather than bare self-declaration, unknown-age users receive a documented default, and misstatement signals trigger review.</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G026</w:t>
            </w:r>
          </w:p>
        </w:tc>
        <w:tc>
          <w:tcPr>
            <w:tcW w:type="dxa" w:w="1104"/>
          </w:tcPr>
          <w:p>
            <w:pPr>
              <w:spacing w:before="20" w:after="20"/>
              <w:jc w:val="center"/>
            </w:pPr>
            <w:r/>
            <w:r>
              <w:rPr>
                <w:rFonts w:ascii="Arial" w:hAnsi="Arial"/>
                <w:b w:val="0"/>
                <w:i w:val="0"/>
                <w:sz w:val="17"/>
              </w:rPr>
              <w:t>CHD-02</w:t>
            </w:r>
          </w:p>
        </w:tc>
        <w:tc>
          <w:tcPr>
            <w:tcW w:type="dxa" w:w="4808"/>
          </w:tcPr>
          <w:p>
            <w:pPr>
              <w:spacing w:before="20" w:after="20"/>
            </w:pPr>
            <w:r/>
            <w:r>
              <w:rPr>
                <w:rFonts w:ascii="Times New Roman" w:hAnsi="Times New Roman"/>
                <w:b w:val="0"/>
                <w:i w:val="0"/>
                <w:sz w:val="17"/>
              </w:rPr>
              <w:t>Verification establishes both the adult's identity and the guardian relationship through proportionate means, artefacts link parent to child record, and processing demonstrably does not begin until consent is complete.</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G027</w:t>
            </w:r>
          </w:p>
        </w:tc>
        <w:tc>
          <w:tcPr>
            <w:tcW w:type="dxa" w:w="1104"/>
          </w:tcPr>
          <w:p>
            <w:pPr>
              <w:spacing w:before="20" w:after="20"/>
              <w:jc w:val="center"/>
            </w:pPr>
            <w:r/>
            <w:r>
              <w:rPr>
                <w:rFonts w:ascii="Arial" w:hAnsi="Arial"/>
                <w:b w:val="0"/>
                <w:i w:val="0"/>
                <w:sz w:val="17"/>
              </w:rPr>
              <w:t>CON-01</w:t>
            </w:r>
          </w:p>
        </w:tc>
        <w:tc>
          <w:tcPr>
            <w:tcW w:type="dxa" w:w="4808"/>
          </w:tcPr>
          <w:p>
            <w:pPr>
              <w:spacing w:before="20" w:after="20"/>
            </w:pPr>
            <w:r/>
            <w:r>
              <w:rPr>
                <w:rFonts w:ascii="Times New Roman" w:hAnsi="Times New Roman"/>
                <w:b w:val="0"/>
                <w:i w:val="0"/>
                <w:sz w:val="17"/>
              </w:rPr>
              <w:t>Each distinct purpose has its own unticked affirmative control, no consent is inferred from inactivity, and the stored artefact records which specific purposes were agreed.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G028</w:t>
            </w:r>
          </w:p>
        </w:tc>
        <w:tc>
          <w:tcPr>
            <w:tcW w:type="dxa" w:w="1104"/>
          </w:tcPr>
          <w:p>
            <w:pPr>
              <w:spacing w:before="20" w:after="20"/>
              <w:jc w:val="center"/>
            </w:pPr>
            <w:r/>
            <w:r>
              <w:rPr>
                <w:rFonts w:ascii="Arial" w:hAnsi="Arial"/>
                <w:b w:val="0"/>
                <w:i w:val="0"/>
                <w:sz w:val="17"/>
              </w:rPr>
              <w:t>CON-02</w:t>
            </w:r>
          </w:p>
        </w:tc>
        <w:tc>
          <w:tcPr>
            <w:tcW w:type="dxa" w:w="4808"/>
          </w:tcPr>
          <w:p>
            <w:pPr>
              <w:spacing w:before="20" w:after="20"/>
            </w:pPr>
            <w:r/>
            <w:r>
              <w:rPr>
                <w:rFonts w:ascii="Times New Roman" w:hAnsi="Times New Roman"/>
                <w:b w:val="0"/>
                <w:i w:val="0"/>
                <w:sz w:val="17"/>
              </w:rPr>
              <w:t>Testing confirms the service is fully usable when every non-essential consent is declined, refusal is as easy as acceptance, and the necessary/optional split is documented.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G029</w:t>
            </w:r>
          </w:p>
        </w:tc>
        <w:tc>
          <w:tcPr>
            <w:tcW w:type="dxa" w:w="1104"/>
          </w:tcPr>
          <w:p>
            <w:pPr>
              <w:spacing w:before="20" w:after="20"/>
              <w:jc w:val="center"/>
            </w:pPr>
            <w:r/>
            <w:r>
              <w:rPr>
                <w:rFonts w:ascii="Arial" w:hAnsi="Arial"/>
                <w:b w:val="0"/>
                <w:i w:val="0"/>
                <w:sz w:val="17"/>
              </w:rPr>
              <w:t>GOV-01</w:t>
            </w:r>
          </w:p>
        </w:tc>
        <w:tc>
          <w:tcPr>
            <w:tcW w:type="dxa" w:w="4808"/>
          </w:tcPr>
          <w:p>
            <w:pPr>
              <w:spacing w:before="20" w:after="20"/>
            </w:pPr>
            <w:r/>
            <w:r>
              <w:rPr>
                <w:rFonts w:ascii="Times New Roman" w:hAnsi="Times New Roman"/>
                <w:b w:val="0"/>
                <w:i w:val="0"/>
                <w:sz w:val="17"/>
              </w:rPr>
              <w:t>A senior owner is formally appointed with an express remit covering processors, reports periodically to a governance forum or the board, and can evidence decisions actually taken under that authority.</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G030</w:t>
            </w:r>
          </w:p>
        </w:tc>
        <w:tc>
          <w:tcPr>
            <w:tcW w:type="dxa" w:w="1104"/>
          </w:tcPr>
          <w:p>
            <w:pPr>
              <w:spacing w:before="20" w:after="20"/>
              <w:jc w:val="center"/>
            </w:pPr>
            <w:r/>
            <w:r>
              <w:rPr>
                <w:rFonts w:ascii="Arial" w:hAnsi="Arial"/>
                <w:b w:val="0"/>
                <w:i w:val="0"/>
                <w:sz w:val="17"/>
              </w:rPr>
              <w:t>GOV-02</w:t>
            </w:r>
          </w:p>
        </w:tc>
        <w:tc>
          <w:tcPr>
            <w:tcW w:type="dxa" w:w="4808"/>
          </w:tcPr>
          <w:p>
            <w:pPr>
              <w:spacing w:before="20" w:after="20"/>
            </w:pPr>
            <w:r/>
            <w:r>
              <w:rPr>
                <w:rFonts w:ascii="Times New Roman" w:hAnsi="Times New Roman"/>
                <w:b w:val="0"/>
                <w:i w:val="0"/>
                <w:sz w:val="17"/>
              </w:rPr>
              <w:t>A complete register is reconciled to the application inventory, refreshed on a defined cycle and on material change, and demonstrably drives downstream artefacts such as notices and retention rules.</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G031</w:t>
            </w:r>
          </w:p>
        </w:tc>
        <w:tc>
          <w:tcPr>
            <w:tcW w:type="dxa" w:w="1104"/>
          </w:tcPr>
          <w:p>
            <w:pPr>
              <w:spacing w:before="20" w:after="20"/>
              <w:jc w:val="center"/>
            </w:pPr>
            <w:r/>
            <w:r>
              <w:rPr>
                <w:rFonts w:ascii="Arial" w:hAnsi="Arial"/>
                <w:b w:val="0"/>
                <w:i w:val="0"/>
                <w:sz w:val="17"/>
              </w:rPr>
              <w:t>LGU-01</w:t>
            </w:r>
          </w:p>
        </w:tc>
        <w:tc>
          <w:tcPr>
            <w:tcW w:type="dxa" w:w="4808"/>
          </w:tcPr>
          <w:p>
            <w:pPr>
              <w:spacing w:before="20" w:after="20"/>
            </w:pPr>
            <w:r/>
            <w:r>
              <w:rPr>
                <w:rFonts w:ascii="Times New Roman" w:hAnsi="Times New Roman"/>
                <w:b w:val="0"/>
                <w:i w:val="0"/>
                <w:sz w:val="17"/>
              </w:rPr>
              <w:t>Each reliance cites a specific sub-clause with a documented, defensible analysis, reviewed by legal, and reliance is narrowly confined to what the limb actually authorises.</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G032</w:t>
            </w:r>
          </w:p>
        </w:tc>
        <w:tc>
          <w:tcPr>
            <w:tcW w:type="dxa" w:w="1104"/>
          </w:tcPr>
          <w:p>
            <w:pPr>
              <w:spacing w:before="20" w:after="20"/>
              <w:jc w:val="center"/>
            </w:pPr>
            <w:r/>
            <w:r>
              <w:rPr>
                <w:rFonts w:ascii="Arial" w:hAnsi="Arial"/>
                <w:b w:val="0"/>
                <w:i w:val="0"/>
                <w:sz w:val="17"/>
              </w:rPr>
              <w:t>PRO-02</w:t>
            </w:r>
          </w:p>
        </w:tc>
        <w:tc>
          <w:tcPr>
            <w:tcW w:type="dxa" w:w="4808"/>
          </w:tcPr>
          <w:p>
            <w:pPr>
              <w:spacing w:before="20" w:after="20"/>
            </w:pPr>
            <w:r/>
            <w:r>
              <w:rPr>
                <w:rFonts w:ascii="Times New Roman" w:hAnsi="Times New Roman"/>
                <w:b w:val="0"/>
                <w:i w:val="0"/>
                <w:sz w:val="17"/>
              </w:rPr>
              <w:t>Every processor in the inventory has a current executed contract with complete data protection terms, tracked for currency with renewal alerts, and exceptions are escalated.</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Farhan Qureshi, Head of Vendor Management</w:t>
            </w:r>
          </w:p>
        </w:tc>
      </w:tr>
      <w:tr>
        <w:trPr>
          <w:cantSplit/>
        </w:trPr>
        <w:tc>
          <w:tcPr>
            <w:tcW w:type="dxa" w:w="909"/>
          </w:tcPr>
          <w:p>
            <w:pPr>
              <w:spacing w:before="20" w:after="20"/>
              <w:jc w:val="center"/>
            </w:pPr>
            <w:r/>
            <w:r>
              <w:rPr>
                <w:rFonts w:ascii="Arial" w:hAnsi="Arial"/>
                <w:b/>
                <w:i w:val="0"/>
                <w:sz w:val="17"/>
              </w:rPr>
              <w:t>G033</w:t>
            </w:r>
          </w:p>
        </w:tc>
        <w:tc>
          <w:tcPr>
            <w:tcW w:type="dxa" w:w="1104"/>
          </w:tcPr>
          <w:p>
            <w:pPr>
              <w:spacing w:before="20" w:after="20"/>
              <w:jc w:val="center"/>
            </w:pPr>
            <w:r/>
            <w:r>
              <w:rPr>
                <w:rFonts w:ascii="Arial" w:hAnsi="Arial"/>
                <w:b w:val="0"/>
                <w:i w:val="0"/>
                <w:sz w:val="17"/>
              </w:rPr>
              <w:t>PRO-03</w:t>
            </w:r>
          </w:p>
        </w:tc>
        <w:tc>
          <w:tcPr>
            <w:tcW w:type="dxa" w:w="4808"/>
          </w:tcPr>
          <w:p>
            <w:pPr>
              <w:spacing w:before="20" w:after="20"/>
            </w:pPr>
            <w:r/>
            <w:r>
              <w:rPr>
                <w:rFonts w:ascii="Times New Roman" w:hAnsi="Times New Roman"/>
                <w:b w:val="0"/>
                <w:i w:val="0"/>
                <w:sz w:val="17"/>
              </w:rPr>
              <w:t>Contracts mandate equivalent safeguards with assurance rights, require notification within a window that leaves the entity time to notify, and impose erasure on instruction and at termination.</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Farhan Qureshi, Head of Vendor Management</w:t>
            </w:r>
          </w:p>
        </w:tc>
      </w:tr>
      <w:tr>
        <w:trPr>
          <w:cantSplit/>
        </w:trPr>
        <w:tc>
          <w:tcPr>
            <w:tcW w:type="dxa" w:w="909"/>
          </w:tcPr>
          <w:p>
            <w:pPr>
              <w:spacing w:before="20" w:after="20"/>
              <w:jc w:val="center"/>
            </w:pPr>
            <w:r/>
            <w:r>
              <w:rPr>
                <w:rFonts w:ascii="Arial" w:hAnsi="Arial"/>
                <w:b/>
                <w:i w:val="0"/>
                <w:sz w:val="17"/>
              </w:rPr>
              <w:t>G034</w:t>
            </w:r>
          </w:p>
        </w:tc>
        <w:tc>
          <w:tcPr>
            <w:tcW w:type="dxa" w:w="1104"/>
          </w:tcPr>
          <w:p>
            <w:pPr>
              <w:spacing w:before="20" w:after="20"/>
              <w:jc w:val="center"/>
            </w:pPr>
            <w:r/>
            <w:r>
              <w:rPr>
                <w:rFonts w:ascii="Arial" w:hAnsi="Arial"/>
                <w:b w:val="0"/>
                <w:i w:val="0"/>
                <w:sz w:val="17"/>
              </w:rPr>
              <w:t>PUR-01</w:t>
            </w:r>
          </w:p>
        </w:tc>
        <w:tc>
          <w:tcPr>
            <w:tcW w:type="dxa" w:w="4808"/>
          </w:tcPr>
          <w:p>
            <w:pPr>
              <w:spacing w:before="20" w:after="20"/>
            </w:pPr>
            <w:r/>
            <w:r>
              <w:rPr>
                <w:rFonts w:ascii="Times New Roman" w:hAnsi="Times New Roman"/>
                <w:b w:val="0"/>
                <w:i w:val="0"/>
                <w:sz w:val="17"/>
              </w:rPr>
              <w:t>Every activity carries a specific, documented and defensible basis citing the exact provision, reviewed on change, with no reliance on grounds the Act does not contain.</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G035</w:t>
            </w:r>
          </w:p>
        </w:tc>
        <w:tc>
          <w:tcPr>
            <w:tcW w:type="dxa" w:w="1104"/>
          </w:tcPr>
          <w:p>
            <w:pPr>
              <w:spacing w:before="20" w:after="20"/>
              <w:jc w:val="center"/>
            </w:pPr>
            <w:r/>
            <w:r>
              <w:rPr>
                <w:rFonts w:ascii="Arial" w:hAnsi="Arial"/>
                <w:b w:val="0"/>
                <w:i w:val="0"/>
                <w:sz w:val="17"/>
              </w:rPr>
              <w:t>XBD-03</w:t>
            </w:r>
          </w:p>
        </w:tc>
        <w:tc>
          <w:tcPr>
            <w:tcW w:type="dxa" w:w="4808"/>
          </w:tcPr>
          <w:p>
            <w:pPr>
              <w:spacing w:before="20" w:after="20"/>
            </w:pPr>
            <w:r/>
            <w:r>
              <w:rPr>
                <w:rFonts w:ascii="Times New Roman" w:hAnsi="Times New Roman"/>
                <w:b w:val="0"/>
                <w:i w:val="0"/>
                <w:sz w:val="17"/>
              </w:rPr>
              <w:t>Sectoral requirements are identified with the specific instrument cited, compliance is evidenced, and the transfer map is reconciled against each constraint.</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G036</w:t>
            </w:r>
          </w:p>
        </w:tc>
        <w:tc>
          <w:tcPr>
            <w:tcW w:type="dxa" w:w="1104"/>
          </w:tcPr>
          <w:p>
            <w:pPr>
              <w:spacing w:before="20" w:after="20"/>
              <w:jc w:val="center"/>
            </w:pPr>
            <w:r/>
            <w:r>
              <w:rPr>
                <w:rFonts w:ascii="Arial" w:hAnsi="Arial"/>
                <w:b w:val="0"/>
                <w:i w:val="0"/>
                <w:sz w:val="17"/>
              </w:rPr>
              <w:t>RET-05</w:t>
            </w:r>
          </w:p>
        </w:tc>
        <w:tc>
          <w:tcPr>
            <w:tcW w:type="dxa" w:w="4808"/>
          </w:tcPr>
          <w:p>
            <w:pPr>
              <w:spacing w:before="20" w:after="20"/>
            </w:pPr>
            <w:r/>
            <w:r>
              <w:rPr>
                <w:rFonts w:ascii="Times New Roman" w:hAnsi="Times New Roman"/>
                <w:b w:val="0"/>
                <w:i w:val="0"/>
                <w:sz w:val="17"/>
              </w:rPr>
              <w:t>Pre-erasure notification is automated on the prescribed interval, despatch is logged, and responses are handled through a defined process.</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G037</w:t>
            </w:r>
          </w:p>
        </w:tc>
        <w:tc>
          <w:tcPr>
            <w:tcW w:type="dxa" w:w="1104"/>
          </w:tcPr>
          <w:p>
            <w:pPr>
              <w:spacing w:before="20" w:after="20"/>
              <w:jc w:val="center"/>
            </w:pPr>
            <w:r/>
            <w:r>
              <w:rPr>
                <w:rFonts w:ascii="Arial" w:hAnsi="Arial"/>
                <w:b w:val="0"/>
                <w:i w:val="0"/>
                <w:sz w:val="17"/>
              </w:rPr>
              <w:t>RGT-04</w:t>
            </w:r>
          </w:p>
        </w:tc>
        <w:tc>
          <w:tcPr>
            <w:tcW w:type="dxa" w:w="4808"/>
          </w:tcPr>
          <w:p>
            <w:pPr>
              <w:spacing w:before="20" w:after="20"/>
            </w:pPr>
            <w:r/>
            <w:r>
              <w:rPr>
                <w:rFonts w:ascii="Times New Roman" w:hAnsi="Times New Roman"/>
                <w:b w:val="0"/>
                <w:i w:val="0"/>
                <w:sz w:val="17"/>
              </w:rPr>
              <w:t>A structured nomination mechanism is available and publicised, records are retrievable, and a documented procedure governs nominee verification and rights exercise on death or incapacity.</w:t>
            </w:r>
          </w:p>
        </w:tc>
        <w:tc>
          <w:tcPr>
            <w:tcW w:type="dxa" w:w="1365"/>
          </w:tcPr>
          <w:p>
            <w:pPr>
              <w:spacing w:before="20" w:after="20"/>
              <w:jc w:val="center"/>
            </w:pPr>
            <w:r/>
            <w:r>
              <w:rPr>
                <w:rFonts w:ascii="Arial" w:hAnsi="Arial"/>
                <w:b w:val="0"/>
                <w:i w:val="0"/>
                <w:sz w:val="17"/>
              </w:rPr>
              <w:t>2026-10-13</w:t>
            </w:r>
          </w:p>
        </w:tc>
        <w:tc>
          <w:tcPr>
            <w:tcW w:type="dxa" w:w="1560"/>
          </w:tcPr>
          <w:p>
            <w:pPr>
              <w:spacing w:before="20" w:after="20"/>
            </w:pPr>
            <w:r/>
            <w:r>
              <w:rPr>
                <w:rFonts w:ascii="Arial" w:hAnsi="Arial"/>
                <w:b w:val="0"/>
                <w:i w:val="0"/>
                <w:sz w:val="16"/>
              </w:rPr>
              <w:t>Rohit Menon, Head of Product</w:t>
            </w:r>
          </w:p>
        </w:tc>
      </w:tr>
    </w:tbl>
    <w:p>
      <w:pPr>
        <w:pStyle w:val="Heading2"/>
        <w:keepNext/>
        <w:spacing w:before="280" w:after="120"/>
      </w:pPr>
      <w:r>
        <w:rPr>
          <w:rFonts w:ascii="Arial" w:hAnsi="Arial"/>
          <w:b/>
          <w:color w:val="1F3552"/>
          <w:sz w:val="26"/>
        </w:rPr>
        <w:t>6.3  P3 — Medium — remediate within 90 days</w:t>
      </w:r>
    </w:p>
    <w:p>
      <w:pPr>
        <w:spacing w:before="0" w:after="120"/>
      </w:pPr>
      <w:r>
        <w:rPr>
          <w:rFonts w:ascii="Times New Roman" w:hAnsi="Times New Roman"/>
          <w:b w:val="0"/>
          <w:i/>
          <w:color w:val="44546A"/>
          <w:sz w:val="19"/>
        </w:rPr>
        <w:t>21 items. Residual risk 4 to 6 of 16.</w:t>
      </w:r>
    </w:p>
    <w:tbl>
      <w:tblPr>
        <w:tblStyle w:val="TableGrid"/>
        <w:tblW w:w="9746" w:type="dxa"/>
        <w:jc w:val="center"/>
        <w:tblLayout w:type="fixed"/>
        <w:tblLook w:firstColumn="1" w:firstRow="1" w:lastColumn="0" w:lastRow="0" w:noHBand="0" w:noVBand="1" w:val="04A0"/>
      </w:tblPr>
      <w:tblGrid>
        <w:gridCol w:w="909"/>
        <w:gridCol w:w="1104"/>
        <w:gridCol w:w="4808"/>
        <w:gridCol w:w="1364"/>
        <w:gridCol w:w="1559"/>
      </w:tblGrid>
      <w:tr>
        <w:trPr>
          <w:tblHeader w:val="true"/>
        </w:trPr>
        <w:tc>
          <w:tcPr>
            <w:tcW w:type="dxa" w:w="909"/>
            <w:shd w:val="clear" w:color="auto" w:fill="1F3552"/>
          </w:tcPr>
          <w:p>
            <w:pPr>
              <w:spacing w:before="20" w:after="20"/>
              <w:jc w:val="center"/>
            </w:pPr>
            <w:r/>
            <w:r>
              <w:rPr>
                <w:rFonts w:ascii="Arial" w:hAnsi="Arial"/>
                <w:b/>
                <w:i w:val="0"/>
                <w:color w:val="FFFFFF"/>
                <w:sz w:val="18"/>
              </w:rPr>
              <w:t>Ref</w:t>
            </w:r>
          </w:p>
        </w:tc>
        <w:tc>
          <w:tcPr>
            <w:tcW w:type="dxa" w:w="1104"/>
            <w:shd w:val="clear" w:color="auto" w:fill="1F3552"/>
          </w:tcPr>
          <w:p>
            <w:pPr>
              <w:spacing w:before="20" w:after="20"/>
              <w:jc w:val="center"/>
            </w:pPr>
            <w:r/>
            <w:r>
              <w:rPr>
                <w:rFonts w:ascii="Arial" w:hAnsi="Arial"/>
                <w:b/>
                <w:i w:val="0"/>
                <w:color w:val="FFFFFF"/>
                <w:sz w:val="18"/>
              </w:rPr>
              <w:t>Control</w:t>
            </w:r>
          </w:p>
        </w:tc>
        <w:tc>
          <w:tcPr>
            <w:tcW w:type="dxa" w:w="4808"/>
            <w:shd w:val="clear" w:color="auto" w:fill="1F3552"/>
          </w:tcPr>
          <w:p>
            <w:pPr>
              <w:spacing w:before="20" w:after="20"/>
              <w:jc w:val="center"/>
            </w:pPr>
            <w:r/>
            <w:r>
              <w:rPr>
                <w:rFonts w:ascii="Arial" w:hAnsi="Arial"/>
                <w:b/>
                <w:i w:val="0"/>
                <w:color w:val="FFFFFF"/>
                <w:sz w:val="18"/>
              </w:rPr>
              <w:t>Required target state</w:t>
            </w:r>
          </w:p>
        </w:tc>
        <w:tc>
          <w:tcPr>
            <w:tcW w:type="dxa" w:w="1365"/>
            <w:shd w:val="clear" w:color="auto" w:fill="1F3552"/>
          </w:tcPr>
          <w:p>
            <w:pPr>
              <w:spacing w:before="20" w:after="20"/>
              <w:jc w:val="center"/>
            </w:pPr>
            <w:r/>
            <w:r>
              <w:rPr>
                <w:rFonts w:ascii="Arial" w:hAnsi="Arial"/>
                <w:b/>
                <w:i w:val="0"/>
                <w:color w:val="FFFFFF"/>
                <w:sz w:val="18"/>
              </w:rPr>
              <w:t>Target date</w:t>
            </w:r>
          </w:p>
        </w:tc>
        <w:tc>
          <w:tcPr>
            <w:tcW w:type="dxa" w:w="1560"/>
            <w:shd w:val="clear" w:color="auto" w:fill="1F3552"/>
          </w:tcPr>
          <w:p>
            <w:pPr>
              <w:spacing w:before="20" w:after="20"/>
              <w:jc w:val="center"/>
            </w:pPr>
            <w:r/>
            <w:r>
              <w:rPr>
                <w:rFonts w:ascii="Arial" w:hAnsi="Arial"/>
                <w:b/>
                <w:i w:val="0"/>
                <w:color w:val="FFFFFF"/>
                <w:sz w:val="18"/>
              </w:rPr>
              <w:t>Owner</w:t>
            </w:r>
          </w:p>
        </w:tc>
      </w:tr>
      <w:tr>
        <w:trPr>
          <w:cantSplit/>
        </w:trPr>
        <w:tc>
          <w:tcPr>
            <w:tcW w:type="dxa" w:w="909"/>
          </w:tcPr>
          <w:p>
            <w:pPr>
              <w:spacing w:before="20" w:after="20"/>
              <w:jc w:val="center"/>
            </w:pPr>
            <w:r/>
            <w:r>
              <w:rPr>
                <w:rFonts w:ascii="Arial" w:hAnsi="Arial"/>
                <w:b/>
                <w:i w:val="0"/>
                <w:sz w:val="17"/>
              </w:rPr>
              <w:t>G038</w:t>
            </w:r>
          </w:p>
        </w:tc>
        <w:tc>
          <w:tcPr>
            <w:tcW w:type="dxa" w:w="1104"/>
          </w:tcPr>
          <w:p>
            <w:pPr>
              <w:spacing w:before="20" w:after="20"/>
              <w:jc w:val="center"/>
            </w:pPr>
            <w:r/>
            <w:r>
              <w:rPr>
                <w:rFonts w:ascii="Arial" w:hAnsi="Arial"/>
                <w:b w:val="0"/>
                <w:i w:val="0"/>
                <w:sz w:val="17"/>
              </w:rPr>
              <w:t>BRC-06</w:t>
            </w:r>
          </w:p>
        </w:tc>
        <w:tc>
          <w:tcPr>
            <w:tcW w:type="dxa" w:w="4808"/>
          </w:tcPr>
          <w:p>
            <w:pPr>
              <w:spacing w:before="20" w:after="20"/>
            </w:pPr>
            <w:r/>
            <w:r>
              <w:rPr>
                <w:rFonts w:ascii="Times New Roman" w:hAnsi="Times New Roman"/>
                <w:b w:val="0"/>
                <w:i w:val="0"/>
                <w:sz w:val="17"/>
              </w:rPr>
              <w:t>Rehearsals occur at least annually against notification-triggering scenarios, exercise both Board and Data Principal intimation, and after-action items are tracked to closure and retested.</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Arjun Nair, Chief Information Security Officer</w:t>
            </w:r>
          </w:p>
        </w:tc>
      </w:tr>
      <w:tr>
        <w:trPr>
          <w:cantSplit/>
        </w:trPr>
        <w:tc>
          <w:tcPr>
            <w:tcW w:type="dxa" w:w="909"/>
          </w:tcPr>
          <w:p>
            <w:pPr>
              <w:spacing w:before="20" w:after="20"/>
              <w:jc w:val="center"/>
            </w:pPr>
            <w:r/>
            <w:r>
              <w:rPr>
                <w:rFonts w:ascii="Arial" w:hAnsi="Arial"/>
                <w:b/>
                <w:i w:val="0"/>
                <w:sz w:val="17"/>
              </w:rPr>
              <w:t>G039</w:t>
            </w:r>
          </w:p>
        </w:tc>
        <w:tc>
          <w:tcPr>
            <w:tcW w:type="dxa" w:w="1104"/>
          </w:tcPr>
          <w:p>
            <w:pPr>
              <w:spacing w:before="20" w:after="20"/>
              <w:jc w:val="center"/>
            </w:pPr>
            <w:r/>
            <w:r>
              <w:rPr>
                <w:rFonts w:ascii="Arial" w:hAnsi="Arial"/>
                <w:b w:val="0"/>
                <w:i w:val="0"/>
                <w:sz w:val="17"/>
              </w:rPr>
              <w:t>BRD-03</w:t>
            </w:r>
          </w:p>
        </w:tc>
        <w:tc>
          <w:tcPr>
            <w:tcW w:type="dxa" w:w="4808"/>
          </w:tcPr>
          <w:p>
            <w:pPr>
              <w:spacing w:before="20" w:after="20"/>
            </w:pPr>
            <w:r/>
            <w:r>
              <w:rPr>
                <w:rFonts w:ascii="Times New Roman" w:hAnsi="Times New Roman"/>
                <w:b w:val="0"/>
                <w:i w:val="0"/>
                <w:sz w:val="17"/>
              </w:rPr>
              <w:t>A funded plan with named owners and dates is reported to governance, completions are evidenced, and overdue items are escalated and replanned deliberately.</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Vikram Shetty, Chief Financial Officer</w:t>
            </w:r>
          </w:p>
        </w:tc>
      </w:tr>
      <w:tr>
        <w:trPr>
          <w:cantSplit/>
        </w:trPr>
        <w:tc>
          <w:tcPr>
            <w:tcW w:type="dxa" w:w="909"/>
          </w:tcPr>
          <w:p>
            <w:pPr>
              <w:spacing w:before="20" w:after="20"/>
              <w:jc w:val="center"/>
            </w:pPr>
            <w:r/>
            <w:r>
              <w:rPr>
                <w:rFonts w:ascii="Arial" w:hAnsi="Arial"/>
                <w:b/>
                <w:i w:val="0"/>
                <w:sz w:val="17"/>
              </w:rPr>
              <w:t>G040</w:t>
            </w:r>
          </w:p>
        </w:tc>
        <w:tc>
          <w:tcPr>
            <w:tcW w:type="dxa" w:w="1104"/>
          </w:tcPr>
          <w:p>
            <w:pPr>
              <w:spacing w:before="20" w:after="20"/>
              <w:jc w:val="center"/>
            </w:pPr>
            <w:r/>
            <w:r>
              <w:rPr>
                <w:rFonts w:ascii="Arial" w:hAnsi="Arial"/>
                <w:b w:val="0"/>
                <w:i w:val="0"/>
                <w:sz w:val="17"/>
              </w:rPr>
              <w:t>CHD-04</w:t>
            </w:r>
          </w:p>
        </w:tc>
        <w:tc>
          <w:tcPr>
            <w:tcW w:type="dxa" w:w="4808"/>
          </w:tcPr>
          <w:p>
            <w:pPr>
              <w:spacing w:before="20" w:after="20"/>
            </w:pPr>
            <w:r/>
            <w:r>
              <w:rPr>
                <w:rFonts w:ascii="Times New Roman" w:hAnsi="Times New Roman"/>
                <w:b w:val="0"/>
                <w:i w:val="0"/>
                <w:sz w:val="17"/>
              </w:rPr>
              <w:t>Documented wellbeing assessments cover features and algorithms affecting children, are reviewed on change, and there is evidence of design changes made on wellbeing grounds.</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G041</w:t>
            </w:r>
          </w:p>
        </w:tc>
        <w:tc>
          <w:tcPr>
            <w:tcW w:type="dxa" w:w="1104"/>
          </w:tcPr>
          <w:p>
            <w:pPr>
              <w:spacing w:before="20" w:after="20"/>
              <w:jc w:val="center"/>
            </w:pPr>
            <w:r/>
            <w:r>
              <w:rPr>
                <w:rFonts w:ascii="Arial" w:hAnsi="Arial"/>
                <w:b w:val="0"/>
                <w:i w:val="0"/>
                <w:sz w:val="17"/>
              </w:rPr>
              <w:t>CMG-02</w:t>
            </w:r>
          </w:p>
        </w:tc>
        <w:tc>
          <w:tcPr>
            <w:tcW w:type="dxa" w:w="4808"/>
          </w:tcPr>
          <w:p>
            <w:pPr>
              <w:spacing w:before="20" w:after="20"/>
            </w:pPr>
            <w:r/>
            <w:r>
              <w:rPr>
                <w:rFonts w:ascii="Times New Roman" w:hAnsi="Times New Roman"/>
                <w:b w:val="0"/>
                <w:i w:val="0"/>
                <w:sz w:val="17"/>
              </w:rPr>
              <w:t>Automated reconciliation with exception alerting is in place, withdrawal propagation is tested end to end, and the entity retains its own provable consent state.</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G042</w:t>
            </w:r>
          </w:p>
        </w:tc>
        <w:tc>
          <w:tcPr>
            <w:tcW w:type="dxa" w:w="1104"/>
          </w:tcPr>
          <w:p>
            <w:pPr>
              <w:spacing w:before="20" w:after="20"/>
              <w:jc w:val="center"/>
            </w:pPr>
            <w:r/>
            <w:r>
              <w:rPr>
                <w:rFonts w:ascii="Arial" w:hAnsi="Arial"/>
                <w:b w:val="0"/>
                <w:i w:val="0"/>
                <w:sz w:val="17"/>
              </w:rPr>
              <w:t>GRV-01</w:t>
            </w:r>
          </w:p>
        </w:tc>
        <w:tc>
          <w:tcPr>
            <w:tcW w:type="dxa" w:w="4808"/>
          </w:tcPr>
          <w:p>
            <w:pPr>
              <w:spacing w:before="20" w:after="20"/>
            </w:pPr>
            <w:r/>
            <w:r>
              <w:rPr>
                <w:rFonts w:ascii="Times New Roman" w:hAnsi="Times New Roman"/>
                <w:b w:val="0"/>
                <w:i w:val="0"/>
                <w:sz w:val="17"/>
              </w:rPr>
              <w:t>A dedicated, resourced mechanism with defined ownership and escalation resolves matters substantively, and end-to-end testing confirms effectiveness.</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Anita Desai, Head of Customer Experience</w:t>
            </w:r>
          </w:p>
        </w:tc>
      </w:tr>
      <w:tr>
        <w:trPr>
          <w:cantSplit/>
        </w:trPr>
        <w:tc>
          <w:tcPr>
            <w:tcW w:type="dxa" w:w="909"/>
          </w:tcPr>
          <w:p>
            <w:pPr>
              <w:spacing w:before="20" w:after="20"/>
              <w:jc w:val="center"/>
            </w:pPr>
            <w:r/>
            <w:r>
              <w:rPr>
                <w:rFonts w:ascii="Arial" w:hAnsi="Arial"/>
                <w:b/>
                <w:i w:val="0"/>
                <w:sz w:val="17"/>
              </w:rPr>
              <w:t>G043</w:t>
            </w:r>
          </w:p>
        </w:tc>
        <w:tc>
          <w:tcPr>
            <w:tcW w:type="dxa" w:w="1104"/>
          </w:tcPr>
          <w:p>
            <w:pPr>
              <w:spacing w:before="20" w:after="20"/>
              <w:jc w:val="center"/>
            </w:pPr>
            <w:r/>
            <w:r>
              <w:rPr>
                <w:rFonts w:ascii="Arial" w:hAnsi="Arial"/>
                <w:b w:val="0"/>
                <w:i w:val="0"/>
                <w:sz w:val="17"/>
              </w:rPr>
              <w:t>NOT-03</w:t>
            </w:r>
          </w:p>
        </w:tc>
        <w:tc>
          <w:tcPr>
            <w:tcW w:type="dxa" w:w="4808"/>
          </w:tcPr>
          <w:p>
            <w:pPr>
              <w:spacing w:before="20" w:after="20"/>
            </w:pPr>
            <w:r/>
            <w:r>
              <w:rPr>
                <w:rFonts w:ascii="Times New Roman" w:hAnsi="Times New Roman"/>
                <w:b w:val="0"/>
                <w:i w:val="0"/>
                <w:sz w:val="17"/>
              </w:rPr>
              <w:t>All three are disclosed with operative, tested routes, and the notice correctly explains the sequencing of grievance redressal before approach to the Board.</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G044</w:t>
            </w:r>
          </w:p>
        </w:tc>
        <w:tc>
          <w:tcPr>
            <w:tcW w:type="dxa" w:w="1104"/>
          </w:tcPr>
          <w:p>
            <w:pPr>
              <w:spacing w:before="20" w:after="20"/>
              <w:jc w:val="center"/>
            </w:pPr>
            <w:r/>
            <w:r>
              <w:rPr>
                <w:rFonts w:ascii="Arial" w:hAnsi="Arial"/>
                <w:b w:val="0"/>
                <w:i w:val="0"/>
                <w:sz w:val="17"/>
              </w:rPr>
              <w:t>PRO-04</w:t>
            </w:r>
          </w:p>
        </w:tc>
        <w:tc>
          <w:tcPr>
            <w:tcW w:type="dxa" w:w="4808"/>
          </w:tcPr>
          <w:p>
            <w:pPr>
              <w:spacing w:before="20" w:after="20"/>
            </w:pPr>
            <w:r/>
            <w:r>
              <w:rPr>
                <w:rFonts w:ascii="Times New Roman" w:hAnsi="Times New Roman"/>
                <w:b w:val="0"/>
                <w:i w:val="0"/>
                <w:sz w:val="17"/>
              </w:rPr>
              <w:t>Authorisation or objection rights are contractual, flow-down is required, current sub-processor lists are obtained and reviewed, and changes are assessed.</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Farhan Qureshi, Head of Vendor Management</w:t>
            </w:r>
          </w:p>
        </w:tc>
      </w:tr>
      <w:tr>
        <w:trPr>
          <w:cantSplit/>
        </w:trPr>
        <w:tc>
          <w:tcPr>
            <w:tcW w:type="dxa" w:w="909"/>
          </w:tcPr>
          <w:p>
            <w:pPr>
              <w:spacing w:before="20" w:after="20"/>
              <w:jc w:val="center"/>
            </w:pPr>
            <w:r/>
            <w:r>
              <w:rPr>
                <w:rFonts w:ascii="Arial" w:hAnsi="Arial"/>
                <w:b/>
                <w:i w:val="0"/>
                <w:sz w:val="17"/>
              </w:rPr>
              <w:t>G045</w:t>
            </w:r>
          </w:p>
        </w:tc>
        <w:tc>
          <w:tcPr>
            <w:tcW w:type="dxa" w:w="1104"/>
          </w:tcPr>
          <w:p>
            <w:pPr>
              <w:spacing w:before="20" w:after="20"/>
              <w:jc w:val="center"/>
            </w:pPr>
            <w:r/>
            <w:r>
              <w:rPr>
                <w:rFonts w:ascii="Arial" w:hAnsi="Arial"/>
                <w:b w:val="0"/>
                <w:i w:val="0"/>
                <w:sz w:val="17"/>
              </w:rPr>
              <w:t>PRO-06</w:t>
            </w:r>
          </w:p>
        </w:tc>
        <w:tc>
          <w:tcPr>
            <w:tcW w:type="dxa" w:w="4808"/>
          </w:tcPr>
          <w:p>
            <w:pPr>
              <w:spacing w:before="20" w:after="20"/>
            </w:pPr>
            <w:r/>
            <w:r>
              <w:rPr>
                <w:rFonts w:ascii="Times New Roman" w:hAnsi="Times New Roman"/>
                <w:b w:val="0"/>
                <w:i w:val="0"/>
                <w:sz w:val="17"/>
              </w:rPr>
              <w:t>Every termination triggers a documented return or erasure step, written confirmations are obtained and retained, and a register tracks status to closure.</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Farhan Qureshi, Head of Vendor Management</w:t>
            </w:r>
          </w:p>
        </w:tc>
      </w:tr>
      <w:tr>
        <w:trPr>
          <w:cantSplit/>
        </w:trPr>
        <w:tc>
          <w:tcPr>
            <w:tcW w:type="dxa" w:w="909"/>
          </w:tcPr>
          <w:p>
            <w:pPr>
              <w:spacing w:before="20" w:after="20"/>
              <w:jc w:val="center"/>
            </w:pPr>
            <w:r/>
            <w:r>
              <w:rPr>
                <w:rFonts w:ascii="Arial" w:hAnsi="Arial"/>
                <w:b/>
                <w:i w:val="0"/>
                <w:sz w:val="17"/>
              </w:rPr>
              <w:t>G046</w:t>
            </w:r>
          </w:p>
        </w:tc>
        <w:tc>
          <w:tcPr>
            <w:tcW w:type="dxa" w:w="1104"/>
          </w:tcPr>
          <w:p>
            <w:pPr>
              <w:spacing w:before="20" w:after="20"/>
              <w:jc w:val="center"/>
            </w:pPr>
            <w:r/>
            <w:r>
              <w:rPr>
                <w:rFonts w:ascii="Arial" w:hAnsi="Arial"/>
                <w:b w:val="0"/>
                <w:i w:val="0"/>
                <w:sz w:val="17"/>
              </w:rPr>
              <w:t>PUR-02</w:t>
            </w:r>
          </w:p>
        </w:tc>
        <w:tc>
          <w:tcPr>
            <w:tcW w:type="dxa" w:w="4808"/>
          </w:tcPr>
          <w:p>
            <w:pPr>
              <w:spacing w:before="20" w:after="20"/>
            </w:pPr>
            <w:r/>
            <w:r>
              <w:rPr>
                <w:rFonts w:ascii="Times New Roman" w:hAnsi="Times New Roman"/>
                <w:b w:val="0"/>
                <w:i w:val="0"/>
                <w:sz w:val="17"/>
              </w:rPr>
              <w:t>Field-level necessity is documented and periodically re-tested, optional fields are clearly distinguished, and there is evidence of fields having actually been removed as unnecessary.</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G047</w:t>
            </w:r>
          </w:p>
        </w:tc>
        <w:tc>
          <w:tcPr>
            <w:tcW w:type="dxa" w:w="1104"/>
          </w:tcPr>
          <w:p>
            <w:pPr>
              <w:spacing w:before="20" w:after="20"/>
              <w:jc w:val="center"/>
            </w:pPr>
            <w:r/>
            <w:r>
              <w:rPr>
                <w:rFonts w:ascii="Arial" w:hAnsi="Arial"/>
                <w:b w:val="0"/>
                <w:i w:val="0"/>
                <w:sz w:val="17"/>
              </w:rPr>
              <w:t>RET-01</w:t>
            </w:r>
          </w:p>
        </w:tc>
        <w:tc>
          <w:tcPr>
            <w:tcW w:type="dxa" w:w="4808"/>
          </w:tcPr>
          <w:p>
            <w:pPr>
              <w:spacing w:before="20" w:after="20"/>
            </w:pPr>
            <w:r/>
            <w:r>
              <w:rPr>
                <w:rFonts w:ascii="Times New Roman" w:hAnsi="Times New Roman"/>
                <w:b w:val="0"/>
                <w:i w:val="0"/>
                <w:sz w:val="17"/>
              </w:rPr>
              <w:t>A complete schedule covers every category and purpose, each extended period cites the specific legal requirement, and the schedule is reviewed and approved on a defined cycle.</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Devika Iyer, VP Engineering</w:t>
            </w:r>
          </w:p>
        </w:tc>
      </w:tr>
      <w:tr>
        <w:trPr>
          <w:cantSplit/>
        </w:trPr>
        <w:tc>
          <w:tcPr>
            <w:tcW w:type="dxa" w:w="909"/>
          </w:tcPr>
          <w:p>
            <w:pPr>
              <w:spacing w:before="20" w:after="20"/>
              <w:jc w:val="center"/>
            </w:pPr>
            <w:r/>
            <w:r>
              <w:rPr>
                <w:rFonts w:ascii="Arial" w:hAnsi="Arial"/>
                <w:b/>
                <w:i w:val="0"/>
                <w:sz w:val="17"/>
              </w:rPr>
              <w:t>G048</w:t>
            </w:r>
          </w:p>
        </w:tc>
        <w:tc>
          <w:tcPr>
            <w:tcW w:type="dxa" w:w="1104"/>
          </w:tcPr>
          <w:p>
            <w:pPr>
              <w:spacing w:before="20" w:after="20"/>
              <w:jc w:val="center"/>
            </w:pPr>
            <w:r/>
            <w:r>
              <w:rPr>
                <w:rFonts w:ascii="Arial" w:hAnsi="Arial"/>
                <w:b w:val="0"/>
                <w:i w:val="0"/>
                <w:sz w:val="17"/>
              </w:rPr>
              <w:t>RGT-01</w:t>
            </w:r>
          </w:p>
        </w:tc>
        <w:tc>
          <w:tcPr>
            <w:tcW w:type="dxa" w:w="4808"/>
          </w:tcPr>
          <w:p>
            <w:pPr>
              <w:spacing w:before="20" w:after="20"/>
            </w:pPr>
            <w:r/>
            <w:r>
              <w:rPr>
                <w:rFonts w:ascii="Times New Roman" w:hAnsi="Times New Roman"/>
                <w:b w:val="0"/>
                <w:i w:val="0"/>
                <w:sz w:val="17"/>
              </w:rPr>
              <w:t>Testing confirms responses cover all statutory elements including full recipient identities and descriptions of data shared, produced within the prescribed period through a repeatable process.</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Anita Desai, Head of Customer Experience</w:t>
            </w:r>
          </w:p>
        </w:tc>
      </w:tr>
      <w:tr>
        <w:trPr>
          <w:cantSplit/>
        </w:trPr>
        <w:tc>
          <w:tcPr>
            <w:tcW w:type="dxa" w:w="909"/>
          </w:tcPr>
          <w:p>
            <w:pPr>
              <w:spacing w:before="20" w:after="20"/>
              <w:jc w:val="center"/>
            </w:pPr>
            <w:r/>
            <w:r>
              <w:rPr>
                <w:rFonts w:ascii="Arial" w:hAnsi="Arial"/>
                <w:b/>
                <w:i w:val="0"/>
                <w:sz w:val="17"/>
              </w:rPr>
              <w:t>G049</w:t>
            </w:r>
          </w:p>
        </w:tc>
        <w:tc>
          <w:tcPr>
            <w:tcW w:type="dxa" w:w="1104"/>
          </w:tcPr>
          <w:p>
            <w:pPr>
              <w:spacing w:before="20" w:after="20"/>
              <w:jc w:val="center"/>
            </w:pPr>
            <w:r/>
            <w:r>
              <w:rPr>
                <w:rFonts w:ascii="Arial" w:hAnsi="Arial"/>
                <w:b w:val="0"/>
                <w:i w:val="0"/>
                <w:sz w:val="17"/>
              </w:rPr>
              <w:t>RGT-06</w:t>
            </w:r>
          </w:p>
        </w:tc>
        <w:tc>
          <w:tcPr>
            <w:tcW w:type="dxa" w:w="4808"/>
          </w:tcPr>
          <w:p>
            <w:pPr>
              <w:spacing w:before="20" w:after="20"/>
            </w:pPr>
            <w:r/>
            <w:r>
              <w:rPr>
                <w:rFonts w:ascii="Times New Roman" w:hAnsi="Times New Roman"/>
                <w:b w:val="0"/>
                <w:i w:val="0"/>
                <w:sz w:val="17"/>
              </w:rPr>
              <w:t>A single register captures requests from every channel following reconciliation, elapsed times are measured against the prescribed period, and overruns are reported and remediated.</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Anita Desai, Head of Customer Experience</w:t>
            </w:r>
          </w:p>
        </w:tc>
      </w:tr>
      <w:tr>
        <w:trPr>
          <w:cantSplit/>
        </w:trPr>
        <w:tc>
          <w:tcPr>
            <w:tcW w:type="dxa" w:w="909"/>
          </w:tcPr>
          <w:p>
            <w:pPr>
              <w:spacing w:before="20" w:after="20"/>
              <w:jc w:val="center"/>
            </w:pPr>
            <w:r/>
            <w:r>
              <w:rPr>
                <w:rFonts w:ascii="Arial" w:hAnsi="Arial"/>
                <w:b/>
                <w:i w:val="0"/>
                <w:sz w:val="17"/>
              </w:rPr>
              <w:t>G050</w:t>
            </w:r>
          </w:p>
        </w:tc>
        <w:tc>
          <w:tcPr>
            <w:tcW w:type="dxa" w:w="1104"/>
          </w:tcPr>
          <w:p>
            <w:pPr>
              <w:spacing w:before="20" w:after="20"/>
              <w:jc w:val="center"/>
            </w:pPr>
            <w:r/>
            <w:r>
              <w:rPr>
                <w:rFonts w:ascii="Arial" w:hAnsi="Arial"/>
                <w:b w:val="0"/>
                <w:i w:val="0"/>
                <w:sz w:val="17"/>
              </w:rPr>
              <w:t>SDF-06</w:t>
            </w:r>
          </w:p>
        </w:tc>
        <w:tc>
          <w:tcPr>
            <w:tcW w:type="dxa" w:w="4808"/>
          </w:tcPr>
          <w:p>
            <w:pPr>
              <w:spacing w:before="20" w:after="20"/>
            </w:pPr>
            <w:r/>
            <w:r>
              <w:rPr>
                <w:rFonts w:ascii="Times New Roman" w:hAnsi="Times New Roman"/>
                <w:b w:val="0"/>
                <w:i w:val="0"/>
                <w:sz w:val="17"/>
              </w:rPr>
              <w:t>Affected categories are identified, reconciled against the transfer map, and technical controls prevent restricted transfers with monitoring for exceptions.</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G051</w:t>
            </w:r>
          </w:p>
        </w:tc>
        <w:tc>
          <w:tcPr>
            <w:tcW w:type="dxa" w:w="1104"/>
          </w:tcPr>
          <w:p>
            <w:pPr>
              <w:spacing w:before="20" w:after="20"/>
              <w:jc w:val="center"/>
            </w:pPr>
            <w:r/>
            <w:r>
              <w:rPr>
                <w:rFonts w:ascii="Arial" w:hAnsi="Arial"/>
                <w:b w:val="0"/>
                <w:i w:val="0"/>
                <w:sz w:val="17"/>
              </w:rPr>
              <w:t>XBD-04</w:t>
            </w:r>
          </w:p>
        </w:tc>
        <w:tc>
          <w:tcPr>
            <w:tcW w:type="dxa" w:w="4808"/>
          </w:tcPr>
          <w:p>
            <w:pPr>
              <w:spacing w:before="20" w:after="20"/>
            </w:pPr>
            <w:r/>
            <w:r>
              <w:rPr>
                <w:rFonts w:ascii="Times New Roman" w:hAnsi="Times New Roman"/>
                <w:b w:val="0"/>
                <w:i w:val="0"/>
                <w:sz w:val="17"/>
              </w:rPr>
              <w:t>Offshore recipients are bound by equivalent safeguards with commensurate assurance, and transfer outside India is disclosed where relevant.</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G052</w:t>
            </w:r>
          </w:p>
        </w:tc>
        <w:tc>
          <w:tcPr>
            <w:tcW w:type="dxa" w:w="1104"/>
          </w:tcPr>
          <w:p>
            <w:pPr>
              <w:spacing w:before="20" w:after="20"/>
              <w:jc w:val="center"/>
            </w:pPr>
            <w:r/>
            <w:r>
              <w:rPr>
                <w:rFonts w:ascii="Arial" w:hAnsi="Arial"/>
                <w:b w:val="0"/>
                <w:i w:val="0"/>
                <w:sz w:val="17"/>
              </w:rPr>
              <w:t>NOT-04</w:t>
            </w:r>
          </w:p>
        </w:tc>
        <w:tc>
          <w:tcPr>
            <w:tcW w:type="dxa" w:w="4808"/>
          </w:tcPr>
          <w:p>
            <w:pPr>
              <w:spacing w:before="20" w:after="20"/>
            </w:pPr>
            <w:r/>
            <w:r>
              <w:rPr>
                <w:rFonts w:ascii="Times New Roman" w:hAnsi="Times New Roman"/>
                <w:b w:val="0"/>
                <w:i w:val="0"/>
                <w:sz w:val="17"/>
              </w:rPr>
              <w:t>The option is genuinely available and discoverable across surfaces, translations are reviewed for legal accuracy, and version control keeps every language aligned when the notice changes.</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G053</w:t>
            </w:r>
          </w:p>
        </w:tc>
        <w:tc>
          <w:tcPr>
            <w:tcW w:type="dxa" w:w="1104"/>
          </w:tcPr>
          <w:p>
            <w:pPr>
              <w:spacing w:before="20" w:after="20"/>
              <w:jc w:val="center"/>
            </w:pPr>
            <w:r/>
            <w:r>
              <w:rPr>
                <w:rFonts w:ascii="Arial" w:hAnsi="Arial"/>
                <w:b w:val="0"/>
                <w:i w:val="0"/>
                <w:sz w:val="17"/>
              </w:rPr>
              <w:t>BRD-01</w:t>
            </w:r>
          </w:p>
        </w:tc>
        <w:tc>
          <w:tcPr>
            <w:tcW w:type="dxa" w:w="4808"/>
          </w:tcPr>
          <w:p>
            <w:pPr>
              <w:spacing w:before="20" w:after="20"/>
            </w:pPr>
            <w:r/>
            <w:r>
              <w:rPr>
                <w:rFonts w:ascii="Times New Roman" w:hAnsi="Times New Roman"/>
                <w:b w:val="0"/>
                <w:i w:val="0"/>
                <w:sz w:val="17"/>
              </w:rPr>
              <w:t>A defined procedure with a named owner is supported by an organised evidence repository, and testing confirms a complete evidence set can be assembled at short notice.</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G054</w:t>
            </w:r>
          </w:p>
        </w:tc>
        <w:tc>
          <w:tcPr>
            <w:tcW w:type="dxa" w:w="1104"/>
          </w:tcPr>
          <w:p>
            <w:pPr>
              <w:spacing w:before="20" w:after="20"/>
              <w:jc w:val="center"/>
            </w:pPr>
            <w:r/>
            <w:r>
              <w:rPr>
                <w:rFonts w:ascii="Arial" w:hAnsi="Arial"/>
                <w:b w:val="0"/>
                <w:i w:val="0"/>
                <w:sz w:val="17"/>
              </w:rPr>
              <w:t>CON-05</w:t>
            </w:r>
          </w:p>
        </w:tc>
        <w:tc>
          <w:tcPr>
            <w:tcW w:type="dxa" w:w="4808"/>
          </w:tcPr>
          <w:p>
            <w:pPr>
              <w:spacing w:before="20" w:after="20"/>
            </w:pPr>
            <w:r/>
            <w:r>
              <w:rPr>
                <w:rFonts w:ascii="Times New Roman" w:hAnsi="Times New Roman"/>
                <w:b w:val="0"/>
                <w:i w:val="0"/>
                <w:sz w:val="17"/>
              </w:rPr>
              <w:t>Consequences are accurately and neutrally stated, verified against what technically occurs, and free of deterrent framing.</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G055</w:t>
            </w:r>
          </w:p>
        </w:tc>
        <w:tc>
          <w:tcPr>
            <w:tcW w:type="dxa" w:w="1104"/>
          </w:tcPr>
          <w:p>
            <w:pPr>
              <w:spacing w:before="20" w:after="20"/>
              <w:jc w:val="center"/>
            </w:pPr>
            <w:r/>
            <w:r>
              <w:rPr>
                <w:rFonts w:ascii="Arial" w:hAnsi="Arial"/>
                <w:b w:val="0"/>
                <w:i w:val="0"/>
                <w:sz w:val="17"/>
              </w:rPr>
              <w:t>GOV-04</w:t>
            </w:r>
          </w:p>
        </w:tc>
        <w:tc>
          <w:tcPr>
            <w:tcW w:type="dxa" w:w="4808"/>
          </w:tcPr>
          <w:p>
            <w:pPr>
              <w:spacing w:before="20" w:after="20"/>
            </w:pPr>
            <w:r/>
            <w:r>
              <w:rPr>
                <w:rFonts w:ascii="Times New Roman" w:hAnsi="Times New Roman"/>
                <w:b w:val="0"/>
                <w:i w:val="0"/>
                <w:sz w:val="17"/>
              </w:rPr>
              <w:t>Periodic reporting on a defined cycle with meaningful metrics, evidenced challenge from the forum, and issues tracked to closure.</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Vikram Shetty, Chief Financial Officer</w:t>
            </w:r>
          </w:p>
        </w:tc>
      </w:tr>
      <w:tr>
        <w:trPr>
          <w:cantSplit/>
        </w:trPr>
        <w:tc>
          <w:tcPr>
            <w:tcW w:type="dxa" w:w="909"/>
          </w:tcPr>
          <w:p>
            <w:pPr>
              <w:spacing w:before="20" w:after="20"/>
              <w:jc w:val="center"/>
            </w:pPr>
            <w:r/>
            <w:r>
              <w:rPr>
                <w:rFonts w:ascii="Arial" w:hAnsi="Arial"/>
                <w:b/>
                <w:i w:val="0"/>
                <w:sz w:val="17"/>
              </w:rPr>
              <w:t>G056</w:t>
            </w:r>
          </w:p>
        </w:tc>
        <w:tc>
          <w:tcPr>
            <w:tcW w:type="dxa" w:w="1104"/>
          </w:tcPr>
          <w:p>
            <w:pPr>
              <w:spacing w:before="20" w:after="20"/>
              <w:jc w:val="center"/>
            </w:pPr>
            <w:r/>
            <w:r>
              <w:rPr>
                <w:rFonts w:ascii="Arial" w:hAnsi="Arial"/>
                <w:b w:val="0"/>
                <w:i w:val="0"/>
                <w:sz w:val="17"/>
              </w:rPr>
              <w:t>GOV-06</w:t>
            </w:r>
          </w:p>
        </w:tc>
        <w:tc>
          <w:tcPr>
            <w:tcW w:type="dxa" w:w="4808"/>
          </w:tcPr>
          <w:p>
            <w:pPr>
              <w:spacing w:before="20" w:after="20"/>
            </w:pPr>
            <w:r/>
            <w:r>
              <w:rPr>
                <w:rFonts w:ascii="Times New Roman" w:hAnsi="Times New Roman"/>
                <w:b w:val="0"/>
                <w:i w:val="0"/>
                <w:sz w:val="17"/>
              </w:rPr>
              <w:t>Act-specific training is delivered to all relevant personnel with role-tailored modules for high-risk functions, completion is tracked and enforced, and sample enquiry confirms practical understanding.</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Sneha Kulkarni, Head of People</w:t>
            </w:r>
          </w:p>
        </w:tc>
      </w:tr>
      <w:tr>
        <w:trPr>
          <w:cantSplit/>
        </w:trPr>
        <w:tc>
          <w:tcPr>
            <w:tcW w:type="dxa" w:w="909"/>
          </w:tcPr>
          <w:p>
            <w:pPr>
              <w:spacing w:before="20" w:after="20"/>
              <w:jc w:val="center"/>
            </w:pPr>
            <w:r/>
            <w:r>
              <w:rPr>
                <w:rFonts w:ascii="Arial" w:hAnsi="Arial"/>
                <w:b/>
                <w:i w:val="0"/>
                <w:sz w:val="17"/>
              </w:rPr>
              <w:t>G057</w:t>
            </w:r>
          </w:p>
        </w:tc>
        <w:tc>
          <w:tcPr>
            <w:tcW w:type="dxa" w:w="1104"/>
          </w:tcPr>
          <w:p>
            <w:pPr>
              <w:spacing w:before="20" w:after="20"/>
              <w:jc w:val="center"/>
            </w:pPr>
            <w:r/>
            <w:r>
              <w:rPr>
                <w:rFonts w:ascii="Arial" w:hAnsi="Arial"/>
                <w:b w:val="0"/>
                <w:i w:val="0"/>
                <w:sz w:val="17"/>
              </w:rPr>
              <w:t>PUR-05</w:t>
            </w:r>
          </w:p>
        </w:tc>
        <w:tc>
          <w:tcPr>
            <w:tcW w:type="dxa" w:w="4808"/>
          </w:tcPr>
          <w:p>
            <w:pPr>
              <w:spacing w:before="20" w:after="20"/>
            </w:pPr>
            <w:r/>
            <w:r>
              <w:rPr>
                <w:rFonts w:ascii="Times New Roman" w:hAnsi="Times New Roman"/>
                <w:b w:val="0"/>
                <w:i w:val="0"/>
                <w:sz w:val="17"/>
              </w:rPr>
              <w:t>The gate is embedded and enforced before go-live, with completed assessments predating launch and evidence of launches having been changed or blocked on privacy grounds.</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Rohit Menon, Head of Product</w:t>
            </w:r>
          </w:p>
        </w:tc>
      </w:tr>
      <w:tr>
        <w:trPr>
          <w:cantSplit/>
        </w:trPr>
        <w:tc>
          <w:tcPr>
            <w:tcW w:type="dxa" w:w="909"/>
          </w:tcPr>
          <w:p>
            <w:pPr>
              <w:spacing w:before="20" w:after="20"/>
              <w:jc w:val="center"/>
            </w:pPr>
            <w:r/>
            <w:r>
              <w:rPr>
                <w:rFonts w:ascii="Arial" w:hAnsi="Arial"/>
                <w:b/>
                <w:i w:val="0"/>
                <w:sz w:val="17"/>
              </w:rPr>
              <w:t>G058</w:t>
            </w:r>
          </w:p>
        </w:tc>
        <w:tc>
          <w:tcPr>
            <w:tcW w:type="dxa" w:w="1104"/>
          </w:tcPr>
          <w:p>
            <w:pPr>
              <w:spacing w:before="20" w:after="20"/>
              <w:jc w:val="center"/>
            </w:pPr>
            <w:r/>
            <w:r>
              <w:rPr>
                <w:rFonts w:ascii="Arial" w:hAnsi="Arial"/>
                <w:b w:val="0"/>
                <w:i w:val="0"/>
                <w:sz w:val="17"/>
              </w:rPr>
              <w:t>XBD-02</w:t>
            </w:r>
          </w:p>
        </w:tc>
        <w:tc>
          <w:tcPr>
            <w:tcW w:type="dxa" w:w="4808"/>
          </w:tcPr>
          <w:p>
            <w:pPr>
              <w:spacing w:before="20" w:after="20"/>
            </w:pPr>
            <w:r/>
            <w:r>
              <w:rPr>
                <w:rFonts w:ascii="Times New Roman" w:hAnsi="Times New Roman"/>
                <w:b w:val="0"/>
                <w:i w:val="0"/>
                <w:sz w:val="17"/>
              </w:rPr>
              <w:t>A named owner monitors systematically, contingency plans exist for principal destinations, and contracts contain rights enabling relocation of processing.</w:t>
            </w:r>
          </w:p>
        </w:tc>
        <w:tc>
          <w:tcPr>
            <w:tcW w:type="dxa" w:w="1365"/>
          </w:tcPr>
          <w:p>
            <w:pPr>
              <w:spacing w:before="20" w:after="20"/>
              <w:jc w:val="center"/>
            </w:pPr>
            <w:r/>
            <w:r>
              <w:rPr>
                <w:rFonts w:ascii="Arial" w:hAnsi="Arial"/>
                <w:b w:val="0"/>
                <w:i w:val="0"/>
                <w:sz w:val="17"/>
              </w:rPr>
              <w:t>2026-11-12</w:t>
            </w:r>
          </w:p>
        </w:tc>
        <w:tc>
          <w:tcPr>
            <w:tcW w:type="dxa" w:w="1560"/>
          </w:tcPr>
          <w:p>
            <w:pPr>
              <w:spacing w:before="20" w:after="20"/>
            </w:pPr>
            <w:r/>
            <w:r>
              <w:rPr>
                <w:rFonts w:ascii="Arial" w:hAnsi="Arial"/>
                <w:b w:val="0"/>
                <w:i w:val="0"/>
                <w:sz w:val="16"/>
              </w:rPr>
              <w:t>Meera Raghunathan, Head of Legal &amp; Compliance</w:t>
            </w:r>
          </w:p>
        </w:tc>
      </w:tr>
    </w:tbl>
    <w:p>
      <w:pPr>
        <w:pStyle w:val="Heading2"/>
        <w:keepNext/>
        <w:spacing w:before="280" w:after="120"/>
      </w:pPr>
      <w:r>
        <w:rPr>
          <w:rFonts w:ascii="Arial" w:hAnsi="Arial"/>
          <w:b/>
          <w:color w:val="1F3552"/>
          <w:sz w:val="26"/>
        </w:rPr>
        <w:t>6.4  P4 — Low — remediate within 180 days</w:t>
      </w:r>
    </w:p>
    <w:p>
      <w:pPr>
        <w:spacing w:before="0" w:after="120"/>
      </w:pPr>
      <w:r>
        <w:rPr>
          <w:rFonts w:ascii="Times New Roman" w:hAnsi="Times New Roman"/>
          <w:b w:val="0"/>
          <w:i/>
          <w:color w:val="44546A"/>
          <w:sz w:val="19"/>
        </w:rPr>
        <w:t>2 items. Residual risk 3 to 3 of 16.</w:t>
      </w:r>
    </w:p>
    <w:tbl>
      <w:tblPr>
        <w:tblStyle w:val="TableGrid"/>
        <w:tblW w:w="9746" w:type="dxa"/>
        <w:jc w:val="center"/>
        <w:tblLayout w:type="fixed"/>
        <w:tblLook w:firstColumn="1" w:firstRow="1" w:lastColumn="0" w:lastRow="0" w:noHBand="0" w:noVBand="1" w:val="04A0"/>
      </w:tblPr>
      <w:tblGrid>
        <w:gridCol w:w="909"/>
        <w:gridCol w:w="1104"/>
        <w:gridCol w:w="4808"/>
        <w:gridCol w:w="1364"/>
        <w:gridCol w:w="1559"/>
      </w:tblGrid>
      <w:tr>
        <w:trPr>
          <w:tblHeader w:val="true"/>
        </w:trPr>
        <w:tc>
          <w:tcPr>
            <w:tcW w:type="dxa" w:w="909"/>
            <w:shd w:val="clear" w:color="auto" w:fill="1F3552"/>
          </w:tcPr>
          <w:p>
            <w:pPr>
              <w:spacing w:before="20" w:after="20"/>
              <w:jc w:val="center"/>
            </w:pPr>
            <w:r/>
            <w:r>
              <w:rPr>
                <w:rFonts w:ascii="Arial" w:hAnsi="Arial"/>
                <w:b/>
                <w:i w:val="0"/>
                <w:color w:val="FFFFFF"/>
                <w:sz w:val="18"/>
              </w:rPr>
              <w:t>Ref</w:t>
            </w:r>
          </w:p>
        </w:tc>
        <w:tc>
          <w:tcPr>
            <w:tcW w:type="dxa" w:w="1104"/>
            <w:shd w:val="clear" w:color="auto" w:fill="1F3552"/>
          </w:tcPr>
          <w:p>
            <w:pPr>
              <w:spacing w:before="20" w:after="20"/>
              <w:jc w:val="center"/>
            </w:pPr>
            <w:r/>
            <w:r>
              <w:rPr>
                <w:rFonts w:ascii="Arial" w:hAnsi="Arial"/>
                <w:b/>
                <w:i w:val="0"/>
                <w:color w:val="FFFFFF"/>
                <w:sz w:val="18"/>
              </w:rPr>
              <w:t>Control</w:t>
            </w:r>
          </w:p>
        </w:tc>
        <w:tc>
          <w:tcPr>
            <w:tcW w:type="dxa" w:w="4808"/>
            <w:shd w:val="clear" w:color="auto" w:fill="1F3552"/>
          </w:tcPr>
          <w:p>
            <w:pPr>
              <w:spacing w:before="20" w:after="20"/>
              <w:jc w:val="center"/>
            </w:pPr>
            <w:r/>
            <w:r>
              <w:rPr>
                <w:rFonts w:ascii="Arial" w:hAnsi="Arial"/>
                <w:b/>
                <w:i w:val="0"/>
                <w:color w:val="FFFFFF"/>
                <w:sz w:val="18"/>
              </w:rPr>
              <w:t>Required target state</w:t>
            </w:r>
          </w:p>
        </w:tc>
        <w:tc>
          <w:tcPr>
            <w:tcW w:type="dxa" w:w="1365"/>
            <w:shd w:val="clear" w:color="auto" w:fill="1F3552"/>
          </w:tcPr>
          <w:p>
            <w:pPr>
              <w:spacing w:before="20" w:after="20"/>
              <w:jc w:val="center"/>
            </w:pPr>
            <w:r/>
            <w:r>
              <w:rPr>
                <w:rFonts w:ascii="Arial" w:hAnsi="Arial"/>
                <w:b/>
                <w:i w:val="0"/>
                <w:color w:val="FFFFFF"/>
                <w:sz w:val="18"/>
              </w:rPr>
              <w:t>Target date</w:t>
            </w:r>
          </w:p>
        </w:tc>
        <w:tc>
          <w:tcPr>
            <w:tcW w:type="dxa" w:w="1560"/>
            <w:shd w:val="clear" w:color="auto" w:fill="1F3552"/>
          </w:tcPr>
          <w:p>
            <w:pPr>
              <w:spacing w:before="20" w:after="20"/>
              <w:jc w:val="center"/>
            </w:pPr>
            <w:r/>
            <w:r>
              <w:rPr>
                <w:rFonts w:ascii="Arial" w:hAnsi="Arial"/>
                <w:b/>
                <w:i w:val="0"/>
                <w:color w:val="FFFFFF"/>
                <w:sz w:val="18"/>
              </w:rPr>
              <w:t>Owner</w:t>
            </w:r>
          </w:p>
        </w:tc>
      </w:tr>
      <w:tr>
        <w:trPr>
          <w:cantSplit/>
        </w:trPr>
        <w:tc>
          <w:tcPr>
            <w:tcW w:type="dxa" w:w="909"/>
          </w:tcPr>
          <w:p>
            <w:pPr>
              <w:spacing w:before="20" w:after="20"/>
              <w:jc w:val="center"/>
            </w:pPr>
            <w:r/>
            <w:r>
              <w:rPr>
                <w:rFonts w:ascii="Arial" w:hAnsi="Arial"/>
                <w:b/>
                <w:i w:val="0"/>
                <w:sz w:val="17"/>
              </w:rPr>
              <w:t>G059</w:t>
            </w:r>
          </w:p>
        </w:tc>
        <w:tc>
          <w:tcPr>
            <w:tcW w:type="dxa" w:w="1104"/>
          </w:tcPr>
          <w:p>
            <w:pPr>
              <w:spacing w:before="20" w:after="20"/>
              <w:jc w:val="center"/>
            </w:pPr>
            <w:r/>
            <w:r>
              <w:rPr>
                <w:rFonts w:ascii="Arial" w:hAnsi="Arial"/>
                <w:b w:val="0"/>
                <w:i w:val="0"/>
                <w:sz w:val="17"/>
              </w:rPr>
              <w:t>BRD-02</w:t>
            </w:r>
          </w:p>
        </w:tc>
        <w:tc>
          <w:tcPr>
            <w:tcW w:type="dxa" w:w="4808"/>
          </w:tcPr>
          <w:p>
            <w:pPr>
              <w:spacing w:before="20" w:after="20"/>
            </w:pPr>
            <w:r/>
            <w:r>
              <w:rPr>
                <w:rFonts w:ascii="Times New Roman" w:hAnsi="Times New Roman"/>
                <w:b w:val="0"/>
                <w:i w:val="0"/>
                <w:sz w:val="17"/>
              </w:rPr>
              <w:t>Enforcement strategy is documented and understood, mitigating action is recorded contemporaneously during incidents, and legal is engaged from the outset.</w:t>
            </w:r>
          </w:p>
        </w:tc>
        <w:tc>
          <w:tcPr>
            <w:tcW w:type="dxa" w:w="1365"/>
          </w:tcPr>
          <w:p>
            <w:pPr>
              <w:spacing w:before="20" w:after="20"/>
              <w:jc w:val="center"/>
            </w:pPr>
            <w:r/>
            <w:r>
              <w:rPr>
                <w:rFonts w:ascii="Arial" w:hAnsi="Arial"/>
                <w:b w:val="0"/>
                <w:i w:val="0"/>
                <w:sz w:val="17"/>
              </w:rPr>
              <w:t>2027-02-10</w:t>
            </w:r>
          </w:p>
        </w:tc>
        <w:tc>
          <w:tcPr>
            <w:tcW w:type="dxa" w:w="1560"/>
          </w:tcPr>
          <w:p>
            <w:pPr>
              <w:spacing w:before="20" w:after="20"/>
            </w:pPr>
            <w:r/>
            <w:r>
              <w:rPr>
                <w:rFonts w:ascii="Arial" w:hAnsi="Arial"/>
                <w:b w:val="0"/>
                <w:i w:val="0"/>
                <w:sz w:val="16"/>
              </w:rPr>
              <w:t>Meera Raghunathan, Head of Legal &amp; Compliance</w:t>
            </w:r>
          </w:p>
        </w:tc>
      </w:tr>
      <w:tr>
        <w:trPr>
          <w:cantSplit/>
        </w:trPr>
        <w:tc>
          <w:tcPr>
            <w:tcW w:type="dxa" w:w="909"/>
          </w:tcPr>
          <w:p>
            <w:pPr>
              <w:spacing w:before="20" w:after="20"/>
              <w:jc w:val="center"/>
            </w:pPr>
            <w:r/>
            <w:r>
              <w:rPr>
                <w:rFonts w:ascii="Arial" w:hAnsi="Arial"/>
                <w:b/>
                <w:i w:val="0"/>
                <w:sz w:val="17"/>
              </w:rPr>
              <w:t>G060</w:t>
            </w:r>
          </w:p>
        </w:tc>
        <w:tc>
          <w:tcPr>
            <w:tcW w:type="dxa" w:w="1104"/>
          </w:tcPr>
          <w:p>
            <w:pPr>
              <w:spacing w:before="20" w:after="20"/>
              <w:jc w:val="center"/>
            </w:pPr>
            <w:r/>
            <w:r>
              <w:rPr>
                <w:rFonts w:ascii="Arial" w:hAnsi="Arial"/>
                <w:b w:val="0"/>
                <w:i w:val="0"/>
                <w:sz w:val="17"/>
              </w:rPr>
              <w:t>GRV-04</w:t>
            </w:r>
          </w:p>
        </w:tc>
        <w:tc>
          <w:tcPr>
            <w:tcW w:type="dxa" w:w="4808"/>
          </w:tcPr>
          <w:p>
            <w:pPr>
              <w:spacing w:before="20" w:after="20"/>
            </w:pPr>
            <w:r/>
            <w:r>
              <w:rPr>
                <w:rFonts w:ascii="Times New Roman" w:hAnsi="Times New Roman"/>
                <w:b w:val="0"/>
                <w:i w:val="0"/>
                <w:sz w:val="17"/>
              </w:rPr>
              <w:t>Grievances are categorised and root-caused, trends are reported to the governance forum, and there is evidence of systemic changes made in response.</w:t>
            </w:r>
          </w:p>
        </w:tc>
        <w:tc>
          <w:tcPr>
            <w:tcW w:type="dxa" w:w="1365"/>
          </w:tcPr>
          <w:p>
            <w:pPr>
              <w:spacing w:before="20" w:after="20"/>
              <w:jc w:val="center"/>
            </w:pPr>
            <w:r/>
            <w:r>
              <w:rPr>
                <w:rFonts w:ascii="Arial" w:hAnsi="Arial"/>
                <w:b w:val="0"/>
                <w:i w:val="0"/>
                <w:sz w:val="17"/>
              </w:rPr>
              <w:t>2027-02-10</w:t>
            </w:r>
          </w:p>
        </w:tc>
        <w:tc>
          <w:tcPr>
            <w:tcW w:type="dxa" w:w="1560"/>
          </w:tcPr>
          <w:p>
            <w:pPr>
              <w:spacing w:before="20" w:after="20"/>
            </w:pPr>
            <w:r/>
            <w:r>
              <w:rPr>
                <w:rFonts w:ascii="Arial" w:hAnsi="Arial"/>
                <w:b w:val="0"/>
                <w:i w:val="0"/>
                <w:sz w:val="16"/>
              </w:rPr>
              <w:t>Anita Desai, Head of Customer Experience</w:t>
            </w:r>
          </w:p>
        </w:tc>
      </w:tr>
    </w:tbl>
    <w:p>
      <w:r>
        <w:br w:type="page"/>
      </w:r>
    </w:p>
    <w:p>
      <w:pPr>
        <w:pStyle w:val="Heading1"/>
        <w:keepNext/>
        <w:spacing w:before="280" w:after="120"/>
      </w:pPr>
      <w:r>
        <w:rPr>
          <w:rFonts w:ascii="Arial" w:hAnsi="Arial"/>
          <w:b/>
          <w:color w:val="1F3552"/>
          <w:sz w:val="32"/>
        </w:rPr>
        <w:t>7.  Basis, limitations and responsibilities</w:t>
      </w:r>
    </w:p>
    <w:p>
      <w:pPr>
        <w:pStyle w:val="Heading2"/>
        <w:keepNext/>
        <w:spacing w:before="280" w:after="120"/>
      </w:pPr>
      <w:r>
        <w:rPr>
          <w:rFonts w:ascii="Arial" w:hAnsi="Arial"/>
          <w:b/>
          <w:color w:val="1F3552"/>
          <w:sz w:val="26"/>
        </w:rPr>
        <w:t>7.1  Limitations</w:t>
      </w:r>
    </w:p>
    <w:p>
      <w:pPr>
        <w:pStyle w:val="ListBullet"/>
        <w:spacing w:after="80"/>
      </w:pPr>
      <w:r>
        <w:rPr>
          <w:rFonts w:ascii="Times New Roman" w:hAnsi="Times New Roman"/>
          <w:sz w:val="20"/>
        </w:rPr>
        <w:t>This assessment is based on information, documentation and explanations made available by management and on the tests described for each control. It is not an assurance engagement and expresses no audit opinion.</w:t>
      </w:r>
    </w:p>
    <w:p>
      <w:pPr>
        <w:pStyle w:val="ListBullet"/>
        <w:spacing w:after="80"/>
      </w:pPr>
      <w:r>
        <w:rPr>
          <w:rFonts w:ascii="Times New Roman" w:hAnsi="Times New Roman"/>
          <w:sz w:val="20"/>
        </w:rPr>
        <w:t>Testing was performed on a sample basis. The absence of a finding is not a representation that no exception exists outside the items tested.</w:t>
      </w:r>
    </w:p>
    <w:p>
      <w:pPr>
        <w:pStyle w:val="ListBullet"/>
        <w:spacing w:after="80"/>
      </w:pPr>
      <w:r>
        <w:rPr>
          <w:rFonts w:ascii="Times New Roman" w:hAnsi="Times New Roman"/>
          <w:sz w:val="20"/>
        </w:rPr>
        <w:t>The assessment reflects the position as at the assessment date and does not address subsequent changes in the entity's processing or in the legal framework.</w:t>
      </w:r>
    </w:p>
    <w:p>
      <w:pPr>
        <w:pStyle w:val="ListBullet"/>
        <w:spacing w:after="80"/>
      </w:pPr>
      <w:r>
        <w:rPr>
          <w:rFonts w:ascii="Times New Roman" w:hAnsi="Times New Roman"/>
          <w:sz w:val="20"/>
        </w:rPr>
        <w:t>Nothing in this report constitutes legal advice. Conclusions on the application of the Act to particular processing should be confirmed with qualified counsel.</w:t>
      </w:r>
    </w:p>
    <w:p>
      <w:pPr>
        <w:pStyle w:val="ListBullet"/>
        <w:spacing w:after="80"/>
      </w:pPr>
      <w:r>
        <w:rPr>
          <w:rFonts w:ascii="Times New Roman" w:hAnsi="Times New Roman"/>
          <w:sz w:val="20"/>
        </w:rPr>
        <w:t>Testing of erasure completeness was performed on non-production environments refreshed from production. Where a finding turns on data present in production only, this is stated in the finding.</w:t>
      </w:r>
    </w:p>
    <w:p>
      <w:pPr>
        <w:pStyle w:val="ListBullet"/>
        <w:spacing w:after="80"/>
      </w:pPr>
      <w:r>
        <w:rPr>
          <w:rFonts w:ascii="Times New Roman" w:hAnsi="Times New Roman"/>
          <w:sz w:val="20"/>
        </w:rPr>
        <w:t>The account aggregator's own systems and controls were not examined. Reliance was placed on its licence status and on artefacts it made available to the entity.</w:t>
      </w:r>
    </w:p>
    <w:p>
      <w:pPr>
        <w:pStyle w:val="Heading2"/>
        <w:keepNext/>
        <w:spacing w:before="280" w:after="120"/>
      </w:pPr>
      <w:r>
        <w:rPr>
          <w:rFonts w:ascii="Arial" w:hAnsi="Arial"/>
          <w:b/>
          <w:color w:val="1F3552"/>
          <w:sz w:val="26"/>
        </w:rPr>
        <w:t>7.2  Responsibilities</w:t>
      </w:r>
    </w:p>
    <w:p>
      <w:pPr>
        <w:spacing w:before="0" w:after="120"/>
        <w:jc w:val="both"/>
      </w:pPr>
      <w:r>
        <w:rPr>
          <w:rFonts w:ascii="Times New Roman" w:hAnsi="Times New Roman"/>
          <w:b w:val="0"/>
          <w:i w:val="0"/>
          <w:sz w:val="21"/>
        </w:rPr>
        <w:t>Compliance with the Digital Personal Data Protection Act, 2023 is the responsibility of the Data Fiduciary. The Act places accountability on the entity for processing carried out on its behalf, including by processors, and that accountability is not transferred by this assessment or by any contract with a service provider. Our responsibility was limited to performing the procedures described in section 2 and reporting the findings in sections 4 to 6.</w:t>
      </w:r>
    </w:p>
    <w:p>
      <w:pPr>
        <w:spacing w:before="0" w:after="120"/>
        <w:jc w:val="both"/>
      </w:pPr>
      <w:r>
        <w:rPr>
          <w:rFonts w:ascii="Times New Roman" w:hAnsi="Times New Roman"/>
          <w:b w:val="0"/>
          <w:i w:val="0"/>
          <w:sz w:val="21"/>
        </w:rPr>
        <w:t>This report does not constitute legal advice. Where a finding turns on the construction of a provision, or on whether particular processing falls within a legitimate use, the position should be confirmed with qualified counsel before action is taken or a position is asserted to a regulator.</w:t>
      </w:r>
    </w:p>
    <w:p>
      <w:pPr>
        <w:pStyle w:val="Heading2"/>
        <w:keepNext/>
        <w:spacing w:before="280" w:after="120"/>
      </w:pPr>
      <w:r>
        <w:rPr>
          <w:rFonts w:ascii="Arial" w:hAnsi="Arial"/>
          <w:b/>
          <w:color w:val="1F3552"/>
          <w:sz w:val="26"/>
        </w:rPr>
        <w:t>7.3  Sign-off</w:t>
      </w:r>
    </w:p>
    <w:p>
      <w:pPr>
        <w:spacing w:before="0" w:after="320"/>
        <w:jc w:val="both"/>
      </w:pPr>
      <w:r>
        <w:rPr>
          <w:rFonts w:ascii="Times New Roman" w:hAnsi="Times New Roman"/>
          <w:b w:val="0"/>
          <w:i w:val="0"/>
          <w:sz w:val="21"/>
        </w:rPr>
        <w:t>The findings in this report have been discussed with the control owners named in section 5 and with management. Management's responses, where they differ from the findings recorded here, are appended separately.</w:t>
      </w:r>
    </w:p>
    <w:tbl>
      <w:tblPr>
        <w:tblStyle w:val="TableGrid"/>
        <w:tblW w:w="9745" w:type="dxa"/>
        <w:jc w:val="center"/>
        <w:tblLayout w:type="fixed"/>
        <w:tblLook w:firstColumn="1" w:firstRow="1" w:lastColumn="0" w:lastRow="0" w:noHBand="0" w:noVBand="1" w:val="04A0"/>
      </w:tblPr>
      <w:tblGrid>
        <w:gridCol w:w="4872"/>
        <w:gridCol w:w="4872"/>
      </w:tblGrid>
      <w:tr>
        <w:trPr>
          <w:tblHeader w:val="true"/>
        </w:trPr>
        <w:tc>
          <w:tcPr>
            <w:tcW w:type="dxa" w:w="4873"/>
            <w:shd w:val="clear" w:color="auto" w:fill="1F3552"/>
          </w:tcPr>
          <w:p>
            <w:pPr>
              <w:spacing w:before="20" w:after="20"/>
              <w:jc w:val="center"/>
            </w:pPr>
            <w:r/>
            <w:r>
              <w:rPr>
                <w:rFonts w:ascii="Arial" w:hAnsi="Arial"/>
                <w:b/>
                <w:i w:val="0"/>
                <w:color w:val="FFFFFF"/>
                <w:sz w:val="18"/>
              </w:rPr>
              <w:t>Prepared by</w:t>
            </w:r>
          </w:p>
        </w:tc>
        <w:tc>
          <w:tcPr>
            <w:tcW w:type="dxa" w:w="4873"/>
            <w:shd w:val="clear" w:color="auto" w:fill="1F3552"/>
          </w:tcPr>
          <w:p>
            <w:pPr>
              <w:spacing w:before="20" w:after="20"/>
              <w:jc w:val="center"/>
            </w:pPr>
            <w:r/>
            <w:r>
              <w:rPr>
                <w:rFonts w:ascii="Arial" w:hAnsi="Arial"/>
                <w:b/>
                <w:i w:val="0"/>
                <w:color w:val="FFFFFF"/>
                <w:sz w:val="18"/>
              </w:rPr>
              <w:t>Accepted by</w:t>
            </w:r>
          </w:p>
        </w:tc>
      </w:tr>
      <w:tr>
        <w:trPr>
          <w:cantSplit/>
        </w:trPr>
        <w:tc>
          <w:tcPr>
            <w:tcW w:type="dxa" w:w="4873"/>
          </w:tcPr>
          <w:p>
            <w:r/>
          </w:p>
          <w:p>
            <w:pPr>
              <w:spacing w:before="520" w:after="0"/>
            </w:pPr>
            <w:r>
              <w:rPr>
                <w:rFonts w:ascii="Arial" w:hAnsi="Arial"/>
                <w:b/>
                <w:color w:val="44546A"/>
                <w:sz w:val="17"/>
              </w:rPr>
              <w:t xml:space="preserve">Signature: </w:t>
            </w:r>
            <w:r>
              <w:rPr>
                <w:rFonts w:ascii="Times New Roman" w:hAnsi="Times New Roman"/>
                <w:sz w:val="19"/>
              </w:rPr>
              <w:t xml:space="preserve">  __________________________________</w:t>
            </w:r>
          </w:p>
          <w:p>
            <w:pPr>
              <w:spacing w:before="200" w:after="0"/>
            </w:pPr>
            <w:r>
              <w:rPr>
                <w:rFonts w:ascii="Arial" w:hAnsi="Arial"/>
                <w:b/>
                <w:color w:val="44546A"/>
                <w:sz w:val="17"/>
              </w:rPr>
              <w:t xml:space="preserve">Name: </w:t>
            </w:r>
            <w:r>
              <w:rPr>
                <w:rFonts w:ascii="Times New Roman" w:hAnsi="Times New Roman"/>
                <w:sz w:val="19"/>
              </w:rPr>
              <w:t>Nandita Krishnan, CIPP/E, CISA</w:t>
            </w:r>
          </w:p>
          <w:p>
            <w:pPr>
              <w:spacing w:before="200" w:after="0"/>
            </w:pPr>
            <w:r>
              <w:rPr>
                <w:rFonts w:ascii="Arial" w:hAnsi="Arial"/>
                <w:b/>
                <w:color w:val="44546A"/>
                <w:sz w:val="17"/>
              </w:rPr>
              <w:t xml:space="preserve">Position / firm: </w:t>
            </w:r>
            <w:r>
              <w:rPr>
                <w:rFonts w:ascii="Times New Roman" w:hAnsi="Times New Roman"/>
                <w:sz w:val="19"/>
              </w:rPr>
              <w:t>Sentinel Assurance LLP, Chartered Accountants</w:t>
            </w:r>
          </w:p>
          <w:p>
            <w:pPr>
              <w:spacing w:before="200" w:after="0"/>
            </w:pPr>
            <w:r>
              <w:rPr>
                <w:rFonts w:ascii="Arial" w:hAnsi="Arial"/>
                <w:b/>
                <w:color w:val="44546A"/>
                <w:sz w:val="17"/>
              </w:rPr>
              <w:t xml:space="preserve">Date: </w:t>
            </w:r>
            <w:r>
              <w:rPr>
                <w:rFonts w:ascii="Times New Roman" w:hAnsi="Times New Roman"/>
                <w:sz w:val="19"/>
              </w:rPr>
              <w:t xml:space="preserve">  __________________________________</w:t>
            </w:r>
          </w:p>
        </w:tc>
        <w:tc>
          <w:tcPr>
            <w:tcW w:type="dxa" w:w="4873"/>
          </w:tcPr>
          <w:p>
            <w:r/>
          </w:p>
          <w:p>
            <w:pPr>
              <w:spacing w:before="520" w:after="0"/>
            </w:pPr>
            <w:r>
              <w:rPr>
                <w:rFonts w:ascii="Arial" w:hAnsi="Arial"/>
                <w:b/>
                <w:color w:val="44546A"/>
                <w:sz w:val="17"/>
              </w:rPr>
              <w:t xml:space="preserve">Signature: </w:t>
            </w:r>
            <w:r>
              <w:rPr>
                <w:rFonts w:ascii="Times New Roman" w:hAnsi="Times New Roman"/>
                <w:sz w:val="19"/>
              </w:rPr>
              <w:t xml:space="preserve">  __________________________________</w:t>
            </w:r>
          </w:p>
          <w:p>
            <w:pPr>
              <w:spacing w:before="200" w:after="0"/>
            </w:pPr>
            <w:r>
              <w:rPr>
                <w:rFonts w:ascii="Arial" w:hAnsi="Arial"/>
                <w:b/>
                <w:color w:val="44546A"/>
                <w:sz w:val="17"/>
              </w:rPr>
              <w:t xml:space="preserve">Name: </w:t>
            </w:r>
            <w:r>
              <w:rPr>
                <w:rFonts w:ascii="Times New Roman" w:hAnsi="Times New Roman"/>
                <w:sz w:val="19"/>
              </w:rPr>
              <w:t xml:space="preserve">  __________________________________</w:t>
            </w:r>
          </w:p>
          <w:p>
            <w:pPr>
              <w:spacing w:before="200" w:after="0"/>
            </w:pPr>
            <w:r>
              <w:rPr>
                <w:rFonts w:ascii="Arial" w:hAnsi="Arial"/>
                <w:b/>
                <w:color w:val="44546A"/>
                <w:sz w:val="17"/>
              </w:rPr>
              <w:t xml:space="preserve">Position / firm: </w:t>
            </w:r>
            <w:r>
              <w:rPr>
                <w:rFonts w:ascii="Times New Roman" w:hAnsi="Times New Roman"/>
                <w:sz w:val="19"/>
              </w:rPr>
              <w:t>For and on behalf of the entity</w:t>
            </w:r>
          </w:p>
          <w:p>
            <w:pPr>
              <w:spacing w:before="200" w:after="0"/>
            </w:pPr>
            <w:r>
              <w:rPr>
                <w:rFonts w:ascii="Arial" w:hAnsi="Arial"/>
                <w:b/>
                <w:color w:val="44546A"/>
                <w:sz w:val="17"/>
              </w:rPr>
              <w:t xml:space="preserve">Date: </w:t>
            </w:r>
            <w:r>
              <w:rPr>
                <w:rFonts w:ascii="Times New Roman" w:hAnsi="Times New Roman"/>
                <w:sz w:val="19"/>
              </w:rPr>
              <w:t xml:space="preserve">  __________________________________</w:t>
            </w:r>
          </w:p>
        </w:tc>
      </w:tr>
    </w:tbl>
    <w:p>
      <w:r>
        <w:br w:type="page"/>
      </w:r>
    </w:p>
    <w:p>
      <w:pPr>
        <w:pStyle w:val="Heading1"/>
        <w:keepNext/>
        <w:spacing w:before="280" w:after="120"/>
      </w:pPr>
      <w:r>
        <w:rPr>
          <w:rFonts w:ascii="Arial" w:hAnsi="Arial"/>
          <w:b/>
          <w:color w:val="1F3552"/>
          <w:sz w:val="32"/>
        </w:rPr>
        <w:t>Appendix A — Rules citations awaiting verification</w:t>
      </w:r>
    </w:p>
    <w:p>
      <w:pPr>
        <w:spacing w:before="0" w:after="120"/>
        <w:jc w:val="both"/>
      </w:pPr>
      <w:r>
        <w:rPr>
          <w:rFonts w:ascii="Times New Roman" w:hAnsi="Times New Roman"/>
          <w:b w:val="0"/>
          <w:i w:val="0"/>
          <w:sz w:val="21"/>
        </w:rPr>
        <w:t>21 Rules references in the control library could not be verified against the notified text when this report was prepared. Each is listed below with the subject matter it addresses, the provision of the Act it sits under, and the controls that rely on it.</w:t>
      </w:r>
    </w:p>
    <w:p>
      <w:pPr>
        <w:spacing w:before="0" w:after="120"/>
        <w:jc w:val="both"/>
      </w:pPr>
      <w:r>
        <w:rPr>
          <w:rFonts w:ascii="Times New Roman" w:hAnsi="Times New Roman"/>
          <w:b w:val="0"/>
          <w:i w:val="0"/>
          <w:sz w:val="20"/>
        </w:rPr>
        <w:t>The finding recorded against each affected control rests on the obligation in the Act, which is cited and verified. The outstanding item is the specific rule number and its operative detail — a period, a form, a threshold. Two consequences follow. Where a Rule prescribes a period, this report does not assert what that period is; and where a Rule may narrow or expand an obligation, the finding should be re-read once the citation is confirmed. Populating each citation in controls/citations.yaml updates every deliverable, this appendix included.</w:t>
      </w:r>
    </w:p>
    <w:tbl>
      <w:tblPr>
        <w:tblStyle w:val="TableGrid"/>
        <w:tblW w:w="9746" w:type="dxa"/>
        <w:jc w:val="center"/>
        <w:tblLayout w:type="fixed"/>
        <w:tblLook w:firstColumn="1" w:firstRow="1" w:lastColumn="0" w:lastRow="0" w:noHBand="0" w:noVBand="1" w:val="04A0"/>
      </w:tblPr>
      <w:tblGrid>
        <w:gridCol w:w="2534"/>
        <w:gridCol w:w="3508"/>
        <w:gridCol w:w="1494"/>
        <w:gridCol w:w="2209"/>
      </w:tblGrid>
      <w:tr>
        <w:trPr>
          <w:tblHeader w:val="true"/>
        </w:trPr>
        <w:tc>
          <w:tcPr>
            <w:tcW w:type="dxa" w:w="2534"/>
            <w:shd w:val="clear" w:color="auto" w:fill="1F3552"/>
          </w:tcPr>
          <w:p>
            <w:pPr>
              <w:spacing w:before="20" w:after="20"/>
              <w:jc w:val="center"/>
            </w:pPr>
            <w:r/>
            <w:r>
              <w:rPr>
                <w:rFonts w:ascii="Arial" w:hAnsi="Arial"/>
                <w:b/>
                <w:i w:val="0"/>
                <w:color w:val="FFFFFF"/>
                <w:sz w:val="18"/>
              </w:rPr>
              <w:t>Slot</w:t>
            </w:r>
          </w:p>
        </w:tc>
        <w:tc>
          <w:tcPr>
            <w:tcW w:type="dxa" w:w="3509"/>
            <w:shd w:val="clear" w:color="auto" w:fill="1F3552"/>
          </w:tcPr>
          <w:p>
            <w:pPr>
              <w:spacing w:before="20" w:after="20"/>
              <w:jc w:val="center"/>
            </w:pPr>
            <w:r/>
            <w:r>
              <w:rPr>
                <w:rFonts w:ascii="Arial" w:hAnsi="Arial"/>
                <w:b/>
                <w:i w:val="0"/>
                <w:color w:val="FFFFFF"/>
                <w:sz w:val="18"/>
              </w:rPr>
              <w:t>Subject matter the Rules address</w:t>
            </w:r>
          </w:p>
        </w:tc>
        <w:tc>
          <w:tcPr>
            <w:tcW w:type="dxa" w:w="1494"/>
            <w:shd w:val="clear" w:color="auto" w:fill="1F3552"/>
          </w:tcPr>
          <w:p>
            <w:pPr>
              <w:spacing w:before="20" w:after="20"/>
              <w:jc w:val="center"/>
            </w:pPr>
            <w:r/>
            <w:r>
              <w:rPr>
                <w:rFonts w:ascii="Arial" w:hAnsi="Arial"/>
                <w:b/>
                <w:i w:val="0"/>
                <w:color w:val="FFFFFF"/>
                <w:sz w:val="18"/>
              </w:rPr>
              <w:t>Act anchor</w:t>
            </w:r>
          </w:p>
        </w:tc>
        <w:tc>
          <w:tcPr>
            <w:tcW w:type="dxa" w:w="2209"/>
            <w:shd w:val="clear" w:color="auto" w:fill="1F3552"/>
          </w:tcPr>
          <w:p>
            <w:pPr>
              <w:spacing w:before="20" w:after="20"/>
              <w:jc w:val="center"/>
            </w:pPr>
            <w:r/>
            <w:r>
              <w:rPr>
                <w:rFonts w:ascii="Arial" w:hAnsi="Arial"/>
                <w:b/>
                <w:i w:val="0"/>
                <w:color w:val="FFFFFF"/>
                <w:sz w:val="18"/>
              </w:rPr>
              <w:t>Controls relying</w:t>
            </w:r>
          </w:p>
        </w:tc>
      </w:tr>
      <w:tr>
        <w:trPr>
          <w:cantSplit/>
        </w:trPr>
        <w:tc>
          <w:tcPr>
            <w:tcW w:type="dxa" w:w="2534"/>
          </w:tcPr>
          <w:p>
            <w:pPr>
              <w:spacing w:before="20" w:after="20"/>
            </w:pPr>
            <w:r/>
            <w:r>
              <w:rPr>
                <w:rFonts w:ascii="Arial" w:hAnsi="Arial"/>
                <w:b/>
                <w:i w:val="0"/>
                <w:sz w:val="16"/>
              </w:rPr>
              <w:t>NOTICE_​CONTENT</w:t>
            </w:r>
          </w:p>
        </w:tc>
        <w:tc>
          <w:tcPr>
            <w:tcW w:type="dxa" w:w="3509"/>
          </w:tcPr>
          <w:p>
            <w:pPr>
              <w:spacing w:before="20" w:after="20"/>
            </w:pPr>
            <w:r/>
            <w:r>
              <w:rPr>
                <w:rFonts w:ascii="Times New Roman" w:hAnsi="Times New Roman"/>
                <w:b w:val="0"/>
                <w:i w:val="0"/>
                <w:sz w:val="17"/>
              </w:rPr>
              <w:t>Prescribed form, contents and presentation of the notice given to a Data Principal, including itemised description of personal data and purpose, and clarity/plain-language requirements</w:t>
            </w:r>
          </w:p>
        </w:tc>
        <w:tc>
          <w:tcPr>
            <w:tcW w:type="dxa" w:w="1494"/>
          </w:tcPr>
          <w:p>
            <w:pPr>
              <w:spacing w:before="20" w:after="20"/>
              <w:jc w:val="center"/>
            </w:pPr>
            <w:r/>
            <w:r>
              <w:rPr>
                <w:rFonts w:ascii="Arial" w:hAnsi="Arial"/>
                <w:b w:val="0"/>
                <w:i w:val="0"/>
                <w:sz w:val="16"/>
              </w:rPr>
              <w:t>s.5(1), s.5(3), s.40(2)</w:t>
            </w:r>
          </w:p>
        </w:tc>
        <w:tc>
          <w:tcPr>
            <w:tcW w:type="dxa" w:w="2209"/>
          </w:tcPr>
          <w:p>
            <w:pPr>
              <w:spacing w:before="20" w:after="20"/>
            </w:pPr>
            <w:r/>
            <w:r>
              <w:rPr>
                <w:rFonts w:ascii="Arial" w:hAnsi="Arial"/>
                <w:b w:val="0"/>
                <w:i w:val="0"/>
                <w:sz w:val="16"/>
              </w:rPr>
              <w:t>NOT-01, NOT-02, NOT-03, NOT-04, NOT-05</w:t>
            </w:r>
          </w:p>
        </w:tc>
      </w:tr>
      <w:tr>
        <w:trPr>
          <w:cantSplit/>
        </w:trPr>
        <w:tc>
          <w:tcPr>
            <w:tcW w:type="dxa" w:w="2534"/>
          </w:tcPr>
          <w:p>
            <w:pPr>
              <w:spacing w:before="20" w:after="20"/>
            </w:pPr>
            <w:r/>
            <w:r>
              <w:rPr>
                <w:rFonts w:ascii="Arial" w:hAnsi="Arial"/>
                <w:b/>
                <w:i w:val="0"/>
                <w:sz w:val="16"/>
              </w:rPr>
              <w:t>CONSENT_​REQUEST_​FORM</w:t>
            </w:r>
          </w:p>
        </w:tc>
        <w:tc>
          <w:tcPr>
            <w:tcW w:type="dxa" w:w="3509"/>
          </w:tcPr>
          <w:p>
            <w:pPr>
              <w:spacing w:before="20" w:after="20"/>
            </w:pPr>
            <w:r/>
            <w:r>
              <w:rPr>
                <w:rFonts w:ascii="Times New Roman" w:hAnsi="Times New Roman"/>
                <w:b w:val="0"/>
                <w:i w:val="0"/>
                <w:sz w:val="17"/>
              </w:rPr>
              <w:t>Manner in which a consent request is to be presented, including plain-language requirement and contact details of the person answering on behalf of the Data Fiduciary</w:t>
            </w:r>
          </w:p>
        </w:tc>
        <w:tc>
          <w:tcPr>
            <w:tcW w:type="dxa" w:w="1494"/>
          </w:tcPr>
          <w:p>
            <w:pPr>
              <w:spacing w:before="20" w:after="20"/>
              <w:jc w:val="center"/>
            </w:pPr>
            <w:r/>
            <w:r>
              <w:rPr>
                <w:rFonts w:ascii="Arial" w:hAnsi="Arial"/>
                <w:b w:val="0"/>
                <w:i w:val="0"/>
                <w:sz w:val="16"/>
              </w:rPr>
              <w:t>s.6(3)</w:t>
            </w:r>
          </w:p>
        </w:tc>
        <w:tc>
          <w:tcPr>
            <w:tcW w:type="dxa" w:w="2209"/>
          </w:tcPr>
          <w:p>
            <w:pPr>
              <w:spacing w:before="20" w:after="20"/>
            </w:pPr>
            <w:r/>
            <w:r>
              <w:rPr>
                <w:rFonts w:ascii="Arial" w:hAnsi="Arial"/>
                <w:b w:val="0"/>
                <w:i w:val="0"/>
                <w:sz w:val="16"/>
              </w:rPr>
              <w:t>CON-01, CON-03</w:t>
            </w:r>
          </w:p>
        </w:tc>
      </w:tr>
      <w:tr>
        <w:trPr>
          <w:cantSplit/>
        </w:trPr>
        <w:tc>
          <w:tcPr>
            <w:tcW w:type="dxa" w:w="2534"/>
          </w:tcPr>
          <w:p>
            <w:pPr>
              <w:spacing w:before="20" w:after="20"/>
            </w:pPr>
            <w:r/>
            <w:r>
              <w:rPr>
                <w:rFonts w:ascii="Arial" w:hAnsi="Arial"/>
                <w:b/>
                <w:i w:val="0"/>
                <w:sz w:val="16"/>
              </w:rPr>
              <w:t>CONSENT_​MANAGER_​REGISTRATION</w:t>
            </w:r>
          </w:p>
        </w:tc>
        <w:tc>
          <w:tcPr>
            <w:tcW w:type="dxa" w:w="3509"/>
          </w:tcPr>
          <w:p>
            <w:pPr>
              <w:spacing w:before="20" w:after="20"/>
            </w:pPr>
            <w:r/>
            <w:r>
              <w:rPr>
                <w:rFonts w:ascii="Times New Roman" w:hAnsi="Times New Roman"/>
                <w:b w:val="0"/>
                <w:i w:val="0"/>
                <w:sz w:val="17"/>
              </w:rPr>
              <w:t>Conditions of registration of a Consent Manager with the Board, including any minimum net-worth or financial-capacity threshold, technical and operational capability, and governance conditions</w:t>
            </w:r>
          </w:p>
        </w:tc>
        <w:tc>
          <w:tcPr>
            <w:tcW w:type="dxa" w:w="1494"/>
          </w:tcPr>
          <w:p>
            <w:pPr>
              <w:spacing w:before="20" w:after="20"/>
              <w:jc w:val="center"/>
            </w:pPr>
            <w:r/>
            <w:r>
              <w:rPr>
                <w:rFonts w:ascii="Arial" w:hAnsi="Arial"/>
                <w:b w:val="0"/>
                <w:i w:val="0"/>
                <w:sz w:val="16"/>
              </w:rPr>
              <w:t>s.6(9)</w:t>
            </w:r>
          </w:p>
        </w:tc>
        <w:tc>
          <w:tcPr>
            <w:tcW w:type="dxa" w:w="2209"/>
          </w:tcPr>
          <w:p>
            <w:pPr>
              <w:spacing w:before="20" w:after="20"/>
            </w:pPr>
            <w:r/>
            <w:r>
              <w:rPr>
                <w:rFonts w:ascii="Arial" w:hAnsi="Arial"/>
                <w:b w:val="0"/>
                <w:i w:val="0"/>
                <w:sz w:val="16"/>
              </w:rPr>
              <w:t>CMG-01</w:t>
            </w:r>
          </w:p>
        </w:tc>
      </w:tr>
      <w:tr>
        <w:trPr>
          <w:cantSplit/>
        </w:trPr>
        <w:tc>
          <w:tcPr>
            <w:tcW w:type="dxa" w:w="2534"/>
          </w:tcPr>
          <w:p>
            <w:pPr>
              <w:spacing w:before="20" w:after="20"/>
            </w:pPr>
            <w:r/>
            <w:r>
              <w:rPr>
                <w:rFonts w:ascii="Arial" w:hAnsi="Arial"/>
                <w:b/>
                <w:i w:val="0"/>
                <w:sz w:val="16"/>
              </w:rPr>
              <w:t>CONSENT_​MANAGER_​OBLIGATIONS</w:t>
            </w:r>
          </w:p>
        </w:tc>
        <w:tc>
          <w:tcPr>
            <w:tcW w:type="dxa" w:w="3509"/>
          </w:tcPr>
          <w:p>
            <w:pPr>
              <w:spacing w:before="20" w:after="20"/>
            </w:pPr>
            <w:r/>
            <w:r>
              <w:rPr>
                <w:rFonts w:ascii="Times New Roman" w:hAnsi="Times New Roman"/>
                <w:b w:val="0"/>
                <w:i w:val="0"/>
                <w:sz w:val="17"/>
              </w:rPr>
              <w:t>Obligations of a registered Consent Manager, including consent record-keeping, interoperability, and accountability to the Data Principal</w:t>
            </w:r>
          </w:p>
        </w:tc>
        <w:tc>
          <w:tcPr>
            <w:tcW w:type="dxa" w:w="1494"/>
          </w:tcPr>
          <w:p>
            <w:pPr>
              <w:spacing w:before="20" w:after="20"/>
              <w:jc w:val="center"/>
            </w:pPr>
            <w:r/>
            <w:r>
              <w:rPr>
                <w:rFonts w:ascii="Arial" w:hAnsi="Arial"/>
                <w:b w:val="0"/>
                <w:i w:val="0"/>
                <w:sz w:val="16"/>
              </w:rPr>
              <w:t>s.6(7), s.6(8), s.6(9)</w:t>
            </w:r>
          </w:p>
        </w:tc>
        <w:tc>
          <w:tcPr>
            <w:tcW w:type="dxa" w:w="2209"/>
          </w:tcPr>
          <w:p>
            <w:pPr>
              <w:spacing w:before="20" w:after="20"/>
            </w:pPr>
            <w:r/>
            <w:r>
              <w:rPr>
                <w:rFonts w:ascii="Arial" w:hAnsi="Arial"/>
                <w:b w:val="0"/>
                <w:i w:val="0"/>
                <w:sz w:val="16"/>
              </w:rPr>
              <w:t>CMG-02, CMG-03</w:t>
            </w:r>
          </w:p>
        </w:tc>
      </w:tr>
      <w:tr>
        <w:trPr>
          <w:cantSplit/>
        </w:trPr>
        <w:tc>
          <w:tcPr>
            <w:tcW w:type="dxa" w:w="2534"/>
          </w:tcPr>
          <w:p>
            <w:pPr>
              <w:spacing w:before="20" w:after="20"/>
            </w:pPr>
            <w:r/>
            <w:r>
              <w:rPr>
                <w:rFonts w:ascii="Arial" w:hAnsi="Arial"/>
                <w:b/>
                <w:i w:val="0"/>
                <w:sz w:val="16"/>
              </w:rPr>
              <w:t>SECURITY_​SAFEGUARDS</w:t>
            </w:r>
          </w:p>
        </w:tc>
        <w:tc>
          <w:tcPr>
            <w:tcW w:type="dxa" w:w="3509"/>
          </w:tcPr>
          <w:p>
            <w:pPr>
              <w:spacing w:before="20" w:after="20"/>
            </w:pPr>
            <w:r/>
            <w:r>
              <w:rPr>
                <w:rFonts w:ascii="Times New Roman" w:hAnsi="Times New Roman"/>
                <w:b w:val="0"/>
                <w:i w:val="0"/>
                <w:sz w:val="17"/>
              </w:rPr>
              <w:t>Prescribed reasonable security safeguards — understood to address measures such as encryption/obfuscation/masking, access control, monitoring and logging, retention of logs, backup and recovery, and contractual flow-down to processors</w:t>
            </w:r>
          </w:p>
        </w:tc>
        <w:tc>
          <w:tcPr>
            <w:tcW w:type="dxa" w:w="1494"/>
          </w:tcPr>
          <w:p>
            <w:pPr>
              <w:spacing w:before="20" w:after="20"/>
              <w:jc w:val="center"/>
            </w:pPr>
            <w:r/>
            <w:r>
              <w:rPr>
                <w:rFonts w:ascii="Arial" w:hAnsi="Arial"/>
                <w:b w:val="0"/>
                <w:i w:val="0"/>
                <w:sz w:val="16"/>
              </w:rPr>
              <w:t>s.8(4), s.8(5)</w:t>
            </w:r>
          </w:p>
        </w:tc>
        <w:tc>
          <w:tcPr>
            <w:tcW w:type="dxa" w:w="2209"/>
          </w:tcPr>
          <w:p>
            <w:pPr>
              <w:spacing w:before="20" w:after="20"/>
            </w:pPr>
            <w:r/>
            <w:r>
              <w:rPr>
                <w:rFonts w:ascii="Arial" w:hAnsi="Arial"/>
                <w:b w:val="0"/>
                <w:i w:val="0"/>
                <w:sz w:val="16"/>
              </w:rPr>
              <w:t>PRO-03, SEC-01, SEC-02, SEC-03, SEC-04, SEC-05, SEC-06, SEC-07, SEC-08, SEC-09</w:t>
            </w:r>
          </w:p>
        </w:tc>
      </w:tr>
      <w:tr>
        <w:trPr>
          <w:cantSplit/>
        </w:trPr>
        <w:tc>
          <w:tcPr>
            <w:tcW w:type="dxa" w:w="2534"/>
          </w:tcPr>
          <w:p>
            <w:pPr>
              <w:spacing w:before="20" w:after="20"/>
            </w:pPr>
            <w:r/>
            <w:r>
              <w:rPr>
                <w:rFonts w:ascii="Arial" w:hAnsi="Arial"/>
                <w:b/>
                <w:i w:val="0"/>
                <w:sz w:val="16"/>
              </w:rPr>
              <w:t>BREACH_​INTIMATION</w:t>
            </w:r>
          </w:p>
        </w:tc>
        <w:tc>
          <w:tcPr>
            <w:tcW w:type="dxa" w:w="3509"/>
          </w:tcPr>
          <w:p>
            <w:pPr>
              <w:spacing w:before="20" w:after="20"/>
            </w:pPr>
            <w:r/>
            <w:r>
              <w:rPr>
                <w:rFonts w:ascii="Times New Roman" w:hAnsi="Times New Roman"/>
                <w:b w:val="0"/>
                <w:i w:val="0"/>
                <w:sz w:val="17"/>
              </w:rPr>
              <w:t>Form, contents, timing and manner of intimating a personal data breach to the Board and to each affected Data Principal, including any initial-versus-detailed reporting split and the outer time limit</w:t>
            </w:r>
          </w:p>
        </w:tc>
        <w:tc>
          <w:tcPr>
            <w:tcW w:type="dxa" w:w="1494"/>
          </w:tcPr>
          <w:p>
            <w:pPr>
              <w:spacing w:before="20" w:after="20"/>
              <w:jc w:val="center"/>
            </w:pPr>
            <w:r/>
            <w:r>
              <w:rPr>
                <w:rFonts w:ascii="Arial" w:hAnsi="Arial"/>
                <w:b w:val="0"/>
                <w:i w:val="0"/>
                <w:sz w:val="16"/>
              </w:rPr>
              <w:t>s.8(6)</w:t>
            </w:r>
          </w:p>
        </w:tc>
        <w:tc>
          <w:tcPr>
            <w:tcW w:type="dxa" w:w="2209"/>
          </w:tcPr>
          <w:p>
            <w:pPr>
              <w:spacing w:before="20" w:after="20"/>
            </w:pPr>
            <w:r/>
            <w:r>
              <w:rPr>
                <w:rFonts w:ascii="Arial" w:hAnsi="Arial"/>
                <w:b w:val="0"/>
                <w:i w:val="0"/>
                <w:sz w:val="16"/>
              </w:rPr>
              <w:t>BRC-02, BRC-03, BRC-04</w:t>
            </w:r>
          </w:p>
        </w:tc>
      </w:tr>
      <w:tr>
        <w:trPr>
          <w:cantSplit/>
        </w:trPr>
        <w:tc>
          <w:tcPr>
            <w:tcW w:type="dxa" w:w="2534"/>
          </w:tcPr>
          <w:p>
            <w:pPr>
              <w:spacing w:before="20" w:after="20"/>
            </w:pPr>
            <w:r/>
            <w:r>
              <w:rPr>
                <w:rFonts w:ascii="Arial" w:hAnsi="Arial"/>
                <w:b/>
                <w:i w:val="0"/>
                <w:sz w:val="16"/>
              </w:rPr>
              <w:t>RETENTION_​ERASURE_​PERIODS</w:t>
            </w:r>
          </w:p>
        </w:tc>
        <w:tc>
          <w:tcPr>
            <w:tcW w:type="dxa" w:w="3509"/>
          </w:tcPr>
          <w:p>
            <w:pPr>
              <w:spacing w:before="20" w:after="20"/>
            </w:pPr>
            <w:r/>
            <w:r>
              <w:rPr>
                <w:rFonts w:ascii="Times New Roman" w:hAnsi="Times New Roman"/>
                <w:b w:val="0"/>
                <w:i w:val="0"/>
                <w:sz w:val="17"/>
              </w:rPr>
              <w:t>Time periods after which personal data must be erased, and the classes of Data Fiduciary and user-count thresholds to which specified periods apply; also any pre-erasure advance notice to the Data Principal</w:t>
            </w:r>
          </w:p>
        </w:tc>
        <w:tc>
          <w:tcPr>
            <w:tcW w:type="dxa" w:w="1494"/>
          </w:tcPr>
          <w:p>
            <w:pPr>
              <w:spacing w:before="20" w:after="20"/>
              <w:jc w:val="center"/>
            </w:pPr>
            <w:r/>
            <w:r>
              <w:rPr>
                <w:rFonts w:ascii="Arial" w:hAnsi="Arial"/>
                <w:b w:val="0"/>
                <w:i w:val="0"/>
                <w:sz w:val="16"/>
              </w:rPr>
              <w:t>s.8(7), s.8(10)</w:t>
            </w:r>
          </w:p>
        </w:tc>
        <w:tc>
          <w:tcPr>
            <w:tcW w:type="dxa" w:w="2209"/>
          </w:tcPr>
          <w:p>
            <w:pPr>
              <w:spacing w:before="20" w:after="20"/>
            </w:pPr>
            <w:r/>
            <w:r>
              <w:rPr>
                <w:rFonts w:ascii="Arial" w:hAnsi="Arial"/>
                <w:b w:val="0"/>
                <w:i w:val="0"/>
                <w:sz w:val="16"/>
              </w:rPr>
              <w:t>RET-01, RET-02, RET-03, RET-04, RET-05</w:t>
            </w:r>
          </w:p>
        </w:tc>
      </w:tr>
      <w:tr>
        <w:trPr>
          <w:cantSplit/>
        </w:trPr>
        <w:tc>
          <w:tcPr>
            <w:tcW w:type="dxa" w:w="2534"/>
          </w:tcPr>
          <w:p>
            <w:pPr>
              <w:spacing w:before="20" w:after="20"/>
            </w:pPr>
            <w:r/>
            <w:r>
              <w:rPr>
                <w:rFonts w:ascii="Arial" w:hAnsi="Arial"/>
                <w:b/>
                <w:i w:val="0"/>
                <w:sz w:val="16"/>
              </w:rPr>
              <w:t>DP_​CONTACT_​PUBLICATION</w:t>
            </w:r>
          </w:p>
        </w:tc>
        <w:tc>
          <w:tcPr>
            <w:tcW w:type="dxa" w:w="3509"/>
          </w:tcPr>
          <w:p>
            <w:pPr>
              <w:spacing w:before="20" w:after="20"/>
            </w:pPr>
            <w:r/>
            <w:r>
              <w:rPr>
                <w:rFonts w:ascii="Times New Roman" w:hAnsi="Times New Roman"/>
                <w:b w:val="0"/>
                <w:i w:val="0"/>
                <w:sz w:val="17"/>
              </w:rPr>
              <w:t>Manner of publishing the business contact information of the Data Protection Officer, or of the person able to answer questions about processing on behalf of the Data Fiduciary</w:t>
            </w:r>
          </w:p>
        </w:tc>
        <w:tc>
          <w:tcPr>
            <w:tcW w:type="dxa" w:w="1494"/>
          </w:tcPr>
          <w:p>
            <w:pPr>
              <w:spacing w:before="20" w:after="20"/>
              <w:jc w:val="center"/>
            </w:pPr>
            <w:r/>
            <w:r>
              <w:rPr>
                <w:rFonts w:ascii="Arial" w:hAnsi="Arial"/>
                <w:b w:val="0"/>
                <w:i w:val="0"/>
                <w:sz w:val="16"/>
              </w:rPr>
              <w:t>s.8(8)</w:t>
            </w:r>
          </w:p>
        </w:tc>
        <w:tc>
          <w:tcPr>
            <w:tcW w:type="dxa" w:w="2209"/>
          </w:tcPr>
          <w:p>
            <w:pPr>
              <w:spacing w:before="20" w:after="20"/>
            </w:pPr>
            <w:r/>
            <w:r>
              <w:rPr>
                <w:rFonts w:ascii="Arial" w:hAnsi="Arial"/>
                <w:b w:val="0"/>
                <w:i w:val="0"/>
                <w:sz w:val="16"/>
              </w:rPr>
              <w:t>GOV-03</w:t>
            </w:r>
          </w:p>
        </w:tc>
      </w:tr>
      <w:tr>
        <w:trPr>
          <w:cantSplit/>
        </w:trPr>
        <w:tc>
          <w:tcPr>
            <w:tcW w:type="dxa" w:w="2534"/>
          </w:tcPr>
          <w:p>
            <w:pPr>
              <w:spacing w:before="20" w:after="20"/>
            </w:pPr>
            <w:r/>
            <w:r>
              <w:rPr>
                <w:rFonts w:ascii="Arial" w:hAnsi="Arial"/>
                <w:b/>
                <w:i w:val="0"/>
                <w:sz w:val="16"/>
              </w:rPr>
              <w:t>GRIEVANCE_​RESPONSE_​PERIOD</w:t>
            </w:r>
          </w:p>
        </w:tc>
        <w:tc>
          <w:tcPr>
            <w:tcW w:type="dxa" w:w="3509"/>
          </w:tcPr>
          <w:p>
            <w:pPr>
              <w:spacing w:before="20" w:after="20"/>
            </w:pPr>
            <w:r/>
            <w:r>
              <w:rPr>
                <w:rFonts w:ascii="Times New Roman" w:hAnsi="Times New Roman"/>
                <w:b w:val="0"/>
                <w:i w:val="0"/>
                <w:sz w:val="17"/>
              </w:rPr>
              <w:t>Period within which a Data Fiduciary or Consent Manager must respond to a grievance of a Data Principal</w:t>
            </w:r>
          </w:p>
        </w:tc>
        <w:tc>
          <w:tcPr>
            <w:tcW w:type="dxa" w:w="1494"/>
          </w:tcPr>
          <w:p>
            <w:pPr>
              <w:spacing w:before="20" w:after="20"/>
              <w:jc w:val="center"/>
            </w:pPr>
            <w:r/>
            <w:r>
              <w:rPr>
                <w:rFonts w:ascii="Arial" w:hAnsi="Arial"/>
                <w:b w:val="0"/>
                <w:i w:val="0"/>
                <w:sz w:val="16"/>
              </w:rPr>
              <w:t>s.13(2)</w:t>
            </w:r>
          </w:p>
        </w:tc>
        <w:tc>
          <w:tcPr>
            <w:tcW w:type="dxa" w:w="2209"/>
          </w:tcPr>
          <w:p>
            <w:pPr>
              <w:spacing w:before="20" w:after="20"/>
            </w:pPr>
            <w:r/>
            <w:r>
              <w:rPr>
                <w:rFonts w:ascii="Arial" w:hAnsi="Arial"/>
                <w:b w:val="0"/>
                <w:i w:val="0"/>
                <w:sz w:val="16"/>
              </w:rPr>
              <w:t>GRV-02</w:t>
            </w:r>
          </w:p>
        </w:tc>
      </w:tr>
      <w:tr>
        <w:trPr>
          <w:cantSplit/>
        </w:trPr>
        <w:tc>
          <w:tcPr>
            <w:tcW w:type="dxa" w:w="2534"/>
          </w:tcPr>
          <w:p>
            <w:pPr>
              <w:spacing w:before="20" w:after="20"/>
            </w:pPr>
            <w:r/>
            <w:r>
              <w:rPr>
                <w:rFonts w:ascii="Arial" w:hAnsi="Arial"/>
                <w:b/>
                <w:i w:val="0"/>
                <w:sz w:val="16"/>
              </w:rPr>
              <w:t>RIGHTS_​REQUEST_​HANDLING</w:t>
            </w:r>
          </w:p>
        </w:tc>
        <w:tc>
          <w:tcPr>
            <w:tcW w:type="dxa" w:w="3509"/>
          </w:tcPr>
          <w:p>
            <w:pPr>
              <w:spacing w:before="20" w:after="20"/>
            </w:pPr>
            <w:r/>
            <w:r>
              <w:rPr>
                <w:rFonts w:ascii="Times New Roman" w:hAnsi="Times New Roman"/>
                <w:b w:val="0"/>
                <w:i w:val="0"/>
                <w:sz w:val="17"/>
              </w:rPr>
              <w:t>Manner in which a Data Principal makes a request to exercise rights, and the manner and period for the Data Fiduciary's response, including verification of identity</w:t>
            </w:r>
          </w:p>
        </w:tc>
        <w:tc>
          <w:tcPr>
            <w:tcW w:type="dxa" w:w="1494"/>
          </w:tcPr>
          <w:p>
            <w:pPr>
              <w:spacing w:before="20" w:after="20"/>
              <w:jc w:val="center"/>
            </w:pPr>
            <w:r/>
            <w:r>
              <w:rPr>
                <w:rFonts w:ascii="Arial" w:hAnsi="Arial"/>
                <w:b w:val="0"/>
                <w:i w:val="0"/>
                <w:sz w:val="16"/>
              </w:rPr>
              <w:t>s.11, s.12, s.13</w:t>
            </w:r>
          </w:p>
        </w:tc>
        <w:tc>
          <w:tcPr>
            <w:tcW w:type="dxa" w:w="2209"/>
          </w:tcPr>
          <w:p>
            <w:pPr>
              <w:spacing w:before="20" w:after="20"/>
            </w:pPr>
            <w:r/>
            <w:r>
              <w:rPr>
                <w:rFonts w:ascii="Arial" w:hAnsi="Arial"/>
                <w:b w:val="0"/>
                <w:i w:val="0"/>
                <w:sz w:val="16"/>
              </w:rPr>
              <w:t>RGT-01, RGT-02, RGT-03, RGT-05, RGT-06</w:t>
            </w:r>
          </w:p>
        </w:tc>
      </w:tr>
      <w:tr>
        <w:trPr>
          <w:cantSplit/>
        </w:trPr>
        <w:tc>
          <w:tcPr>
            <w:tcW w:type="dxa" w:w="2534"/>
          </w:tcPr>
          <w:p>
            <w:pPr>
              <w:spacing w:before="20" w:after="20"/>
            </w:pPr>
            <w:r/>
            <w:r>
              <w:rPr>
                <w:rFonts w:ascii="Arial" w:hAnsi="Arial"/>
                <w:b/>
                <w:i w:val="0"/>
                <w:sz w:val="16"/>
              </w:rPr>
              <w:t>NOMINATION</w:t>
            </w:r>
          </w:p>
        </w:tc>
        <w:tc>
          <w:tcPr>
            <w:tcW w:type="dxa" w:w="3509"/>
          </w:tcPr>
          <w:p>
            <w:pPr>
              <w:spacing w:before="20" w:after="20"/>
            </w:pPr>
            <w:r/>
            <w:r>
              <w:rPr>
                <w:rFonts w:ascii="Times New Roman" w:hAnsi="Times New Roman"/>
                <w:b w:val="0"/>
                <w:i w:val="0"/>
                <w:sz w:val="17"/>
              </w:rPr>
              <w:t>Manner in which a Data Principal may nominate another individual to exercise rights in the event of death or incapacity</w:t>
            </w:r>
          </w:p>
        </w:tc>
        <w:tc>
          <w:tcPr>
            <w:tcW w:type="dxa" w:w="1494"/>
          </w:tcPr>
          <w:p>
            <w:pPr>
              <w:spacing w:before="20" w:after="20"/>
              <w:jc w:val="center"/>
            </w:pPr>
            <w:r/>
            <w:r>
              <w:rPr>
                <w:rFonts w:ascii="Arial" w:hAnsi="Arial"/>
                <w:b w:val="0"/>
                <w:i w:val="0"/>
                <w:sz w:val="16"/>
              </w:rPr>
              <w:t>s.14</w:t>
            </w:r>
          </w:p>
        </w:tc>
        <w:tc>
          <w:tcPr>
            <w:tcW w:type="dxa" w:w="2209"/>
          </w:tcPr>
          <w:p>
            <w:pPr>
              <w:spacing w:before="20" w:after="20"/>
            </w:pPr>
            <w:r/>
            <w:r>
              <w:rPr>
                <w:rFonts w:ascii="Arial" w:hAnsi="Arial"/>
                <w:b w:val="0"/>
                <w:i w:val="0"/>
                <w:sz w:val="16"/>
              </w:rPr>
              <w:t>RGT-04</w:t>
            </w:r>
          </w:p>
        </w:tc>
      </w:tr>
      <w:tr>
        <w:trPr>
          <w:cantSplit/>
        </w:trPr>
        <w:tc>
          <w:tcPr>
            <w:tcW w:type="dxa" w:w="2534"/>
          </w:tcPr>
          <w:p>
            <w:pPr>
              <w:spacing w:before="20" w:after="20"/>
            </w:pPr>
            <w:r/>
            <w:r>
              <w:rPr>
                <w:rFonts w:ascii="Arial" w:hAnsi="Arial"/>
                <w:b/>
                <w:i w:val="0"/>
                <w:sz w:val="16"/>
              </w:rPr>
              <w:t>CHILD_​CONSENT_​VERIFICATION</w:t>
            </w:r>
          </w:p>
        </w:tc>
        <w:tc>
          <w:tcPr>
            <w:tcW w:type="dxa" w:w="3509"/>
          </w:tcPr>
          <w:p>
            <w:pPr>
              <w:spacing w:before="20" w:after="20"/>
            </w:pPr>
            <w:r/>
            <w:r>
              <w:rPr>
                <w:rFonts w:ascii="Times New Roman" w:hAnsi="Times New Roman"/>
                <w:b w:val="0"/>
                <w:i w:val="0"/>
                <w:sz w:val="17"/>
              </w:rPr>
              <w:t>Manner of obtaining and verifying the consent of a parent or lawful guardian, including due-diligence steps to confirm the adult is identifiable and is in fact the parent/guardian</w:t>
            </w:r>
          </w:p>
        </w:tc>
        <w:tc>
          <w:tcPr>
            <w:tcW w:type="dxa" w:w="1494"/>
          </w:tcPr>
          <w:p>
            <w:pPr>
              <w:spacing w:before="20" w:after="20"/>
              <w:jc w:val="center"/>
            </w:pPr>
            <w:r/>
            <w:r>
              <w:rPr>
                <w:rFonts w:ascii="Arial" w:hAnsi="Arial"/>
                <w:b w:val="0"/>
                <w:i w:val="0"/>
                <w:sz w:val="16"/>
              </w:rPr>
              <w:t>s.9(1)</w:t>
            </w:r>
          </w:p>
        </w:tc>
        <w:tc>
          <w:tcPr>
            <w:tcW w:type="dxa" w:w="2209"/>
          </w:tcPr>
          <w:p>
            <w:pPr>
              <w:spacing w:before="20" w:after="20"/>
            </w:pPr>
            <w:r/>
            <w:r>
              <w:rPr>
                <w:rFonts w:ascii="Arial" w:hAnsi="Arial"/>
                <w:b w:val="0"/>
                <w:i w:val="0"/>
                <w:sz w:val="16"/>
              </w:rPr>
              <w:t>CHD-01, CHD-02, CHD-05</w:t>
            </w:r>
          </w:p>
        </w:tc>
      </w:tr>
      <w:tr>
        <w:trPr>
          <w:cantSplit/>
        </w:trPr>
        <w:tc>
          <w:tcPr>
            <w:tcW w:type="dxa" w:w="2534"/>
          </w:tcPr>
          <w:p>
            <w:pPr>
              <w:spacing w:before="20" w:after="20"/>
            </w:pPr>
            <w:r/>
            <w:r>
              <w:rPr>
                <w:rFonts w:ascii="Arial" w:hAnsi="Arial"/>
                <w:b/>
                <w:i w:val="0"/>
                <w:sz w:val="16"/>
              </w:rPr>
              <w:t>CHILD_​EXEMPT_​CLASSES</w:t>
            </w:r>
          </w:p>
        </w:tc>
        <w:tc>
          <w:tcPr>
            <w:tcW w:type="dxa" w:w="3509"/>
          </w:tcPr>
          <w:p>
            <w:pPr>
              <w:spacing w:before="20" w:after="20"/>
            </w:pPr>
            <w:r/>
            <w:r>
              <w:rPr>
                <w:rFonts w:ascii="Times New Roman" w:hAnsi="Times New Roman"/>
                <w:b w:val="0"/>
                <w:i w:val="0"/>
                <w:sz w:val="17"/>
              </w:rPr>
              <w:t>Classes of Data Fiduciary, and purposes, exempted from some or all of the additional obligations concerning children, and any lowered age threshold for verifiably safe processing</w:t>
            </w:r>
          </w:p>
        </w:tc>
        <w:tc>
          <w:tcPr>
            <w:tcW w:type="dxa" w:w="1494"/>
          </w:tcPr>
          <w:p>
            <w:pPr>
              <w:spacing w:before="20" w:after="20"/>
              <w:jc w:val="center"/>
            </w:pPr>
            <w:r/>
            <w:r>
              <w:rPr>
                <w:rFonts w:ascii="Arial" w:hAnsi="Arial"/>
                <w:b w:val="0"/>
                <w:i w:val="0"/>
                <w:sz w:val="16"/>
              </w:rPr>
              <w:t>s.9(4), s.9(5)</w:t>
            </w:r>
          </w:p>
        </w:tc>
        <w:tc>
          <w:tcPr>
            <w:tcW w:type="dxa" w:w="2209"/>
          </w:tcPr>
          <w:p>
            <w:pPr>
              <w:spacing w:before="20" w:after="20"/>
            </w:pPr>
            <w:r/>
            <w:r>
              <w:rPr>
                <w:rFonts w:ascii="Arial" w:hAnsi="Arial"/>
                <w:b w:val="0"/>
                <w:i w:val="0"/>
                <w:sz w:val="16"/>
              </w:rPr>
              <w:t>CHD-03</w:t>
            </w:r>
          </w:p>
        </w:tc>
      </w:tr>
      <w:tr>
        <w:trPr>
          <w:cantSplit/>
        </w:trPr>
        <w:tc>
          <w:tcPr>
            <w:tcW w:type="dxa" w:w="2534"/>
          </w:tcPr>
          <w:p>
            <w:pPr>
              <w:spacing w:before="20" w:after="20"/>
            </w:pPr>
            <w:r/>
            <w:r>
              <w:rPr>
                <w:rFonts w:ascii="Arial" w:hAnsi="Arial"/>
                <w:b/>
                <w:i w:val="0"/>
                <w:sz w:val="16"/>
              </w:rPr>
              <w:t>SDF_​DPIA_​AUDIT</w:t>
            </w:r>
          </w:p>
        </w:tc>
        <w:tc>
          <w:tcPr>
            <w:tcW w:type="dxa" w:w="3509"/>
          </w:tcPr>
          <w:p>
            <w:pPr>
              <w:spacing w:before="20" w:after="20"/>
            </w:pPr>
            <w:r/>
            <w:r>
              <w:rPr>
                <w:rFonts w:ascii="Times New Roman" w:hAnsi="Times New Roman"/>
                <w:b w:val="0"/>
                <w:i w:val="0"/>
                <w:sz w:val="17"/>
              </w:rPr>
              <w:t>Manner and periodicity of the Data Protection Impact Assessment and of the independent audit required of a Significant Data Fiduciary, and the reporting of outcomes</w:t>
            </w:r>
          </w:p>
        </w:tc>
        <w:tc>
          <w:tcPr>
            <w:tcW w:type="dxa" w:w="1494"/>
          </w:tcPr>
          <w:p>
            <w:pPr>
              <w:spacing w:before="20" w:after="20"/>
              <w:jc w:val="center"/>
            </w:pPr>
            <w:r/>
            <w:r>
              <w:rPr>
                <w:rFonts w:ascii="Arial" w:hAnsi="Arial"/>
                <w:b w:val="0"/>
                <w:i w:val="0"/>
                <w:sz w:val="16"/>
              </w:rPr>
              <w:t>s.10(2)(c)</w:t>
            </w:r>
          </w:p>
        </w:tc>
        <w:tc>
          <w:tcPr>
            <w:tcW w:type="dxa" w:w="2209"/>
          </w:tcPr>
          <w:p>
            <w:pPr>
              <w:spacing w:before="20" w:after="20"/>
            </w:pPr>
            <w:r/>
            <w:r>
              <w:rPr>
                <w:rFonts w:ascii="Arial" w:hAnsi="Arial"/>
                <w:b w:val="0"/>
                <w:i w:val="0"/>
                <w:sz w:val="16"/>
              </w:rPr>
              <w:t>SDF-02, SDF-03, SDF-04</w:t>
            </w:r>
          </w:p>
        </w:tc>
      </w:tr>
      <w:tr>
        <w:trPr>
          <w:cantSplit/>
        </w:trPr>
        <w:tc>
          <w:tcPr>
            <w:tcW w:type="dxa" w:w="2534"/>
          </w:tcPr>
          <w:p>
            <w:pPr>
              <w:spacing w:before="20" w:after="20"/>
            </w:pPr>
            <w:r/>
            <w:r>
              <w:rPr>
                <w:rFonts w:ascii="Arial" w:hAnsi="Arial"/>
                <w:b/>
                <w:i w:val="0"/>
                <w:sz w:val="16"/>
              </w:rPr>
              <w:t>SDF_​ALGORITHMIC_​DUE_​DILIGENCE</w:t>
            </w:r>
          </w:p>
        </w:tc>
        <w:tc>
          <w:tcPr>
            <w:tcW w:type="dxa" w:w="3509"/>
          </w:tcPr>
          <w:p>
            <w:pPr>
              <w:spacing w:before="20" w:after="20"/>
            </w:pPr>
            <w:r/>
            <w:r>
              <w:rPr>
                <w:rFonts w:ascii="Times New Roman" w:hAnsi="Times New Roman"/>
                <w:b w:val="0"/>
                <w:i w:val="0"/>
                <w:sz w:val="17"/>
              </w:rPr>
              <w:t>Due diligence required of a Significant Data Fiduciary to verify that algorithmic software deployed for processing is not likely to pose a risk to the rights of Data Principals</w:t>
            </w:r>
          </w:p>
        </w:tc>
        <w:tc>
          <w:tcPr>
            <w:tcW w:type="dxa" w:w="1494"/>
          </w:tcPr>
          <w:p>
            <w:pPr>
              <w:spacing w:before="20" w:after="20"/>
              <w:jc w:val="center"/>
            </w:pPr>
            <w:r/>
            <w:r>
              <w:rPr>
                <w:rFonts w:ascii="Arial" w:hAnsi="Arial"/>
                <w:b w:val="0"/>
                <w:i w:val="0"/>
                <w:sz w:val="16"/>
              </w:rPr>
              <w:t>s.10(2)(c)</w:t>
            </w:r>
          </w:p>
        </w:tc>
        <w:tc>
          <w:tcPr>
            <w:tcW w:type="dxa" w:w="2209"/>
          </w:tcPr>
          <w:p>
            <w:pPr>
              <w:spacing w:before="20" w:after="20"/>
            </w:pPr>
            <w:r/>
            <w:r>
              <w:rPr>
                <w:rFonts w:ascii="Arial" w:hAnsi="Arial"/>
                <w:b w:val="0"/>
                <w:i w:val="0"/>
                <w:sz w:val="16"/>
              </w:rPr>
              <w:t>SDF-05</w:t>
            </w:r>
          </w:p>
        </w:tc>
      </w:tr>
      <w:tr>
        <w:trPr>
          <w:cantSplit/>
        </w:trPr>
        <w:tc>
          <w:tcPr>
            <w:tcW w:type="dxa" w:w="2534"/>
          </w:tcPr>
          <w:p>
            <w:pPr>
              <w:spacing w:before="20" w:after="20"/>
            </w:pPr>
            <w:r/>
            <w:r>
              <w:rPr>
                <w:rFonts w:ascii="Arial" w:hAnsi="Arial"/>
                <w:b/>
                <w:i w:val="0"/>
                <w:sz w:val="16"/>
              </w:rPr>
              <w:t>SDF_​TRANSFER_​RESTRICTION</w:t>
            </w:r>
          </w:p>
        </w:tc>
        <w:tc>
          <w:tcPr>
            <w:tcW w:type="dxa" w:w="3509"/>
          </w:tcPr>
          <w:p>
            <w:pPr>
              <w:spacing w:before="20" w:after="20"/>
            </w:pPr>
            <w:r/>
            <w:r>
              <w:rPr>
                <w:rFonts w:ascii="Times New Roman" w:hAnsi="Times New Roman"/>
                <w:b w:val="0"/>
                <w:i w:val="0"/>
                <w:sz w:val="17"/>
              </w:rPr>
              <w:t>Any restriction on transfer outside India, by a Significant Data Fiduciary, of specified personal data or traffic/flow data</w:t>
            </w:r>
          </w:p>
        </w:tc>
        <w:tc>
          <w:tcPr>
            <w:tcW w:type="dxa" w:w="1494"/>
          </w:tcPr>
          <w:p>
            <w:pPr>
              <w:spacing w:before="20" w:after="20"/>
              <w:jc w:val="center"/>
            </w:pPr>
            <w:r/>
            <w:r>
              <w:rPr>
                <w:rFonts w:ascii="Arial" w:hAnsi="Arial"/>
                <w:b w:val="0"/>
                <w:i w:val="0"/>
                <w:sz w:val="16"/>
              </w:rPr>
              <w:t>s.10(2)(c), s.16</w:t>
            </w:r>
          </w:p>
        </w:tc>
        <w:tc>
          <w:tcPr>
            <w:tcW w:type="dxa" w:w="2209"/>
          </w:tcPr>
          <w:p>
            <w:pPr>
              <w:spacing w:before="20" w:after="20"/>
            </w:pPr>
            <w:r/>
            <w:r>
              <w:rPr>
                <w:rFonts w:ascii="Arial" w:hAnsi="Arial"/>
                <w:b w:val="0"/>
                <w:i w:val="0"/>
                <w:sz w:val="16"/>
              </w:rPr>
              <w:t>SDF-06</w:t>
            </w:r>
          </w:p>
        </w:tc>
      </w:tr>
      <w:tr>
        <w:trPr>
          <w:cantSplit/>
        </w:trPr>
        <w:tc>
          <w:tcPr>
            <w:tcW w:type="dxa" w:w="2534"/>
          </w:tcPr>
          <w:p>
            <w:pPr>
              <w:spacing w:before="20" w:after="20"/>
            </w:pPr>
            <w:r/>
            <w:r>
              <w:rPr>
                <w:rFonts w:ascii="Arial" w:hAnsi="Arial"/>
                <w:b/>
                <w:i w:val="0"/>
                <w:sz w:val="16"/>
              </w:rPr>
              <w:t>CROSS_​BORDER_​CONDITIONS</w:t>
            </w:r>
          </w:p>
        </w:tc>
        <w:tc>
          <w:tcPr>
            <w:tcW w:type="dxa" w:w="3509"/>
          </w:tcPr>
          <w:p>
            <w:pPr>
              <w:spacing w:before="20" w:after="20"/>
            </w:pPr>
            <w:r/>
            <w:r>
              <w:rPr>
                <w:rFonts w:ascii="Times New Roman" w:hAnsi="Times New Roman"/>
                <w:b w:val="0"/>
                <w:i w:val="0"/>
                <w:sz w:val="17"/>
              </w:rPr>
              <w:t>Conditions or restrictions attaching to transfer of personal data to a country or territory outside India, and the mechanism of notification of restricted countries</w:t>
            </w:r>
          </w:p>
        </w:tc>
        <w:tc>
          <w:tcPr>
            <w:tcW w:type="dxa" w:w="1494"/>
          </w:tcPr>
          <w:p>
            <w:pPr>
              <w:spacing w:before="20" w:after="20"/>
              <w:jc w:val="center"/>
            </w:pPr>
            <w:r/>
            <w:r>
              <w:rPr>
                <w:rFonts w:ascii="Arial" w:hAnsi="Arial"/>
                <w:b w:val="0"/>
                <w:i w:val="0"/>
                <w:sz w:val="16"/>
              </w:rPr>
              <w:t>s.16(1)</w:t>
            </w:r>
          </w:p>
        </w:tc>
        <w:tc>
          <w:tcPr>
            <w:tcW w:type="dxa" w:w="2209"/>
          </w:tcPr>
          <w:p>
            <w:pPr>
              <w:spacing w:before="20" w:after="20"/>
            </w:pPr>
            <w:r/>
            <w:r>
              <w:rPr>
                <w:rFonts w:ascii="Arial" w:hAnsi="Arial"/>
                <w:b w:val="0"/>
                <w:i w:val="0"/>
                <w:sz w:val="16"/>
              </w:rPr>
              <w:t>XBD-01, XBD-02, XBD-03, XBD-04</w:t>
            </w:r>
          </w:p>
        </w:tc>
      </w:tr>
      <w:tr>
        <w:trPr>
          <w:cantSplit/>
        </w:trPr>
        <w:tc>
          <w:tcPr>
            <w:tcW w:type="dxa" w:w="2534"/>
          </w:tcPr>
          <w:p>
            <w:pPr>
              <w:spacing w:before="20" w:after="20"/>
            </w:pPr>
            <w:r/>
            <w:r>
              <w:rPr>
                <w:rFonts w:ascii="Arial" w:hAnsi="Arial"/>
                <w:b/>
                <w:i w:val="0"/>
                <w:sz w:val="16"/>
              </w:rPr>
              <w:t>RESEARCH_​ARCHIVING_​STANDARDS</w:t>
            </w:r>
          </w:p>
        </w:tc>
        <w:tc>
          <w:tcPr>
            <w:tcW w:type="dxa" w:w="3509"/>
          </w:tcPr>
          <w:p>
            <w:pPr>
              <w:spacing w:before="20" w:after="20"/>
            </w:pPr>
            <w:r/>
            <w:r>
              <w:rPr>
                <w:rFonts w:ascii="Times New Roman" w:hAnsi="Times New Roman"/>
                <w:b w:val="0"/>
                <w:i w:val="0"/>
                <w:sz w:val="17"/>
              </w:rPr>
              <w:t>Standards subject to which processing for research, archiving or statistical purposes is exempt from specified provisions</w:t>
            </w:r>
          </w:p>
        </w:tc>
        <w:tc>
          <w:tcPr>
            <w:tcW w:type="dxa" w:w="1494"/>
          </w:tcPr>
          <w:p>
            <w:pPr>
              <w:spacing w:before="20" w:after="20"/>
              <w:jc w:val="center"/>
            </w:pPr>
            <w:r/>
            <w:r>
              <w:rPr>
                <w:rFonts w:ascii="Arial" w:hAnsi="Arial"/>
                <w:b w:val="0"/>
                <w:i w:val="0"/>
                <w:sz w:val="16"/>
              </w:rPr>
              <w:t>s.17(2)(b)</w:t>
            </w:r>
          </w:p>
        </w:tc>
        <w:tc>
          <w:tcPr>
            <w:tcW w:type="dxa" w:w="2209"/>
          </w:tcPr>
          <w:p>
            <w:pPr>
              <w:spacing w:before="20" w:after="20"/>
            </w:pPr>
            <w:r/>
            <w:r>
              <w:rPr>
                <w:rFonts w:ascii="Arial" w:hAnsi="Arial"/>
                <w:b w:val="0"/>
                <w:i w:val="0"/>
                <w:sz w:val="16"/>
              </w:rPr>
              <w:t>—</w:t>
            </w:r>
          </w:p>
        </w:tc>
      </w:tr>
      <w:tr>
        <w:trPr>
          <w:cantSplit/>
        </w:trPr>
        <w:tc>
          <w:tcPr>
            <w:tcW w:type="dxa" w:w="2534"/>
          </w:tcPr>
          <w:p>
            <w:pPr>
              <w:spacing w:before="20" w:after="20"/>
            </w:pPr>
            <w:r/>
            <w:r>
              <w:rPr>
                <w:rFonts w:ascii="Arial" w:hAnsi="Arial"/>
                <w:b/>
                <w:i w:val="0"/>
                <w:sz w:val="16"/>
              </w:rPr>
              <w:t>STARTUP_​EXEMPTION_​CLASSES</w:t>
            </w:r>
          </w:p>
        </w:tc>
        <w:tc>
          <w:tcPr>
            <w:tcW w:type="dxa" w:w="3509"/>
          </w:tcPr>
          <w:p>
            <w:pPr>
              <w:spacing w:before="20" w:after="20"/>
            </w:pPr>
            <w:r/>
            <w:r>
              <w:rPr>
                <w:rFonts w:ascii="Times New Roman" w:hAnsi="Times New Roman"/>
                <w:b w:val="0"/>
                <w:i w:val="0"/>
                <w:sz w:val="17"/>
              </w:rPr>
              <w:t>Classes of Data Fiduciary, including startups, notified as exempt from specified provisions, and the conditions of that exemption</w:t>
            </w:r>
          </w:p>
        </w:tc>
        <w:tc>
          <w:tcPr>
            <w:tcW w:type="dxa" w:w="1494"/>
          </w:tcPr>
          <w:p>
            <w:pPr>
              <w:spacing w:before="20" w:after="20"/>
              <w:jc w:val="center"/>
            </w:pPr>
            <w:r/>
            <w:r>
              <w:rPr>
                <w:rFonts w:ascii="Arial" w:hAnsi="Arial"/>
                <w:b w:val="0"/>
                <w:i w:val="0"/>
                <w:sz w:val="16"/>
              </w:rPr>
              <w:t>s.17(3)</w:t>
            </w:r>
          </w:p>
        </w:tc>
        <w:tc>
          <w:tcPr>
            <w:tcW w:type="dxa" w:w="2209"/>
          </w:tcPr>
          <w:p>
            <w:pPr>
              <w:spacing w:before="20" w:after="20"/>
            </w:pPr>
            <w:r/>
            <w:r>
              <w:rPr>
                <w:rFonts w:ascii="Arial" w:hAnsi="Arial"/>
                <w:b w:val="0"/>
                <w:i w:val="0"/>
                <w:sz w:val="16"/>
              </w:rPr>
              <w:t>APP-03</w:t>
            </w:r>
          </w:p>
        </w:tc>
      </w:tr>
      <w:tr>
        <w:trPr>
          <w:cantSplit/>
        </w:trPr>
        <w:tc>
          <w:tcPr>
            <w:tcW w:type="dxa" w:w="2534"/>
          </w:tcPr>
          <w:p>
            <w:pPr>
              <w:spacing w:before="20" w:after="20"/>
            </w:pPr>
            <w:r/>
            <w:r>
              <w:rPr>
                <w:rFonts w:ascii="Arial" w:hAnsi="Arial"/>
                <w:b/>
                <w:i w:val="0"/>
                <w:sz w:val="16"/>
              </w:rPr>
              <w:t>BOARD_​PROCEEDINGS</w:t>
            </w:r>
          </w:p>
        </w:tc>
        <w:tc>
          <w:tcPr>
            <w:tcW w:type="dxa" w:w="3509"/>
          </w:tcPr>
          <w:p>
            <w:pPr>
              <w:spacing w:before="20" w:after="20"/>
            </w:pPr>
            <w:r/>
            <w:r>
              <w:rPr>
                <w:rFonts w:ascii="Times New Roman" w:hAnsi="Times New Roman"/>
                <w:b w:val="0"/>
                <w:i w:val="0"/>
                <w:sz w:val="17"/>
              </w:rPr>
              <w:t>Procedure for making a complaint to the Board, the conduct of inquiry, and the manner of digital functioning of the Board</w:t>
            </w:r>
          </w:p>
        </w:tc>
        <w:tc>
          <w:tcPr>
            <w:tcW w:type="dxa" w:w="1494"/>
          </w:tcPr>
          <w:p>
            <w:pPr>
              <w:spacing w:before="20" w:after="20"/>
              <w:jc w:val="center"/>
            </w:pPr>
            <w:r/>
            <w:r>
              <w:rPr>
                <w:rFonts w:ascii="Arial" w:hAnsi="Arial"/>
                <w:b w:val="0"/>
                <w:i w:val="0"/>
                <w:sz w:val="16"/>
              </w:rPr>
              <w:t>s.27, s.28</w:t>
            </w:r>
          </w:p>
        </w:tc>
        <w:tc>
          <w:tcPr>
            <w:tcW w:type="dxa" w:w="2209"/>
          </w:tcPr>
          <w:p>
            <w:pPr>
              <w:spacing w:before="20" w:after="20"/>
            </w:pPr>
            <w:r/>
            <w:r>
              <w:rPr>
                <w:rFonts w:ascii="Arial" w:hAnsi="Arial"/>
                <w:b w:val="0"/>
                <w:i w:val="0"/>
                <w:sz w:val="16"/>
              </w:rPr>
              <w:t>BRD-01</w:t>
            </w:r>
          </w:p>
        </w:tc>
      </w:tr>
      <w:tr>
        <w:trPr>
          <w:cantSplit/>
        </w:trPr>
        <w:tc>
          <w:tcPr>
            <w:tcW w:type="dxa" w:w="2534"/>
          </w:tcPr>
          <w:p>
            <w:pPr>
              <w:spacing w:before="20" w:after="20"/>
            </w:pPr>
            <w:r/>
            <w:r>
              <w:rPr>
                <w:rFonts w:ascii="Arial" w:hAnsi="Arial"/>
                <w:b/>
                <w:i w:val="0"/>
                <w:sz w:val="16"/>
              </w:rPr>
              <w:t>COMMENCEMENT_​PHASING</w:t>
            </w:r>
          </w:p>
        </w:tc>
        <w:tc>
          <w:tcPr>
            <w:tcW w:type="dxa" w:w="3509"/>
          </w:tcPr>
          <w:p>
            <w:pPr>
              <w:spacing w:before="20" w:after="20"/>
            </w:pPr>
            <w:r/>
            <w:r>
              <w:rPr>
                <w:rFonts w:ascii="Times New Roman" w:hAnsi="Times New Roman"/>
                <w:b w:val="0"/>
                <w:i w:val="0"/>
                <w:sz w:val="17"/>
              </w:rPr>
              <w:t>Dates on which particular provisions of the Act and Rules come into force, including any phased or tranched commencement schedule</w:t>
            </w:r>
          </w:p>
        </w:tc>
        <w:tc>
          <w:tcPr>
            <w:tcW w:type="dxa" w:w="1494"/>
          </w:tcPr>
          <w:p>
            <w:pPr>
              <w:spacing w:before="20" w:after="20"/>
              <w:jc w:val="center"/>
            </w:pPr>
            <w:r/>
            <w:r>
              <w:rPr>
                <w:rFonts w:ascii="Arial" w:hAnsi="Arial"/>
                <w:b w:val="0"/>
                <w:i w:val="0"/>
                <w:sz w:val="16"/>
              </w:rPr>
              <w:t>s.1(2)</w:t>
            </w:r>
          </w:p>
        </w:tc>
        <w:tc>
          <w:tcPr>
            <w:tcW w:type="dxa" w:w="2209"/>
          </w:tcPr>
          <w:p>
            <w:pPr>
              <w:spacing w:before="20" w:after="20"/>
            </w:pPr>
            <w:r/>
            <w:r>
              <w:rPr>
                <w:rFonts w:ascii="Arial" w:hAnsi="Arial"/>
                <w:b w:val="0"/>
                <w:i w:val="0"/>
                <w:sz w:val="16"/>
              </w:rPr>
              <w:t>APP-05</w:t>
            </w:r>
          </w:p>
        </w:tc>
      </w:tr>
    </w:tbl>
    <w:p>
      <w:pPr>
        <w:spacing w:before="160" w:after="80"/>
      </w:pPr>
      <w:r>
        <w:rPr>
          <w:rFonts w:ascii="Times New Roman" w:hAnsi="Times New Roman"/>
          <w:b/>
          <w:i w:val="0"/>
          <w:sz w:val="19"/>
        </w:rPr>
        <w:t>Primary sources against which these should be verified:</w:t>
      </w:r>
    </w:p>
    <w:p>
      <w:pPr>
        <w:pStyle w:val="ListBullet"/>
        <w:spacing w:after="80"/>
      </w:pPr>
      <w:r>
        <w:rPr>
          <w:rFonts w:ascii="Times New Roman" w:hAnsi="Times New Roman"/>
          <w:sz w:val="19"/>
        </w:rPr>
        <w:t>eGazette notification of the Digital Personal Data Protection Rules — egazette.gov.in</w:t>
      </w:r>
    </w:p>
    <w:p>
      <w:pPr>
        <w:pStyle w:val="ListBullet"/>
        <w:spacing w:after="80"/>
      </w:pPr>
      <w:r>
        <w:rPr>
          <w:rFonts w:ascii="Times New Roman" w:hAnsi="Times New Roman"/>
          <w:sz w:val="19"/>
        </w:rPr>
        <w:t>MeitY data protection framework page — meity.gov.in</w:t>
      </w:r>
    </w:p>
    <w:p>
      <w:pPr>
        <w:pStyle w:val="ListBullet"/>
        <w:spacing w:after="80"/>
      </w:pPr>
      <w:r>
        <w:rPr>
          <w:rFonts w:ascii="Times New Roman" w:hAnsi="Times New Roman"/>
          <w:sz w:val="19"/>
        </w:rPr>
        <w:t>India Code, DPDP Act 2023 bare text — india-code.nic.in</w:t>
      </w:r>
    </w:p>
    <w:p>
      <w:pPr>
        <w:pStyle w:val="ListBullet"/>
        <w:spacing w:after="80"/>
      </w:pPr>
      <w:r>
        <w:rPr>
          <w:rFonts w:ascii="Times New Roman" w:hAnsi="Times New Roman"/>
          <w:sz w:val="19"/>
        </w:rPr>
        <w:t>Any MeitY FAQ or business-requirements document issued alongside the Rules</w:t>
      </w:r>
    </w:p>
    <w:p>
      <w:pPr>
        <w:pStyle w:val="Heading1"/>
        <w:keepNext/>
        <w:spacing w:before="280" w:after="120"/>
      </w:pPr>
      <w:r>
        <w:rPr>
          <w:rFonts w:ascii="Arial" w:hAnsi="Arial"/>
          <w:b/>
          <w:color w:val="1F3552"/>
          <w:sz w:val="32"/>
        </w:rPr>
        <w:t>Appendix B — Penalty Schedule reference</w:t>
      </w:r>
    </w:p>
    <w:p>
      <w:pPr>
        <w:spacing w:before="0" w:after="120"/>
        <w:jc w:val="both"/>
      </w:pPr>
      <w:r>
        <w:rPr>
          <w:rFonts w:ascii="Times New Roman" w:hAnsi="Times New Roman"/>
          <w:b w:val="0"/>
          <w:i w:val="0"/>
          <w:sz w:val="21"/>
        </w:rPr>
        <w:t>Section 33 read with the Schedule to the Act. Reproduced so that the exposure figures in section 1.5 can be traced to their basis.</w:t>
      </w:r>
    </w:p>
    <w:tbl>
      <w:tblPr>
        <w:tblStyle w:val="TableGrid"/>
        <w:tblW w:w="9746" w:type="dxa"/>
        <w:jc w:val="center"/>
        <w:tblLayout w:type="fixed"/>
        <w:tblLook w:firstColumn="1" w:firstRow="1" w:lastColumn="0" w:lastRow="0" w:noHBand="0" w:noVBand="1" w:val="04A0"/>
      </w:tblPr>
      <w:tblGrid>
        <w:gridCol w:w="1234"/>
        <w:gridCol w:w="4158"/>
        <w:gridCol w:w="1559"/>
        <w:gridCol w:w="2793"/>
      </w:tblGrid>
      <w:tr>
        <w:trPr>
          <w:tblHeader w:val="true"/>
        </w:trPr>
        <w:tc>
          <w:tcPr>
            <w:tcW w:type="dxa" w:w="1235"/>
            <w:shd w:val="clear" w:color="auto" w:fill="1F3552"/>
          </w:tcPr>
          <w:p>
            <w:pPr>
              <w:spacing w:before="20" w:after="20"/>
              <w:jc w:val="center"/>
            </w:pPr>
            <w:r/>
            <w:r>
              <w:rPr>
                <w:rFonts w:ascii="Arial" w:hAnsi="Arial"/>
                <w:b/>
                <w:i w:val="0"/>
                <w:color w:val="FFFFFF"/>
                <w:sz w:val="18"/>
              </w:rPr>
              <w:t>Entry</w:t>
            </w:r>
          </w:p>
        </w:tc>
        <w:tc>
          <w:tcPr>
            <w:tcW w:type="dxa" w:w="4158"/>
            <w:shd w:val="clear" w:color="auto" w:fill="1F3552"/>
          </w:tcPr>
          <w:p>
            <w:pPr>
              <w:spacing w:before="20" w:after="20"/>
              <w:jc w:val="center"/>
            </w:pPr>
            <w:r/>
            <w:r>
              <w:rPr>
                <w:rFonts w:ascii="Arial" w:hAnsi="Arial"/>
                <w:b/>
                <w:i w:val="0"/>
                <w:color w:val="FFFFFF"/>
                <w:sz w:val="18"/>
              </w:rPr>
              <w:t>Breach</w:t>
            </w:r>
          </w:p>
        </w:tc>
        <w:tc>
          <w:tcPr>
            <w:tcW w:type="dxa" w:w="1560"/>
            <w:shd w:val="clear" w:color="auto" w:fill="1F3552"/>
          </w:tcPr>
          <w:p>
            <w:pPr>
              <w:spacing w:before="20" w:after="20"/>
              <w:jc w:val="center"/>
            </w:pPr>
            <w:r/>
            <w:r>
              <w:rPr>
                <w:rFonts w:ascii="Arial" w:hAnsi="Arial"/>
                <w:b/>
                <w:i w:val="0"/>
                <w:color w:val="FFFFFF"/>
                <w:sz w:val="18"/>
              </w:rPr>
              <w:t>Provision</w:t>
            </w:r>
          </w:p>
        </w:tc>
        <w:tc>
          <w:tcPr>
            <w:tcW w:type="dxa" w:w="2794"/>
            <w:shd w:val="clear" w:color="auto" w:fill="1F3552"/>
          </w:tcPr>
          <w:p>
            <w:pPr>
              <w:spacing w:before="20" w:after="20"/>
              <w:jc w:val="center"/>
            </w:pPr>
            <w:r/>
            <w:r>
              <w:rPr>
                <w:rFonts w:ascii="Arial" w:hAnsi="Arial"/>
                <w:b/>
                <w:i w:val="0"/>
                <w:color w:val="FFFFFF"/>
                <w:sz w:val="18"/>
              </w:rPr>
              <w:t>Maximum penalty</w:t>
            </w:r>
          </w:p>
        </w:tc>
      </w:tr>
      <w:tr>
        <w:trPr>
          <w:cantSplit/>
        </w:trPr>
        <w:tc>
          <w:tcPr>
            <w:tcW w:type="dxa" w:w="1235"/>
          </w:tcPr>
          <w:p>
            <w:pPr>
              <w:spacing w:before="20" w:after="20"/>
              <w:jc w:val="center"/>
            </w:pPr>
            <w:r/>
            <w:r>
              <w:rPr>
                <w:rFonts w:ascii="Arial" w:hAnsi="Arial"/>
                <w:b/>
                <w:i w:val="0"/>
                <w:sz w:val="18"/>
              </w:rPr>
              <w:t>Entry 1</w:t>
            </w:r>
          </w:p>
        </w:tc>
        <w:tc>
          <w:tcPr>
            <w:tcW w:type="dxa" w:w="4158"/>
          </w:tcPr>
          <w:p>
            <w:pPr>
              <w:spacing w:before="20" w:after="20"/>
            </w:pPr>
            <w:r/>
            <w:r>
              <w:rPr>
                <w:rFonts w:ascii="Times New Roman" w:hAnsi="Times New Roman"/>
                <w:b w:val="0"/>
                <w:i w:val="0"/>
                <w:sz w:val="17"/>
              </w:rPr>
              <w:t>Breach of the obligation to take reasonable security safeguards to prevent personal data breach</w:t>
            </w:r>
          </w:p>
        </w:tc>
        <w:tc>
          <w:tcPr>
            <w:tcW w:type="dxa" w:w="1560"/>
          </w:tcPr>
          <w:p>
            <w:pPr>
              <w:spacing w:before="20" w:after="20"/>
              <w:jc w:val="center"/>
            </w:pPr>
            <w:r/>
            <w:r>
              <w:rPr>
                <w:rFonts w:ascii="Arial" w:hAnsi="Arial"/>
                <w:b w:val="0"/>
                <w:i w:val="0"/>
                <w:sz w:val="18"/>
              </w:rPr>
              <w:t>s.8(5)</w:t>
            </w:r>
          </w:p>
        </w:tc>
        <w:tc>
          <w:tcPr>
            <w:tcW w:type="dxa" w:w="2794"/>
          </w:tcPr>
          <w:p>
            <w:pPr>
              <w:spacing w:before="20" w:after="20"/>
            </w:pPr>
            <w:r/>
            <w:r>
              <w:rPr>
                <w:rFonts w:ascii="Arial" w:hAnsi="Arial"/>
                <w:b/>
                <w:i w:val="0"/>
                <w:sz w:val="18"/>
              </w:rPr>
              <w:t>Up to INR 250 crore</w:t>
            </w:r>
          </w:p>
        </w:tc>
      </w:tr>
      <w:tr>
        <w:trPr>
          <w:cantSplit/>
        </w:trPr>
        <w:tc>
          <w:tcPr>
            <w:tcW w:type="dxa" w:w="1235"/>
          </w:tcPr>
          <w:p>
            <w:pPr>
              <w:spacing w:before="20" w:after="20"/>
              <w:jc w:val="center"/>
            </w:pPr>
            <w:r/>
            <w:r>
              <w:rPr>
                <w:rFonts w:ascii="Arial" w:hAnsi="Arial"/>
                <w:b/>
                <w:i w:val="0"/>
                <w:sz w:val="18"/>
              </w:rPr>
              <w:t>Entry 2</w:t>
            </w:r>
          </w:p>
        </w:tc>
        <w:tc>
          <w:tcPr>
            <w:tcW w:type="dxa" w:w="4158"/>
          </w:tcPr>
          <w:p>
            <w:pPr>
              <w:spacing w:before="20" w:after="20"/>
            </w:pPr>
            <w:r/>
            <w:r>
              <w:rPr>
                <w:rFonts w:ascii="Times New Roman" w:hAnsi="Times New Roman"/>
                <w:b w:val="0"/>
                <w:i w:val="0"/>
                <w:sz w:val="17"/>
              </w:rPr>
              <w:t>Breach of the obligation to give the Board or affected Data Principal notice of a personal data breach</w:t>
            </w:r>
          </w:p>
        </w:tc>
        <w:tc>
          <w:tcPr>
            <w:tcW w:type="dxa" w:w="1560"/>
          </w:tcPr>
          <w:p>
            <w:pPr>
              <w:spacing w:before="20" w:after="20"/>
              <w:jc w:val="center"/>
            </w:pPr>
            <w:r/>
            <w:r>
              <w:rPr>
                <w:rFonts w:ascii="Arial" w:hAnsi="Arial"/>
                <w:b w:val="0"/>
                <w:i w:val="0"/>
                <w:sz w:val="18"/>
              </w:rPr>
              <w:t>s.8(6)</w:t>
            </w:r>
          </w:p>
        </w:tc>
        <w:tc>
          <w:tcPr>
            <w:tcW w:type="dxa" w:w="2794"/>
          </w:tcPr>
          <w:p>
            <w:pPr>
              <w:spacing w:before="20" w:after="20"/>
            </w:pPr>
            <w:r/>
            <w:r>
              <w:rPr>
                <w:rFonts w:ascii="Arial" w:hAnsi="Arial"/>
                <w:b/>
                <w:i w:val="0"/>
                <w:sz w:val="18"/>
              </w:rPr>
              <w:t>Up to INR 200 crore</w:t>
            </w:r>
          </w:p>
        </w:tc>
      </w:tr>
      <w:tr>
        <w:trPr>
          <w:cantSplit/>
        </w:trPr>
        <w:tc>
          <w:tcPr>
            <w:tcW w:type="dxa" w:w="1235"/>
          </w:tcPr>
          <w:p>
            <w:pPr>
              <w:spacing w:before="20" w:after="20"/>
              <w:jc w:val="center"/>
            </w:pPr>
            <w:r/>
            <w:r>
              <w:rPr>
                <w:rFonts w:ascii="Arial" w:hAnsi="Arial"/>
                <w:b/>
                <w:i w:val="0"/>
                <w:sz w:val="18"/>
              </w:rPr>
              <w:t>Entry 3</w:t>
            </w:r>
          </w:p>
        </w:tc>
        <w:tc>
          <w:tcPr>
            <w:tcW w:type="dxa" w:w="4158"/>
          </w:tcPr>
          <w:p>
            <w:pPr>
              <w:spacing w:before="20" w:after="20"/>
            </w:pPr>
            <w:r/>
            <w:r>
              <w:rPr>
                <w:rFonts w:ascii="Times New Roman" w:hAnsi="Times New Roman"/>
                <w:b w:val="0"/>
                <w:i w:val="0"/>
                <w:sz w:val="17"/>
              </w:rPr>
              <w:t>Breach of additional obligations in relation to children</w:t>
            </w:r>
          </w:p>
        </w:tc>
        <w:tc>
          <w:tcPr>
            <w:tcW w:type="dxa" w:w="1560"/>
          </w:tcPr>
          <w:p>
            <w:pPr>
              <w:spacing w:before="20" w:after="20"/>
              <w:jc w:val="center"/>
            </w:pPr>
            <w:r/>
            <w:r>
              <w:rPr>
                <w:rFonts w:ascii="Arial" w:hAnsi="Arial"/>
                <w:b w:val="0"/>
                <w:i w:val="0"/>
                <w:sz w:val="18"/>
              </w:rPr>
              <w:t>s.9</w:t>
            </w:r>
          </w:p>
        </w:tc>
        <w:tc>
          <w:tcPr>
            <w:tcW w:type="dxa" w:w="2794"/>
          </w:tcPr>
          <w:p>
            <w:pPr>
              <w:spacing w:before="20" w:after="20"/>
            </w:pPr>
            <w:r/>
            <w:r>
              <w:rPr>
                <w:rFonts w:ascii="Arial" w:hAnsi="Arial"/>
                <w:b/>
                <w:i w:val="0"/>
                <w:sz w:val="18"/>
              </w:rPr>
              <w:t>Up to INR 200 crore</w:t>
            </w:r>
          </w:p>
        </w:tc>
      </w:tr>
      <w:tr>
        <w:trPr>
          <w:cantSplit/>
        </w:trPr>
        <w:tc>
          <w:tcPr>
            <w:tcW w:type="dxa" w:w="1235"/>
          </w:tcPr>
          <w:p>
            <w:pPr>
              <w:spacing w:before="20" w:after="20"/>
              <w:jc w:val="center"/>
            </w:pPr>
            <w:r/>
            <w:r>
              <w:rPr>
                <w:rFonts w:ascii="Arial" w:hAnsi="Arial"/>
                <w:b/>
                <w:i w:val="0"/>
                <w:sz w:val="18"/>
              </w:rPr>
              <w:t>Entry 4</w:t>
            </w:r>
          </w:p>
        </w:tc>
        <w:tc>
          <w:tcPr>
            <w:tcW w:type="dxa" w:w="4158"/>
          </w:tcPr>
          <w:p>
            <w:pPr>
              <w:spacing w:before="20" w:after="20"/>
            </w:pPr>
            <w:r/>
            <w:r>
              <w:rPr>
                <w:rFonts w:ascii="Times New Roman" w:hAnsi="Times New Roman"/>
                <w:b w:val="0"/>
                <w:i w:val="0"/>
                <w:sz w:val="17"/>
              </w:rPr>
              <w:t>Breach of additional obligations of a Significant Data Fiduciary</w:t>
            </w:r>
          </w:p>
        </w:tc>
        <w:tc>
          <w:tcPr>
            <w:tcW w:type="dxa" w:w="1560"/>
          </w:tcPr>
          <w:p>
            <w:pPr>
              <w:spacing w:before="20" w:after="20"/>
              <w:jc w:val="center"/>
            </w:pPr>
            <w:r/>
            <w:r>
              <w:rPr>
                <w:rFonts w:ascii="Arial" w:hAnsi="Arial"/>
                <w:b w:val="0"/>
                <w:i w:val="0"/>
                <w:sz w:val="18"/>
              </w:rPr>
              <w:t>s.10</w:t>
            </w:r>
          </w:p>
        </w:tc>
        <w:tc>
          <w:tcPr>
            <w:tcW w:type="dxa" w:w="2794"/>
          </w:tcPr>
          <w:p>
            <w:pPr>
              <w:spacing w:before="20" w:after="20"/>
            </w:pPr>
            <w:r/>
            <w:r>
              <w:rPr>
                <w:rFonts w:ascii="Arial" w:hAnsi="Arial"/>
                <w:b/>
                <w:i w:val="0"/>
                <w:sz w:val="18"/>
              </w:rPr>
              <w:t>Up to INR 150 crore</w:t>
            </w:r>
          </w:p>
        </w:tc>
      </w:tr>
      <w:tr>
        <w:trPr>
          <w:cantSplit/>
        </w:trPr>
        <w:tc>
          <w:tcPr>
            <w:tcW w:type="dxa" w:w="1235"/>
          </w:tcPr>
          <w:p>
            <w:pPr>
              <w:spacing w:before="20" w:after="20"/>
              <w:jc w:val="center"/>
            </w:pPr>
            <w:r/>
            <w:r>
              <w:rPr>
                <w:rFonts w:ascii="Arial" w:hAnsi="Arial"/>
                <w:b/>
                <w:i w:val="0"/>
                <w:sz w:val="18"/>
              </w:rPr>
              <w:t>Entry 5</w:t>
            </w:r>
          </w:p>
        </w:tc>
        <w:tc>
          <w:tcPr>
            <w:tcW w:type="dxa" w:w="4158"/>
          </w:tcPr>
          <w:p>
            <w:pPr>
              <w:spacing w:before="20" w:after="20"/>
            </w:pPr>
            <w:r/>
            <w:r>
              <w:rPr>
                <w:rFonts w:ascii="Times New Roman" w:hAnsi="Times New Roman"/>
                <w:b w:val="0"/>
                <w:i w:val="0"/>
                <w:sz w:val="17"/>
              </w:rPr>
              <w:t>Breach of the duties of a Data Principal</w:t>
            </w:r>
          </w:p>
        </w:tc>
        <w:tc>
          <w:tcPr>
            <w:tcW w:type="dxa" w:w="1560"/>
          </w:tcPr>
          <w:p>
            <w:pPr>
              <w:spacing w:before="20" w:after="20"/>
              <w:jc w:val="center"/>
            </w:pPr>
            <w:r/>
            <w:r>
              <w:rPr>
                <w:rFonts w:ascii="Arial" w:hAnsi="Arial"/>
                <w:b w:val="0"/>
                <w:i w:val="0"/>
                <w:sz w:val="18"/>
              </w:rPr>
              <w:t>s.15</w:t>
            </w:r>
          </w:p>
        </w:tc>
        <w:tc>
          <w:tcPr>
            <w:tcW w:type="dxa" w:w="2794"/>
          </w:tcPr>
          <w:p>
            <w:pPr>
              <w:spacing w:before="20" w:after="20"/>
            </w:pPr>
            <w:r/>
            <w:r>
              <w:rPr>
                <w:rFonts w:ascii="Arial" w:hAnsi="Arial"/>
                <w:b/>
                <w:i w:val="0"/>
                <w:sz w:val="18"/>
              </w:rPr>
              <w:t>Up to INR 10,000</w:t>
            </w:r>
          </w:p>
        </w:tc>
      </w:tr>
      <w:tr>
        <w:trPr>
          <w:cantSplit/>
        </w:trPr>
        <w:tc>
          <w:tcPr>
            <w:tcW w:type="dxa" w:w="1235"/>
          </w:tcPr>
          <w:p>
            <w:pPr>
              <w:spacing w:before="20" w:after="20"/>
              <w:jc w:val="center"/>
            </w:pPr>
            <w:r/>
            <w:r>
              <w:rPr>
                <w:rFonts w:ascii="Arial" w:hAnsi="Arial"/>
                <w:b/>
                <w:i w:val="0"/>
                <w:sz w:val="18"/>
              </w:rPr>
              <w:t>Entry 6</w:t>
            </w:r>
          </w:p>
        </w:tc>
        <w:tc>
          <w:tcPr>
            <w:tcW w:type="dxa" w:w="4158"/>
          </w:tcPr>
          <w:p>
            <w:pPr>
              <w:spacing w:before="20" w:after="20"/>
            </w:pPr>
            <w:r/>
            <w:r>
              <w:rPr>
                <w:rFonts w:ascii="Times New Roman" w:hAnsi="Times New Roman"/>
                <w:b w:val="0"/>
                <w:i w:val="0"/>
                <w:sz w:val="17"/>
              </w:rPr>
              <w:t>Breach of any term of a voluntary undertaking accepted by the Board</w:t>
            </w:r>
          </w:p>
        </w:tc>
        <w:tc>
          <w:tcPr>
            <w:tcW w:type="dxa" w:w="1560"/>
          </w:tcPr>
          <w:p>
            <w:pPr>
              <w:spacing w:before="20" w:after="20"/>
              <w:jc w:val="center"/>
            </w:pPr>
            <w:r/>
            <w:r>
              <w:rPr>
                <w:rFonts w:ascii="Arial" w:hAnsi="Arial"/>
                <w:b w:val="0"/>
                <w:i w:val="0"/>
                <w:sz w:val="18"/>
              </w:rPr>
              <w:t>s.32</w:t>
            </w:r>
          </w:p>
        </w:tc>
        <w:tc>
          <w:tcPr>
            <w:tcW w:type="dxa" w:w="2794"/>
          </w:tcPr>
          <w:p>
            <w:pPr>
              <w:spacing w:before="20" w:after="20"/>
            </w:pPr>
            <w:r/>
            <w:r>
              <w:rPr>
                <w:rFonts w:ascii="Arial" w:hAnsi="Arial"/>
                <w:b/>
                <w:i w:val="0"/>
                <w:sz w:val="18"/>
              </w:rPr>
              <w:t>Up to the extent applicable for the breach in respect of which proceedings were instituted</w:t>
            </w:r>
          </w:p>
        </w:tc>
      </w:tr>
      <w:tr>
        <w:trPr>
          <w:cantSplit/>
        </w:trPr>
        <w:tc>
          <w:tcPr>
            <w:tcW w:type="dxa" w:w="1235"/>
          </w:tcPr>
          <w:p>
            <w:pPr>
              <w:spacing w:before="20" w:after="20"/>
              <w:jc w:val="center"/>
            </w:pPr>
            <w:r/>
            <w:r>
              <w:rPr>
                <w:rFonts w:ascii="Arial" w:hAnsi="Arial"/>
                <w:b/>
                <w:i w:val="0"/>
                <w:sz w:val="18"/>
              </w:rPr>
              <w:t>Entry 7</w:t>
            </w:r>
          </w:p>
        </w:tc>
        <w:tc>
          <w:tcPr>
            <w:tcW w:type="dxa" w:w="4158"/>
          </w:tcPr>
          <w:p>
            <w:pPr>
              <w:spacing w:before="20" w:after="20"/>
            </w:pPr>
            <w:r/>
            <w:r>
              <w:rPr>
                <w:rFonts w:ascii="Times New Roman" w:hAnsi="Times New Roman"/>
                <w:b w:val="0"/>
                <w:i w:val="0"/>
                <w:sz w:val="17"/>
              </w:rPr>
              <w:t>Breach of any other provision of the Act or rules made thereunder (residuary)</w:t>
            </w:r>
          </w:p>
        </w:tc>
        <w:tc>
          <w:tcPr>
            <w:tcW w:type="dxa" w:w="1560"/>
          </w:tcPr>
          <w:p>
            <w:pPr>
              <w:spacing w:before="20" w:after="20"/>
              <w:jc w:val="center"/>
            </w:pPr>
            <w:r/>
            <w:r>
              <w:rPr>
                <w:rFonts w:ascii="Arial" w:hAnsi="Arial"/>
                <w:b w:val="0"/>
                <w:i w:val="0"/>
                <w:sz w:val="18"/>
              </w:rPr>
              <w:t>residuary</w:t>
            </w:r>
          </w:p>
        </w:tc>
        <w:tc>
          <w:tcPr>
            <w:tcW w:type="dxa" w:w="2794"/>
          </w:tcPr>
          <w:p>
            <w:pPr>
              <w:spacing w:before="20" w:after="20"/>
            </w:pPr>
            <w:r/>
            <w:r>
              <w:rPr>
                <w:rFonts w:ascii="Arial" w:hAnsi="Arial"/>
                <w:b/>
                <w:i w:val="0"/>
                <w:sz w:val="18"/>
              </w:rPr>
              <w:t>Up to INR 50 crore</w:t>
            </w:r>
          </w:p>
        </w:tc>
      </w:tr>
    </w:tbl>
    <w:p>
      <w:pPr>
        <w:spacing w:before="120" w:after="120"/>
        <w:jc w:val="both"/>
      </w:pPr>
      <w:r>
        <w:rPr>
          <w:rFonts w:ascii="Times New Roman" w:hAnsi="Times New Roman"/>
          <w:b w:val="0"/>
          <w:i/>
          <w:color w:val="44546A"/>
          <w:sz w:val="18"/>
        </w:rPr>
        <w:t>Section 33(2) requires the Board, when determining quantum, to have regard to factors including the nature, gravity and duration of the breach, the type and nature of the personal data affected, repetitive nature of the breach, whether any gain was realised or loss avoided, mitigating action taken and its timeliness and effectiveness, proportionality and effectiveness of the penalty, and the likely impact of the penalty on the person. Auditors should note that documented, timely mitigation is an express mitigating factor — which is itself an argument for maintaining the evidence this toolkit collects.</w:t>
      </w:r>
    </w:p>
    <w:p>
      <w:pPr>
        <w:pStyle w:val="Heading1"/>
        <w:keepNext/>
        <w:spacing w:before="280" w:after="120"/>
      </w:pPr>
      <w:r>
        <w:rPr>
          <w:rFonts w:ascii="Arial" w:hAnsi="Arial"/>
          <w:b/>
          <w:color w:val="1F3552"/>
          <w:sz w:val="32"/>
        </w:rPr>
        <w:t>Appendix C — Control inventory and scores</w:t>
      </w:r>
    </w:p>
    <w:p>
      <w:pPr>
        <w:spacing w:before="0" w:after="120"/>
        <w:jc w:val="both"/>
      </w:pPr>
      <w:r>
        <w:rPr>
          <w:rFonts w:ascii="Times New Roman" w:hAnsi="Times New Roman"/>
          <w:b w:val="0"/>
          <w:i w:val="0"/>
          <w:sz w:val="21"/>
        </w:rPr>
        <w:t>All 90 controls in library v1.0.0, with the score awarded. Provided so that the reader can see the whole population, including the controls that raised no finding.</w:t>
      </w:r>
    </w:p>
    <w:tbl>
      <w:tblPr>
        <w:tblStyle w:val="TableGrid"/>
        <w:tblW w:w="9746" w:type="dxa"/>
        <w:jc w:val="center"/>
        <w:tblLayout w:type="fixed"/>
        <w:tblLook w:firstColumn="1" w:firstRow="1" w:lastColumn="0" w:lastRow="0" w:noHBand="0" w:noVBand="1" w:val="04A0"/>
      </w:tblPr>
      <w:tblGrid>
        <w:gridCol w:w="1294"/>
        <w:gridCol w:w="3748"/>
        <w:gridCol w:w="1294"/>
        <w:gridCol w:w="886"/>
        <w:gridCol w:w="1567"/>
        <w:gridCol w:w="954"/>
      </w:tblGrid>
      <w:tr>
        <w:trPr>
          <w:tblHeader w:val="true"/>
        </w:trPr>
        <w:tc>
          <w:tcPr>
            <w:tcW w:type="dxa" w:w="1295"/>
            <w:shd w:val="clear" w:color="auto" w:fill="1F3552"/>
          </w:tcPr>
          <w:p>
            <w:pPr>
              <w:spacing w:before="20" w:after="20"/>
              <w:jc w:val="center"/>
            </w:pPr>
            <w:r/>
            <w:r>
              <w:rPr>
                <w:rFonts w:ascii="Arial" w:hAnsi="Arial"/>
                <w:b/>
                <w:i w:val="0"/>
                <w:color w:val="FFFFFF"/>
                <w:sz w:val="18"/>
              </w:rPr>
              <w:t>Control</w:t>
            </w:r>
          </w:p>
        </w:tc>
        <w:tc>
          <w:tcPr>
            <w:tcW w:type="dxa" w:w="3749"/>
            <w:shd w:val="clear" w:color="auto" w:fill="1F3552"/>
          </w:tcPr>
          <w:p>
            <w:pPr>
              <w:spacing w:before="20" w:after="20"/>
              <w:jc w:val="center"/>
            </w:pPr>
            <w:r/>
            <w:r>
              <w:rPr>
                <w:rFonts w:ascii="Arial" w:hAnsi="Arial"/>
                <w:b/>
                <w:i w:val="0"/>
                <w:color w:val="FFFFFF"/>
                <w:sz w:val="18"/>
              </w:rPr>
              <w:t>Title</w:t>
            </w:r>
          </w:p>
        </w:tc>
        <w:tc>
          <w:tcPr>
            <w:tcW w:type="dxa" w:w="1295"/>
            <w:shd w:val="clear" w:color="auto" w:fill="1F3552"/>
          </w:tcPr>
          <w:p>
            <w:pPr>
              <w:spacing w:before="20" w:after="20"/>
              <w:jc w:val="center"/>
            </w:pPr>
            <w:r/>
            <w:r>
              <w:rPr>
                <w:rFonts w:ascii="Arial" w:hAnsi="Arial"/>
                <w:b/>
                <w:i w:val="0"/>
                <w:color w:val="FFFFFF"/>
                <w:sz w:val="18"/>
              </w:rPr>
              <w:t>Sev</w:t>
            </w:r>
          </w:p>
        </w:tc>
        <w:tc>
          <w:tcPr>
            <w:tcW w:type="dxa" w:w="886"/>
            <w:shd w:val="clear" w:color="auto" w:fill="1F3552"/>
          </w:tcPr>
          <w:p>
            <w:pPr>
              <w:spacing w:before="20" w:after="20"/>
              <w:jc w:val="center"/>
            </w:pPr>
            <w:r/>
            <w:r>
              <w:rPr>
                <w:rFonts w:ascii="Arial" w:hAnsi="Arial"/>
                <w:b/>
                <w:i w:val="0"/>
                <w:color w:val="FFFFFF"/>
                <w:sz w:val="18"/>
              </w:rPr>
              <w:t>Score</w:t>
            </w:r>
          </w:p>
        </w:tc>
        <w:tc>
          <w:tcPr>
            <w:tcW w:type="dxa" w:w="1568"/>
            <w:shd w:val="clear" w:color="auto" w:fill="1F3552"/>
          </w:tcPr>
          <w:p>
            <w:pPr>
              <w:spacing w:before="20" w:after="20"/>
              <w:jc w:val="center"/>
            </w:pPr>
            <w:r/>
            <w:r>
              <w:rPr>
                <w:rFonts w:ascii="Arial" w:hAnsi="Arial"/>
                <w:b/>
                <w:i w:val="0"/>
                <w:color w:val="FFFFFF"/>
                <w:sz w:val="18"/>
              </w:rPr>
              <w:t>Status</w:t>
            </w:r>
          </w:p>
        </w:tc>
        <w:tc>
          <w:tcPr>
            <w:tcW w:type="dxa" w:w="954"/>
            <w:shd w:val="clear" w:color="auto" w:fill="1F3552"/>
          </w:tcPr>
          <w:p>
            <w:pPr>
              <w:spacing w:before="20" w:after="20"/>
              <w:jc w:val="center"/>
            </w:pPr>
            <w:r/>
            <w:r>
              <w:rPr>
                <w:rFonts w:ascii="Arial" w:hAnsi="Arial"/>
                <w:b/>
                <w:i w:val="0"/>
                <w:color w:val="FFFFFF"/>
                <w:sz w:val="18"/>
              </w:rPr>
              <w:t>Risk</w:t>
            </w:r>
          </w:p>
        </w:tc>
      </w:tr>
      <w:tr>
        <w:trPr>
          <w:cantSplit/>
        </w:trPr>
        <w:tc>
          <w:tcPr>
            <w:tcW w:type="dxa" w:w="5044"/>
            <w:gridSpan w:val="2"/>
            <w:shd w:val="clear" w:color="auto" w:fill="EEF2F7"/>
          </w:tcPr>
          <w:p>
            <w:pPr>
              <w:spacing w:before="20" w:after="20"/>
            </w:pPr>
            <w:r/>
            <w:r>
              <w:rPr>
                <w:rFonts w:ascii="Arial" w:hAnsi="Arial"/>
                <w:b/>
                <w:i w:val="0"/>
                <w:sz w:val="18"/>
              </w:rPr>
              <w:t>APP — Applicability &amp; Role Determination</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50.7% — Developing</w:t>
            </w:r>
          </w:p>
        </w:tc>
      </w:tr>
      <w:tr>
        <w:trPr>
          <w:cantSplit/>
        </w:trPr>
        <w:tc>
          <w:tcPr>
            <w:tcW w:type="dxa" w:w="1295"/>
          </w:tcPr>
          <w:p>
            <w:pPr>
              <w:spacing w:before="20" w:after="20"/>
              <w:jc w:val="center"/>
            </w:pPr>
            <w:r/>
            <w:r>
              <w:rPr>
                <w:rFonts w:ascii="Arial" w:hAnsi="Arial"/>
                <w:b w:val="0"/>
                <w:i w:val="0"/>
                <w:sz w:val="17"/>
              </w:rPr>
              <w:t>APP-01</w:t>
            </w:r>
          </w:p>
        </w:tc>
        <w:tc>
          <w:tcPr>
            <w:tcW w:type="dxa" w:w="3749"/>
          </w:tcPr>
          <w:p>
            <w:pPr>
              <w:spacing w:before="20" w:after="20"/>
            </w:pPr>
            <w:r/>
            <w:r>
              <w:rPr>
                <w:rFonts w:ascii="Times New Roman" w:hAnsi="Times New Roman"/>
                <w:b w:val="0"/>
                <w:i w:val="0"/>
                <w:sz w:val="17"/>
              </w:rPr>
              <w:t>Territorial and material applicability assessed</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APP-02</w:t>
            </w:r>
          </w:p>
        </w:tc>
        <w:tc>
          <w:tcPr>
            <w:tcW w:type="dxa" w:w="3749"/>
          </w:tcPr>
          <w:p>
            <w:pPr>
              <w:spacing w:before="20" w:after="20"/>
            </w:pPr>
            <w:r/>
            <w:r>
              <w:rPr>
                <w:rFonts w:ascii="Times New Roman" w:hAnsi="Times New Roman"/>
                <w:b w:val="0"/>
                <w:i w:val="0"/>
                <w:sz w:val="17"/>
              </w:rPr>
              <w:t>Role determination — Data Fiduciary versus Data Processor</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APP-03</w:t>
            </w:r>
          </w:p>
        </w:tc>
        <w:tc>
          <w:tcPr>
            <w:tcW w:type="dxa" w:w="3749"/>
          </w:tcPr>
          <w:p>
            <w:pPr>
              <w:spacing w:before="20" w:after="20"/>
            </w:pPr>
            <w:r/>
            <w:r>
              <w:rPr>
                <w:rFonts w:ascii="Times New Roman" w:hAnsi="Times New Roman"/>
                <w:b w:val="0"/>
                <w:i w:val="0"/>
                <w:sz w:val="17"/>
              </w:rPr>
              <w:t>Exemptions claimed are valid and evidenced</w:t>
            </w:r>
          </w:p>
        </w:tc>
        <w:tc>
          <w:tcPr>
            <w:tcW w:type="dxa" w:w="1295"/>
          </w:tcPr>
          <w:p>
            <w:pPr>
              <w:spacing w:before="20" w:after="20"/>
              <w:jc w:val="center"/>
            </w:pPr>
            <w:r/>
            <w:r>
              <w:rPr>
                <w:rFonts w:ascii="Arial" w:hAnsi="Arial"/>
                <w:b w:val="0"/>
                <w:i w:val="0"/>
                <w:sz w:val="16"/>
              </w:rPr>
              <w:t>High</w:t>
            </w:r>
          </w:p>
        </w:tc>
        <w:tc>
          <w:tcPr>
            <w:tcW w:type="dxa" w:w="886"/>
            <w:shd w:val="clear" w:color="auto" w:fill="EDEDED"/>
          </w:tcPr>
          <w:p>
            <w:pPr>
              <w:spacing w:before="20" w:after="20"/>
              <w:jc w:val="center"/>
            </w:pPr>
            <w:r/>
            <w:r>
              <w:rPr>
                <w:rFonts w:ascii="Arial" w:hAnsi="Arial"/>
                <w:b/>
                <w:i w:val="0"/>
                <w:sz w:val="18"/>
              </w:rPr>
              <w:t>—</w:t>
            </w:r>
          </w:p>
        </w:tc>
        <w:tc>
          <w:tcPr>
            <w:tcW w:type="dxa" w:w="1568"/>
          </w:tcPr>
          <w:p>
            <w:pPr>
              <w:spacing w:before="20" w:after="20"/>
              <w:jc w:val="center"/>
            </w:pPr>
            <w:r/>
            <w:r>
              <w:rPr>
                <w:rFonts w:ascii="Arial" w:hAnsi="Arial"/>
                <w:b w:val="0"/>
                <w:i w:val="0"/>
                <w:sz w:val="16"/>
              </w:rPr>
              <w:t>Out of scope</w:t>
            </w:r>
          </w:p>
        </w:tc>
        <w:tc>
          <w:tcPr>
            <w:tcW w:type="dxa" w:w="954"/>
          </w:tcPr>
          <w:p>
            <w:pPr>
              <w:spacing w:before="20" w:after="20"/>
              <w:jc w:val="center"/>
            </w:pPr>
            <w:r/>
            <w:r>
              <w:rPr>
                <w:rFonts w:ascii="Arial" w:hAnsi="Arial"/>
                <w:b w:val="0"/>
                <w:i w:val="0"/>
                <w:sz w:val="17"/>
              </w:rPr>
              <w:t>—</w:t>
            </w:r>
          </w:p>
        </w:tc>
      </w:tr>
      <w:tr>
        <w:trPr>
          <w:cantSplit/>
        </w:trPr>
        <w:tc>
          <w:tcPr>
            <w:tcW w:type="dxa" w:w="1295"/>
          </w:tcPr>
          <w:p>
            <w:pPr>
              <w:spacing w:before="20" w:after="20"/>
              <w:jc w:val="center"/>
            </w:pPr>
            <w:r/>
            <w:r>
              <w:rPr>
                <w:rFonts w:ascii="Arial" w:hAnsi="Arial"/>
                <w:b w:val="0"/>
                <w:i w:val="0"/>
                <w:sz w:val="17"/>
              </w:rPr>
              <w:t>APP-04</w:t>
            </w:r>
          </w:p>
        </w:tc>
        <w:tc>
          <w:tcPr>
            <w:tcW w:type="dxa" w:w="3749"/>
          </w:tcPr>
          <w:p>
            <w:pPr>
              <w:spacing w:before="20" w:after="20"/>
            </w:pPr>
            <w:r/>
            <w:r>
              <w:rPr>
                <w:rFonts w:ascii="Times New Roman" w:hAnsi="Times New Roman"/>
                <w:b w:val="0"/>
                <w:i w:val="0"/>
                <w:sz w:val="17"/>
              </w:rPr>
              <w:t>Significant Data Fiduciary exposure assessed</w:t>
            </w:r>
          </w:p>
        </w:tc>
        <w:tc>
          <w:tcPr>
            <w:tcW w:type="dxa" w:w="1295"/>
          </w:tcPr>
          <w:p>
            <w:pPr>
              <w:spacing w:before="20" w:after="20"/>
              <w:jc w:val="center"/>
            </w:pPr>
            <w:r/>
            <w:r>
              <w:rPr>
                <w:rFonts w:ascii="Arial" w:hAnsi="Arial"/>
                <w:b w:val="0"/>
                <w:i w:val="0"/>
                <w:sz w:val="16"/>
              </w:rPr>
              <w:t>Medium</w:t>
            </w:r>
          </w:p>
        </w:tc>
        <w:tc>
          <w:tcPr>
            <w:tcW w:type="dxa" w:w="886"/>
            <w:shd w:val="clear" w:color="auto" w:fill="EDEDED"/>
          </w:tcPr>
          <w:p>
            <w:pPr>
              <w:spacing w:before="20" w:after="20"/>
              <w:jc w:val="center"/>
            </w:pPr>
            <w:r/>
            <w:r>
              <w:rPr>
                <w:rFonts w:ascii="Arial" w:hAnsi="Arial"/>
                <w:b/>
                <w:i w:val="0"/>
                <w:sz w:val="18"/>
              </w:rPr>
              <w:t>—</w:t>
            </w:r>
          </w:p>
        </w:tc>
        <w:tc>
          <w:tcPr>
            <w:tcW w:type="dxa" w:w="1568"/>
          </w:tcPr>
          <w:p>
            <w:pPr>
              <w:spacing w:before="20" w:after="20"/>
              <w:jc w:val="center"/>
            </w:pPr>
            <w:r/>
            <w:r>
              <w:rPr>
                <w:rFonts w:ascii="Arial" w:hAnsi="Arial"/>
                <w:b w:val="0"/>
                <w:i w:val="0"/>
                <w:sz w:val="16"/>
              </w:rPr>
              <w:t>Out of scope</w:t>
            </w:r>
          </w:p>
        </w:tc>
        <w:tc>
          <w:tcPr>
            <w:tcW w:type="dxa" w:w="954"/>
          </w:tcPr>
          <w:p>
            <w:pPr>
              <w:spacing w:before="20" w:after="20"/>
              <w:jc w:val="center"/>
            </w:pPr>
            <w:r/>
            <w:r>
              <w:rPr>
                <w:rFonts w:ascii="Arial" w:hAnsi="Arial"/>
                <w:b w:val="0"/>
                <w:i w:val="0"/>
                <w:sz w:val="17"/>
              </w:rPr>
              <w:t>—</w:t>
            </w:r>
          </w:p>
        </w:tc>
      </w:tr>
      <w:tr>
        <w:trPr>
          <w:cantSplit/>
        </w:trPr>
        <w:tc>
          <w:tcPr>
            <w:tcW w:type="dxa" w:w="1295"/>
          </w:tcPr>
          <w:p>
            <w:pPr>
              <w:spacing w:before="20" w:after="20"/>
              <w:jc w:val="center"/>
            </w:pPr>
            <w:r/>
            <w:r>
              <w:rPr>
                <w:rFonts w:ascii="Arial" w:hAnsi="Arial"/>
                <w:b w:val="0"/>
                <w:i w:val="0"/>
                <w:sz w:val="17"/>
              </w:rPr>
              <w:t>APP-05</w:t>
            </w:r>
          </w:p>
        </w:tc>
        <w:tc>
          <w:tcPr>
            <w:tcW w:type="dxa" w:w="3749"/>
          </w:tcPr>
          <w:p>
            <w:pPr>
              <w:spacing w:before="20" w:after="20"/>
            </w:pPr>
            <w:r/>
            <w:r>
              <w:rPr>
                <w:rFonts w:ascii="Times New Roman" w:hAnsi="Times New Roman"/>
                <w:b w:val="0"/>
                <w:i w:val="0"/>
                <w:sz w:val="17"/>
              </w:rPr>
              <w:t>Commencement and phasing tracked against the compliance plan</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5044"/>
            <w:gridSpan w:val="2"/>
            <w:shd w:val="clear" w:color="auto" w:fill="EEF2F7"/>
          </w:tcPr>
          <w:p>
            <w:pPr>
              <w:spacing w:before="20" w:after="20"/>
            </w:pPr>
            <w:r/>
            <w:r>
              <w:rPr>
                <w:rFonts w:ascii="Arial" w:hAnsi="Arial"/>
                <w:b/>
                <w:i w:val="0"/>
                <w:sz w:val="18"/>
              </w:rPr>
              <w:t>GOV — Governance, Accountability &amp; Records</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52.6% — Developing</w:t>
            </w:r>
          </w:p>
        </w:tc>
      </w:tr>
      <w:tr>
        <w:trPr>
          <w:cantSplit/>
        </w:trPr>
        <w:tc>
          <w:tcPr>
            <w:tcW w:type="dxa" w:w="1295"/>
          </w:tcPr>
          <w:p>
            <w:pPr>
              <w:spacing w:before="20" w:after="20"/>
              <w:jc w:val="center"/>
            </w:pPr>
            <w:r/>
            <w:r>
              <w:rPr>
                <w:rFonts w:ascii="Arial" w:hAnsi="Arial"/>
                <w:b w:val="0"/>
                <w:i w:val="0"/>
                <w:sz w:val="17"/>
              </w:rPr>
              <w:t>GOV-01</w:t>
            </w:r>
          </w:p>
        </w:tc>
        <w:tc>
          <w:tcPr>
            <w:tcW w:type="dxa" w:w="3749"/>
          </w:tcPr>
          <w:p>
            <w:pPr>
              <w:spacing w:before="20" w:after="20"/>
            </w:pPr>
            <w:r/>
            <w:r>
              <w:rPr>
                <w:rFonts w:ascii="Times New Roman" w:hAnsi="Times New Roman"/>
                <w:b w:val="0"/>
                <w:i w:val="0"/>
                <w:sz w:val="17"/>
              </w:rPr>
              <w:t>Accountability for compliance, including processor activity</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GOV-02</w:t>
            </w:r>
          </w:p>
        </w:tc>
        <w:tc>
          <w:tcPr>
            <w:tcW w:type="dxa" w:w="3749"/>
          </w:tcPr>
          <w:p>
            <w:pPr>
              <w:spacing w:before="20" w:after="20"/>
            </w:pPr>
            <w:r/>
            <w:r>
              <w:rPr>
                <w:rFonts w:ascii="Times New Roman" w:hAnsi="Times New Roman"/>
                <w:b w:val="0"/>
                <w:i w:val="0"/>
                <w:sz w:val="17"/>
              </w:rPr>
              <w:t>Record of processing activities maintained</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GOV-03</w:t>
            </w:r>
          </w:p>
        </w:tc>
        <w:tc>
          <w:tcPr>
            <w:tcW w:type="dxa" w:w="3749"/>
          </w:tcPr>
          <w:p>
            <w:pPr>
              <w:spacing w:before="20" w:after="20"/>
            </w:pPr>
            <w:r/>
            <w:r>
              <w:rPr>
                <w:rFonts w:ascii="Times New Roman" w:hAnsi="Times New Roman"/>
                <w:b w:val="0"/>
                <w:i w:val="0"/>
                <w:sz w:val="17"/>
              </w:rPr>
              <w:t>Publication of DPO or contact person details</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GOV-04</w:t>
            </w:r>
          </w:p>
        </w:tc>
        <w:tc>
          <w:tcPr>
            <w:tcW w:type="dxa" w:w="3749"/>
          </w:tcPr>
          <w:p>
            <w:pPr>
              <w:spacing w:before="20" w:after="20"/>
            </w:pPr>
            <w:r/>
            <w:r>
              <w:rPr>
                <w:rFonts w:ascii="Times New Roman" w:hAnsi="Times New Roman"/>
                <w:b w:val="0"/>
                <w:i w:val="0"/>
                <w:sz w:val="17"/>
              </w:rPr>
              <w:t>Board and senior management oversight</w:t>
            </w:r>
          </w:p>
        </w:tc>
        <w:tc>
          <w:tcPr>
            <w:tcW w:type="dxa" w:w="1295"/>
          </w:tcPr>
          <w:p>
            <w:pPr>
              <w:spacing w:before="20" w:after="20"/>
              <w:jc w:val="center"/>
            </w:pPr>
            <w:r/>
            <w:r>
              <w:rPr>
                <w:rFonts w:ascii="Arial" w:hAnsi="Arial"/>
                <w:b w:val="0"/>
                <w:i w:val="0"/>
                <w:sz w:val="16"/>
              </w:rPr>
              <w:t>Medium</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GOV-05</w:t>
            </w:r>
          </w:p>
        </w:tc>
        <w:tc>
          <w:tcPr>
            <w:tcW w:type="dxa" w:w="3749"/>
          </w:tcPr>
          <w:p>
            <w:pPr>
              <w:spacing w:before="20" w:after="20"/>
            </w:pPr>
            <w:r/>
            <w:r>
              <w:rPr>
                <w:rFonts w:ascii="Times New Roman" w:hAnsi="Times New Roman"/>
                <w:b w:val="0"/>
                <w:i w:val="0"/>
                <w:sz w:val="17"/>
              </w:rPr>
              <w:t>Policies, standards and internal procedures</w:t>
            </w:r>
          </w:p>
        </w:tc>
        <w:tc>
          <w:tcPr>
            <w:tcW w:type="dxa" w:w="1295"/>
          </w:tcPr>
          <w:p>
            <w:pPr>
              <w:spacing w:before="20" w:after="20"/>
              <w:jc w:val="center"/>
            </w:pPr>
            <w:r/>
            <w:r>
              <w:rPr>
                <w:rFonts w:ascii="Arial" w:hAnsi="Arial"/>
                <w:b w:val="0"/>
                <w:i w:val="0"/>
                <w:sz w:val="16"/>
              </w:rPr>
              <w:t>Medium</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2</w:t>
            </w:r>
          </w:p>
        </w:tc>
      </w:tr>
      <w:tr>
        <w:trPr>
          <w:cantSplit/>
        </w:trPr>
        <w:tc>
          <w:tcPr>
            <w:tcW w:type="dxa" w:w="1295"/>
          </w:tcPr>
          <w:p>
            <w:pPr>
              <w:spacing w:before="20" w:after="20"/>
              <w:jc w:val="center"/>
            </w:pPr>
            <w:r/>
            <w:r>
              <w:rPr>
                <w:rFonts w:ascii="Arial" w:hAnsi="Arial"/>
                <w:b w:val="0"/>
                <w:i w:val="0"/>
                <w:sz w:val="17"/>
              </w:rPr>
              <w:t>GOV-06</w:t>
            </w:r>
          </w:p>
        </w:tc>
        <w:tc>
          <w:tcPr>
            <w:tcW w:type="dxa" w:w="3749"/>
          </w:tcPr>
          <w:p>
            <w:pPr>
              <w:spacing w:before="20" w:after="20"/>
            </w:pPr>
            <w:r/>
            <w:r>
              <w:rPr>
                <w:rFonts w:ascii="Times New Roman" w:hAnsi="Times New Roman"/>
                <w:b w:val="0"/>
                <w:i w:val="0"/>
                <w:sz w:val="17"/>
              </w:rPr>
              <w:t>Training and awareness</w:t>
            </w:r>
          </w:p>
        </w:tc>
        <w:tc>
          <w:tcPr>
            <w:tcW w:type="dxa" w:w="1295"/>
          </w:tcPr>
          <w:p>
            <w:pPr>
              <w:spacing w:before="20" w:after="20"/>
              <w:jc w:val="center"/>
            </w:pPr>
            <w:r/>
            <w:r>
              <w:rPr>
                <w:rFonts w:ascii="Arial" w:hAnsi="Arial"/>
                <w:b w:val="0"/>
                <w:i w:val="0"/>
                <w:sz w:val="16"/>
              </w:rPr>
              <w:t>Medium</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GOV-07</w:t>
            </w:r>
          </w:p>
        </w:tc>
        <w:tc>
          <w:tcPr>
            <w:tcW w:type="dxa" w:w="3749"/>
          </w:tcPr>
          <w:p>
            <w:pPr>
              <w:spacing w:before="20" w:after="20"/>
            </w:pPr>
            <w:r/>
            <w:r>
              <w:rPr>
                <w:rFonts w:ascii="Times New Roman" w:hAnsi="Times New Roman"/>
                <w:b w:val="0"/>
                <w:i w:val="0"/>
                <w:sz w:val="17"/>
              </w:rPr>
              <w:t>Evidence retention for demonstrating compliance</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5044"/>
            <w:gridSpan w:val="2"/>
            <w:shd w:val="clear" w:color="auto" w:fill="EEF2F7"/>
          </w:tcPr>
          <w:p>
            <w:pPr>
              <w:spacing w:before="20" w:after="20"/>
            </w:pPr>
            <w:r/>
            <w:r>
              <w:rPr>
                <w:rFonts w:ascii="Arial" w:hAnsi="Arial"/>
                <w:b/>
                <w:i w:val="0"/>
                <w:sz w:val="18"/>
              </w:rPr>
              <w:t>PUR — Lawful Purpose, Minimisation &amp; Accuracy</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49.6% — Developing</w:t>
            </w:r>
          </w:p>
        </w:tc>
      </w:tr>
      <w:tr>
        <w:trPr>
          <w:cantSplit/>
        </w:trPr>
        <w:tc>
          <w:tcPr>
            <w:tcW w:type="dxa" w:w="1295"/>
          </w:tcPr>
          <w:p>
            <w:pPr>
              <w:spacing w:before="20" w:after="20"/>
              <w:jc w:val="center"/>
            </w:pPr>
            <w:r/>
            <w:r>
              <w:rPr>
                <w:rFonts w:ascii="Arial" w:hAnsi="Arial"/>
                <w:b w:val="0"/>
                <w:i w:val="0"/>
                <w:sz w:val="17"/>
              </w:rPr>
              <w:t>PUR-01</w:t>
            </w:r>
          </w:p>
        </w:tc>
        <w:tc>
          <w:tcPr>
            <w:tcW w:type="dxa" w:w="3749"/>
          </w:tcPr>
          <w:p>
            <w:pPr>
              <w:spacing w:before="20" w:after="20"/>
            </w:pPr>
            <w:r/>
            <w:r>
              <w:rPr>
                <w:rFonts w:ascii="Times New Roman" w:hAnsi="Times New Roman"/>
                <w:b w:val="0"/>
                <w:i w:val="0"/>
                <w:sz w:val="17"/>
              </w:rPr>
              <w:t>Every processing activity has an identified lawful basis</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PUR-02</w:t>
            </w:r>
          </w:p>
        </w:tc>
        <w:tc>
          <w:tcPr>
            <w:tcW w:type="dxa" w:w="3749"/>
          </w:tcPr>
          <w:p>
            <w:pPr>
              <w:spacing w:before="20" w:after="20"/>
            </w:pPr>
            <w:r/>
            <w:r>
              <w:rPr>
                <w:rFonts w:ascii="Times New Roman" w:hAnsi="Times New Roman"/>
                <w:b w:val="0"/>
                <w:i w:val="0"/>
                <w:sz w:val="17"/>
              </w:rPr>
              <w:t>Data minimisation — collection limited to what is necessary</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PUR-03</w:t>
            </w:r>
          </w:p>
        </w:tc>
        <w:tc>
          <w:tcPr>
            <w:tcW w:type="dxa" w:w="3749"/>
          </w:tcPr>
          <w:p>
            <w:pPr>
              <w:spacing w:before="20" w:after="20"/>
            </w:pPr>
            <w:r/>
            <w:r>
              <w:rPr>
                <w:rFonts w:ascii="Times New Roman" w:hAnsi="Times New Roman"/>
                <w:b w:val="0"/>
                <w:i w:val="0"/>
                <w:sz w:val="17"/>
              </w:rPr>
              <w:t>Purpose limitation — no undisclosed secondary use</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1295"/>
          </w:tcPr>
          <w:p>
            <w:pPr>
              <w:spacing w:before="20" w:after="20"/>
              <w:jc w:val="center"/>
            </w:pPr>
            <w:r/>
            <w:r>
              <w:rPr>
                <w:rFonts w:ascii="Arial" w:hAnsi="Arial"/>
                <w:b w:val="0"/>
                <w:i w:val="0"/>
                <w:sz w:val="17"/>
              </w:rPr>
              <w:t>PUR-04</w:t>
            </w:r>
          </w:p>
        </w:tc>
        <w:tc>
          <w:tcPr>
            <w:tcW w:type="dxa" w:w="3749"/>
          </w:tcPr>
          <w:p>
            <w:pPr>
              <w:spacing w:before="20" w:after="20"/>
            </w:pPr>
            <w:r/>
            <w:r>
              <w:rPr>
                <w:rFonts w:ascii="Times New Roman" w:hAnsi="Times New Roman"/>
                <w:b w:val="0"/>
                <w:i w:val="0"/>
                <w:sz w:val="17"/>
              </w:rPr>
              <w:t>Accuracy and completeness where data drives decisions or is shared</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PUR-05</w:t>
            </w:r>
          </w:p>
        </w:tc>
        <w:tc>
          <w:tcPr>
            <w:tcW w:type="dxa" w:w="3749"/>
          </w:tcPr>
          <w:p>
            <w:pPr>
              <w:spacing w:before="20" w:after="20"/>
            </w:pPr>
            <w:r/>
            <w:r>
              <w:rPr>
                <w:rFonts w:ascii="Times New Roman" w:hAnsi="Times New Roman"/>
                <w:b w:val="0"/>
                <w:i w:val="0"/>
                <w:sz w:val="17"/>
              </w:rPr>
              <w:t>Privacy considered at design stage for new processing</w:t>
            </w:r>
          </w:p>
        </w:tc>
        <w:tc>
          <w:tcPr>
            <w:tcW w:type="dxa" w:w="1295"/>
          </w:tcPr>
          <w:p>
            <w:pPr>
              <w:spacing w:before="20" w:after="20"/>
              <w:jc w:val="center"/>
            </w:pPr>
            <w:r/>
            <w:r>
              <w:rPr>
                <w:rFonts w:ascii="Arial" w:hAnsi="Arial"/>
                <w:b w:val="0"/>
                <w:i w:val="0"/>
                <w:sz w:val="16"/>
              </w:rPr>
              <w:t>Medium</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4</w:t>
            </w:r>
          </w:p>
        </w:tc>
      </w:tr>
      <w:tr>
        <w:trPr>
          <w:cantSplit/>
        </w:trPr>
        <w:tc>
          <w:tcPr>
            <w:tcW w:type="dxa" w:w="5044"/>
            <w:gridSpan w:val="2"/>
            <w:shd w:val="clear" w:color="auto" w:fill="EEF2F7"/>
          </w:tcPr>
          <w:p>
            <w:pPr>
              <w:spacing w:before="20" w:after="20"/>
            </w:pPr>
            <w:r/>
            <w:r>
              <w:rPr>
                <w:rFonts w:ascii="Arial" w:hAnsi="Arial"/>
                <w:b/>
                <w:i w:val="0"/>
                <w:sz w:val="18"/>
              </w:rPr>
              <w:t>NOT — Notice</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36.4% — Initial</w:t>
            </w:r>
          </w:p>
        </w:tc>
      </w:tr>
      <w:tr>
        <w:trPr>
          <w:cantSplit/>
        </w:trPr>
        <w:tc>
          <w:tcPr>
            <w:tcW w:type="dxa" w:w="1295"/>
          </w:tcPr>
          <w:p>
            <w:pPr>
              <w:spacing w:before="20" w:after="20"/>
              <w:jc w:val="center"/>
            </w:pPr>
            <w:r/>
            <w:r>
              <w:rPr>
                <w:rFonts w:ascii="Arial" w:hAnsi="Arial"/>
                <w:b w:val="0"/>
                <w:i w:val="0"/>
                <w:sz w:val="17"/>
              </w:rPr>
              <w:t>NOT-01</w:t>
            </w:r>
          </w:p>
        </w:tc>
        <w:tc>
          <w:tcPr>
            <w:tcW w:type="dxa" w:w="3749"/>
          </w:tcPr>
          <w:p>
            <w:pPr>
              <w:spacing w:before="20" w:after="20"/>
            </w:pPr>
            <w:r/>
            <w:r>
              <w:rPr>
                <w:rFonts w:ascii="Times New Roman" w:hAnsi="Times New Roman"/>
                <w:b w:val="0"/>
                <w:i w:val="0"/>
                <w:sz w:val="17"/>
              </w:rPr>
              <w:t>Notice accompanies or precedes every consent request</w:t>
            </w:r>
          </w:p>
        </w:tc>
        <w:tc>
          <w:tcPr>
            <w:tcW w:type="dxa" w:w="1295"/>
          </w:tcPr>
          <w:p>
            <w:pPr>
              <w:spacing w:before="20" w:after="20"/>
              <w:jc w:val="center"/>
            </w:pPr>
            <w:r/>
            <w:r>
              <w:rPr>
                <w:rFonts w:ascii="Arial" w:hAnsi="Arial"/>
                <w:b w:val="0"/>
                <w:i w:val="0"/>
                <w:sz w:val="16"/>
              </w:rPr>
              <w:t>Critical</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NOT-02</w:t>
            </w:r>
          </w:p>
        </w:tc>
        <w:tc>
          <w:tcPr>
            <w:tcW w:type="dxa" w:w="3749"/>
          </w:tcPr>
          <w:p>
            <w:pPr>
              <w:spacing w:before="20" w:after="20"/>
            </w:pPr>
            <w:r/>
            <w:r>
              <w:rPr>
                <w:rFonts w:ascii="Times New Roman" w:hAnsi="Times New Roman"/>
                <w:b w:val="0"/>
                <w:i w:val="0"/>
                <w:sz w:val="17"/>
              </w:rPr>
              <w:t>Notice content — itemised data and specified purpose</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NOT-03</w:t>
            </w:r>
          </w:p>
        </w:tc>
        <w:tc>
          <w:tcPr>
            <w:tcW w:type="dxa" w:w="3749"/>
          </w:tcPr>
          <w:p>
            <w:pPr>
              <w:spacing w:before="20" w:after="20"/>
            </w:pPr>
            <w:r/>
            <w:r>
              <w:rPr>
                <w:rFonts w:ascii="Times New Roman" w:hAnsi="Times New Roman"/>
                <w:b w:val="0"/>
                <w:i w:val="0"/>
                <w:sz w:val="17"/>
              </w:rPr>
              <w:t>Notice explains rights and the route to the Board</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NOT-04</w:t>
            </w:r>
          </w:p>
        </w:tc>
        <w:tc>
          <w:tcPr>
            <w:tcW w:type="dxa" w:w="3749"/>
          </w:tcPr>
          <w:p>
            <w:pPr>
              <w:spacing w:before="20" w:after="20"/>
            </w:pPr>
            <w:r/>
            <w:r>
              <w:rPr>
                <w:rFonts w:ascii="Times New Roman" w:hAnsi="Times New Roman"/>
                <w:b w:val="0"/>
                <w:i w:val="0"/>
                <w:sz w:val="17"/>
              </w:rPr>
              <w:t>Notice available in English and Eighth Schedule languages</w:t>
            </w:r>
          </w:p>
        </w:tc>
        <w:tc>
          <w:tcPr>
            <w:tcW w:type="dxa" w:w="1295"/>
          </w:tcPr>
          <w:p>
            <w:pPr>
              <w:spacing w:before="20" w:after="20"/>
              <w:jc w:val="center"/>
            </w:pPr>
            <w:r/>
            <w:r>
              <w:rPr>
                <w:rFonts w:ascii="Arial" w:hAnsi="Arial"/>
                <w:b w:val="0"/>
                <w:i w:val="0"/>
                <w:sz w:val="16"/>
              </w:rPr>
              <w:t>Medium</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NOT-05</w:t>
            </w:r>
          </w:p>
        </w:tc>
        <w:tc>
          <w:tcPr>
            <w:tcW w:type="dxa" w:w="3749"/>
          </w:tcPr>
          <w:p>
            <w:pPr>
              <w:spacing w:before="20" w:after="20"/>
            </w:pPr>
            <w:r/>
            <w:r>
              <w:rPr>
                <w:rFonts w:ascii="Times New Roman" w:hAnsi="Times New Roman"/>
                <w:b w:val="0"/>
                <w:i w:val="0"/>
                <w:sz w:val="17"/>
              </w:rPr>
              <w:t>Retrospective notice for pre-commencement consent</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0</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5044"/>
            <w:gridSpan w:val="2"/>
            <w:shd w:val="clear" w:color="auto" w:fill="EEF2F7"/>
          </w:tcPr>
          <w:p>
            <w:pPr>
              <w:spacing w:before="20" w:after="20"/>
            </w:pPr>
            <w:r/>
            <w:r>
              <w:rPr>
                <w:rFonts w:ascii="Arial" w:hAnsi="Arial"/>
                <w:b/>
                <w:i w:val="0"/>
                <w:sz w:val="18"/>
              </w:rPr>
              <w:t>CON — Consent</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39.8% — Initial</w:t>
            </w:r>
          </w:p>
        </w:tc>
      </w:tr>
      <w:tr>
        <w:trPr>
          <w:cantSplit/>
        </w:trPr>
        <w:tc>
          <w:tcPr>
            <w:tcW w:type="dxa" w:w="1295"/>
          </w:tcPr>
          <w:p>
            <w:pPr>
              <w:spacing w:before="20" w:after="20"/>
              <w:jc w:val="center"/>
            </w:pPr>
            <w:r/>
            <w:r>
              <w:rPr>
                <w:rFonts w:ascii="Arial" w:hAnsi="Arial"/>
                <w:b w:val="0"/>
                <w:i w:val="0"/>
                <w:sz w:val="17"/>
              </w:rPr>
              <w:t>CON-01</w:t>
            </w:r>
          </w:p>
        </w:tc>
        <w:tc>
          <w:tcPr>
            <w:tcW w:type="dxa" w:w="3749"/>
          </w:tcPr>
          <w:p>
            <w:pPr>
              <w:spacing w:before="20" w:after="20"/>
            </w:pPr>
            <w:r/>
            <w:r>
              <w:rPr>
                <w:rFonts w:ascii="Times New Roman" w:hAnsi="Times New Roman"/>
                <w:b w:val="0"/>
                <w:i w:val="0"/>
                <w:sz w:val="17"/>
              </w:rPr>
              <w:t>Consent is free, specific, informed, unconditional and unambiguous</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CON-02</w:t>
            </w:r>
          </w:p>
        </w:tc>
        <w:tc>
          <w:tcPr>
            <w:tcW w:type="dxa" w:w="3749"/>
          </w:tcPr>
          <w:p>
            <w:pPr>
              <w:spacing w:before="20" w:after="20"/>
            </w:pPr>
            <w:r/>
            <w:r>
              <w:rPr>
                <w:rFonts w:ascii="Times New Roman" w:hAnsi="Times New Roman"/>
                <w:b w:val="0"/>
                <w:i w:val="0"/>
                <w:sz w:val="17"/>
              </w:rPr>
              <w:t>Consent not conditioned on service where data is unnecessary</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CON-03</w:t>
            </w:r>
          </w:p>
        </w:tc>
        <w:tc>
          <w:tcPr>
            <w:tcW w:type="dxa" w:w="3749"/>
          </w:tcPr>
          <w:p>
            <w:pPr>
              <w:spacing w:before="20" w:after="20"/>
            </w:pPr>
            <w:r/>
            <w:r>
              <w:rPr>
                <w:rFonts w:ascii="Times New Roman" w:hAnsi="Times New Roman"/>
                <w:b w:val="0"/>
                <w:i w:val="0"/>
                <w:sz w:val="17"/>
              </w:rPr>
              <w:t>Consent request in clear and plain language with contact details</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CON-04</w:t>
            </w:r>
          </w:p>
        </w:tc>
        <w:tc>
          <w:tcPr>
            <w:tcW w:type="dxa" w:w="3749"/>
          </w:tcPr>
          <w:p>
            <w:pPr>
              <w:spacing w:before="20" w:after="20"/>
            </w:pPr>
            <w:r/>
            <w:r>
              <w:rPr>
                <w:rFonts w:ascii="Times New Roman" w:hAnsi="Times New Roman"/>
                <w:b w:val="0"/>
                <w:i w:val="0"/>
                <w:sz w:val="17"/>
              </w:rPr>
              <w:t>Withdrawal of consent as easy as giving it</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CON-05</w:t>
            </w:r>
          </w:p>
        </w:tc>
        <w:tc>
          <w:tcPr>
            <w:tcW w:type="dxa" w:w="3749"/>
          </w:tcPr>
          <w:p>
            <w:pPr>
              <w:spacing w:before="20" w:after="20"/>
            </w:pPr>
            <w:r/>
            <w:r>
              <w:rPr>
                <w:rFonts w:ascii="Times New Roman" w:hAnsi="Times New Roman"/>
                <w:b w:val="0"/>
                <w:i w:val="0"/>
                <w:sz w:val="17"/>
              </w:rPr>
              <w:t>Consequences of withdrawal disclosed and borne by the Data Principal</w:t>
            </w:r>
          </w:p>
        </w:tc>
        <w:tc>
          <w:tcPr>
            <w:tcW w:type="dxa" w:w="1295"/>
          </w:tcPr>
          <w:p>
            <w:pPr>
              <w:spacing w:before="20" w:after="20"/>
              <w:jc w:val="center"/>
            </w:pPr>
            <w:r/>
            <w:r>
              <w:rPr>
                <w:rFonts w:ascii="Arial" w:hAnsi="Arial"/>
                <w:b w:val="0"/>
                <w:i w:val="0"/>
                <w:sz w:val="16"/>
              </w:rPr>
              <w:t>Medium</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CON-06</w:t>
            </w:r>
          </w:p>
        </w:tc>
        <w:tc>
          <w:tcPr>
            <w:tcW w:type="dxa" w:w="3749"/>
          </w:tcPr>
          <w:p>
            <w:pPr>
              <w:spacing w:before="20" w:after="20"/>
            </w:pPr>
            <w:r/>
            <w:r>
              <w:rPr>
                <w:rFonts w:ascii="Times New Roman" w:hAnsi="Times New Roman"/>
                <w:b w:val="0"/>
                <w:i w:val="0"/>
                <w:sz w:val="17"/>
              </w:rPr>
              <w:t>Processing ceases within a reasonable time of withdrawal</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CON-07</w:t>
            </w:r>
          </w:p>
        </w:tc>
        <w:tc>
          <w:tcPr>
            <w:tcW w:type="dxa" w:w="3749"/>
          </w:tcPr>
          <w:p>
            <w:pPr>
              <w:spacing w:before="20" w:after="20"/>
            </w:pPr>
            <w:r/>
            <w:r>
              <w:rPr>
                <w:rFonts w:ascii="Times New Roman" w:hAnsi="Times New Roman"/>
                <w:b w:val="0"/>
                <w:i w:val="0"/>
                <w:sz w:val="17"/>
              </w:rPr>
              <w:t>Consent artefacts retained and provable</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CON-08</w:t>
            </w:r>
          </w:p>
        </w:tc>
        <w:tc>
          <w:tcPr>
            <w:tcW w:type="dxa" w:w="3749"/>
          </w:tcPr>
          <w:p>
            <w:pPr>
              <w:spacing w:before="20" w:after="20"/>
            </w:pPr>
            <w:r/>
            <w:r>
              <w:rPr>
                <w:rFonts w:ascii="Times New Roman" w:hAnsi="Times New Roman"/>
                <w:b w:val="0"/>
                <w:i w:val="0"/>
                <w:sz w:val="17"/>
              </w:rPr>
              <w:t>Consent refresh on material change of purpose</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5044"/>
            <w:gridSpan w:val="2"/>
            <w:shd w:val="clear" w:color="auto" w:fill="EEF2F7"/>
          </w:tcPr>
          <w:p>
            <w:pPr>
              <w:spacing w:before="20" w:after="20"/>
            </w:pPr>
            <w:r/>
            <w:r>
              <w:rPr>
                <w:rFonts w:ascii="Arial" w:hAnsi="Arial"/>
                <w:b/>
                <w:i w:val="0"/>
                <w:sz w:val="18"/>
              </w:rPr>
              <w:t>CMG — Consent Manager</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63.0% — Managed</w:t>
            </w:r>
          </w:p>
        </w:tc>
      </w:tr>
      <w:tr>
        <w:trPr>
          <w:cantSplit/>
        </w:trPr>
        <w:tc>
          <w:tcPr>
            <w:tcW w:type="dxa" w:w="1295"/>
          </w:tcPr>
          <w:p>
            <w:pPr>
              <w:spacing w:before="20" w:after="20"/>
              <w:jc w:val="center"/>
            </w:pPr>
            <w:r/>
            <w:r>
              <w:rPr>
                <w:rFonts w:ascii="Arial" w:hAnsi="Arial"/>
                <w:b w:val="0"/>
                <w:i w:val="0"/>
                <w:sz w:val="17"/>
              </w:rPr>
              <w:t>CMG-01</w:t>
            </w:r>
          </w:p>
        </w:tc>
        <w:tc>
          <w:tcPr>
            <w:tcW w:type="dxa" w:w="3749"/>
          </w:tcPr>
          <w:p>
            <w:pPr>
              <w:spacing w:before="20" w:after="20"/>
            </w:pPr>
            <w:r/>
            <w:r>
              <w:rPr>
                <w:rFonts w:ascii="Times New Roman" w:hAnsi="Times New Roman"/>
                <w:b w:val="0"/>
                <w:i w:val="0"/>
                <w:sz w:val="17"/>
              </w:rPr>
              <w:t>Consent Manager relied upon is registered with the Board</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CMG-02</w:t>
            </w:r>
          </w:p>
        </w:tc>
        <w:tc>
          <w:tcPr>
            <w:tcW w:type="dxa" w:w="3749"/>
          </w:tcPr>
          <w:p>
            <w:pPr>
              <w:spacing w:before="20" w:after="20"/>
            </w:pPr>
            <w:r/>
            <w:r>
              <w:rPr>
                <w:rFonts w:ascii="Times New Roman" w:hAnsi="Times New Roman"/>
                <w:b w:val="0"/>
                <w:i w:val="0"/>
                <w:sz w:val="17"/>
              </w:rPr>
              <w:t>Consent Manager interface integrity and record reconciliation</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CMG-03</w:t>
            </w:r>
          </w:p>
        </w:tc>
        <w:tc>
          <w:tcPr>
            <w:tcW w:type="dxa" w:w="3749"/>
          </w:tcPr>
          <w:p>
            <w:pPr>
              <w:spacing w:before="20" w:after="20"/>
            </w:pPr>
            <w:r/>
            <w:r>
              <w:rPr>
                <w:rFonts w:ascii="Times New Roman" w:hAnsi="Times New Roman"/>
                <w:b w:val="0"/>
                <w:i w:val="0"/>
                <w:sz w:val="17"/>
              </w:rPr>
              <w:t>Own registration and obligations where acting as a Consent Manager</w:t>
            </w:r>
          </w:p>
        </w:tc>
        <w:tc>
          <w:tcPr>
            <w:tcW w:type="dxa" w:w="1295"/>
          </w:tcPr>
          <w:p>
            <w:pPr>
              <w:spacing w:before="20" w:after="20"/>
              <w:jc w:val="center"/>
            </w:pPr>
            <w:r/>
            <w:r>
              <w:rPr>
                <w:rFonts w:ascii="Arial" w:hAnsi="Arial"/>
                <w:b w:val="0"/>
                <w:i w:val="0"/>
                <w:sz w:val="16"/>
              </w:rPr>
              <w:t>Critical</w:t>
            </w:r>
          </w:p>
        </w:tc>
        <w:tc>
          <w:tcPr>
            <w:tcW w:type="dxa" w:w="886"/>
            <w:shd w:val="clear" w:color="auto" w:fill="EDEDED"/>
          </w:tcPr>
          <w:p>
            <w:pPr>
              <w:spacing w:before="20" w:after="20"/>
              <w:jc w:val="center"/>
            </w:pPr>
            <w:r/>
            <w:r>
              <w:rPr>
                <w:rFonts w:ascii="Arial" w:hAnsi="Arial"/>
                <w:b/>
                <w:i w:val="0"/>
                <w:sz w:val="18"/>
              </w:rPr>
              <w:t>—</w:t>
            </w:r>
          </w:p>
        </w:tc>
        <w:tc>
          <w:tcPr>
            <w:tcW w:type="dxa" w:w="1568"/>
          </w:tcPr>
          <w:p>
            <w:pPr>
              <w:spacing w:before="20" w:after="20"/>
              <w:jc w:val="center"/>
            </w:pPr>
            <w:r/>
            <w:r>
              <w:rPr>
                <w:rFonts w:ascii="Arial" w:hAnsi="Arial"/>
                <w:b w:val="0"/>
                <w:i w:val="0"/>
                <w:sz w:val="16"/>
              </w:rPr>
              <w:t>Out of scope</w:t>
            </w:r>
          </w:p>
        </w:tc>
        <w:tc>
          <w:tcPr>
            <w:tcW w:type="dxa" w:w="954"/>
          </w:tcPr>
          <w:p>
            <w:pPr>
              <w:spacing w:before="20" w:after="20"/>
              <w:jc w:val="center"/>
            </w:pPr>
            <w:r/>
            <w:r>
              <w:rPr>
                <w:rFonts w:ascii="Arial" w:hAnsi="Arial"/>
                <w:b w:val="0"/>
                <w:i w:val="0"/>
                <w:sz w:val="17"/>
              </w:rPr>
              <w:t>—</w:t>
            </w:r>
          </w:p>
        </w:tc>
      </w:tr>
      <w:tr>
        <w:trPr>
          <w:cantSplit/>
        </w:trPr>
        <w:tc>
          <w:tcPr>
            <w:tcW w:type="dxa" w:w="5044"/>
            <w:gridSpan w:val="2"/>
            <w:shd w:val="clear" w:color="auto" w:fill="EEF2F7"/>
          </w:tcPr>
          <w:p>
            <w:pPr>
              <w:spacing w:before="20" w:after="20"/>
            </w:pPr>
            <w:r/>
            <w:r>
              <w:rPr>
                <w:rFonts w:ascii="Arial" w:hAnsi="Arial"/>
                <w:b/>
                <w:i w:val="0"/>
                <w:sz w:val="18"/>
              </w:rPr>
              <w:t>LGU — Legitimate Uses</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65.7% — Managed</w:t>
            </w:r>
          </w:p>
        </w:tc>
      </w:tr>
      <w:tr>
        <w:trPr>
          <w:cantSplit/>
        </w:trPr>
        <w:tc>
          <w:tcPr>
            <w:tcW w:type="dxa" w:w="1295"/>
          </w:tcPr>
          <w:p>
            <w:pPr>
              <w:spacing w:before="20" w:after="20"/>
              <w:jc w:val="center"/>
            </w:pPr>
            <w:r/>
            <w:r>
              <w:rPr>
                <w:rFonts w:ascii="Arial" w:hAnsi="Arial"/>
                <w:b w:val="0"/>
                <w:i w:val="0"/>
                <w:sz w:val="17"/>
              </w:rPr>
              <w:t>LGU-01</w:t>
            </w:r>
          </w:p>
        </w:tc>
        <w:tc>
          <w:tcPr>
            <w:tcW w:type="dxa" w:w="3749"/>
          </w:tcPr>
          <w:p>
            <w:pPr>
              <w:spacing w:before="20" w:after="20"/>
            </w:pPr>
            <w:r/>
            <w:r>
              <w:rPr>
                <w:rFonts w:ascii="Times New Roman" w:hAnsi="Times New Roman"/>
                <w:b w:val="0"/>
                <w:i w:val="0"/>
                <w:sz w:val="17"/>
              </w:rPr>
              <w:t>Legitimate use relied upon is a specific statutory limb</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LGU-02</w:t>
            </w:r>
          </w:p>
        </w:tc>
        <w:tc>
          <w:tcPr>
            <w:tcW w:type="dxa" w:w="3749"/>
          </w:tcPr>
          <w:p>
            <w:pPr>
              <w:spacing w:before="20" w:after="20"/>
            </w:pPr>
            <w:r/>
            <w:r>
              <w:rPr>
                <w:rFonts w:ascii="Times New Roman" w:hAnsi="Times New Roman"/>
                <w:b w:val="0"/>
                <w:i w:val="0"/>
                <w:sz w:val="17"/>
              </w:rPr>
              <w:t>Employment-purposes limb correctly scoped</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LGU-03</w:t>
            </w:r>
          </w:p>
        </w:tc>
        <w:tc>
          <w:tcPr>
            <w:tcW w:type="dxa" w:w="3749"/>
          </w:tcPr>
          <w:p>
            <w:pPr>
              <w:spacing w:before="20" w:after="20"/>
            </w:pPr>
            <w:r/>
            <w:r>
              <w:rPr>
                <w:rFonts w:ascii="Times New Roman" w:hAnsi="Times New Roman"/>
                <w:b w:val="0"/>
                <w:i w:val="0"/>
                <w:sz w:val="17"/>
              </w:rPr>
              <w:t>Voluntary provision limb not over-extended</w:t>
            </w:r>
          </w:p>
        </w:tc>
        <w:tc>
          <w:tcPr>
            <w:tcW w:type="dxa" w:w="1295"/>
          </w:tcPr>
          <w:p>
            <w:pPr>
              <w:spacing w:before="20" w:after="20"/>
              <w:jc w:val="center"/>
            </w:pPr>
            <w:r/>
            <w:r>
              <w:rPr>
                <w:rFonts w:ascii="Arial" w:hAnsi="Arial"/>
                <w:b w:val="0"/>
                <w:i w:val="0"/>
                <w:sz w:val="16"/>
              </w:rPr>
              <w:t>Medium</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2</w:t>
            </w:r>
          </w:p>
        </w:tc>
      </w:tr>
      <w:tr>
        <w:trPr>
          <w:cantSplit/>
        </w:trPr>
        <w:tc>
          <w:tcPr>
            <w:tcW w:type="dxa" w:w="5044"/>
            <w:gridSpan w:val="2"/>
            <w:shd w:val="clear" w:color="auto" w:fill="EEF2F7"/>
          </w:tcPr>
          <w:p>
            <w:pPr>
              <w:spacing w:before="20" w:after="20"/>
            </w:pPr>
            <w:r/>
            <w:r>
              <w:rPr>
                <w:rFonts w:ascii="Arial" w:hAnsi="Arial"/>
                <w:b/>
                <w:i w:val="0"/>
                <w:sz w:val="18"/>
              </w:rPr>
              <w:t>RET — Retention &amp; Erasure</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21.6% — Initial</w:t>
            </w:r>
          </w:p>
        </w:tc>
      </w:tr>
      <w:tr>
        <w:trPr>
          <w:cantSplit/>
        </w:trPr>
        <w:tc>
          <w:tcPr>
            <w:tcW w:type="dxa" w:w="1295"/>
          </w:tcPr>
          <w:p>
            <w:pPr>
              <w:spacing w:before="20" w:after="20"/>
              <w:jc w:val="center"/>
            </w:pPr>
            <w:r/>
            <w:r>
              <w:rPr>
                <w:rFonts w:ascii="Arial" w:hAnsi="Arial"/>
                <w:b w:val="0"/>
                <w:i w:val="0"/>
                <w:sz w:val="17"/>
              </w:rPr>
              <w:t>RET-01</w:t>
            </w:r>
          </w:p>
        </w:tc>
        <w:tc>
          <w:tcPr>
            <w:tcW w:type="dxa" w:w="3749"/>
          </w:tcPr>
          <w:p>
            <w:pPr>
              <w:spacing w:before="20" w:after="20"/>
            </w:pPr>
            <w:r/>
            <w:r>
              <w:rPr>
                <w:rFonts w:ascii="Times New Roman" w:hAnsi="Times New Roman"/>
                <w:b w:val="0"/>
                <w:i w:val="0"/>
                <w:sz w:val="17"/>
              </w:rPr>
              <w:t>Retention schedule defined per data category and purpose</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RET-02</w:t>
            </w:r>
          </w:p>
        </w:tc>
        <w:tc>
          <w:tcPr>
            <w:tcW w:type="dxa" w:w="3749"/>
          </w:tcPr>
          <w:p>
            <w:pPr>
              <w:spacing w:before="20" w:after="20"/>
            </w:pPr>
            <w:r/>
            <w:r>
              <w:rPr>
                <w:rFonts w:ascii="Times New Roman" w:hAnsi="Times New Roman"/>
                <w:b w:val="0"/>
                <w:i w:val="0"/>
                <w:sz w:val="17"/>
              </w:rPr>
              <w:t>Erasure on withdrawal of consent or purpose completion</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RET-03</w:t>
            </w:r>
          </w:p>
        </w:tc>
        <w:tc>
          <w:tcPr>
            <w:tcW w:type="dxa" w:w="3749"/>
          </w:tcPr>
          <w:p>
            <w:pPr>
              <w:spacing w:before="20" w:after="20"/>
            </w:pPr>
            <w:r/>
            <w:r>
              <w:rPr>
                <w:rFonts w:ascii="Times New Roman" w:hAnsi="Times New Roman"/>
                <w:b w:val="0"/>
                <w:i w:val="0"/>
                <w:sz w:val="17"/>
              </w:rPr>
              <w:t>Erasure propagated to processors, backups and derived stores</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RET-04</w:t>
            </w:r>
          </w:p>
        </w:tc>
        <w:tc>
          <w:tcPr>
            <w:tcW w:type="dxa" w:w="3749"/>
          </w:tcPr>
          <w:p>
            <w:pPr>
              <w:spacing w:before="20" w:after="20"/>
            </w:pPr>
            <w:r/>
            <w:r>
              <w:rPr>
                <w:rFonts w:ascii="Times New Roman" w:hAnsi="Times New Roman"/>
                <w:b w:val="0"/>
                <w:i w:val="0"/>
                <w:sz w:val="17"/>
              </w:rPr>
              <w:t>Deemed purpose completion on Data Principal inactivity</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0</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RET-05</w:t>
            </w:r>
          </w:p>
        </w:tc>
        <w:tc>
          <w:tcPr>
            <w:tcW w:type="dxa" w:w="3749"/>
          </w:tcPr>
          <w:p>
            <w:pPr>
              <w:spacing w:before="20" w:after="20"/>
            </w:pPr>
            <w:r/>
            <w:r>
              <w:rPr>
                <w:rFonts w:ascii="Times New Roman" w:hAnsi="Times New Roman"/>
                <w:b w:val="0"/>
                <w:i w:val="0"/>
                <w:sz w:val="17"/>
              </w:rPr>
              <w:t>Advance notice before erasure where required</w:t>
            </w:r>
          </w:p>
        </w:tc>
        <w:tc>
          <w:tcPr>
            <w:tcW w:type="dxa" w:w="1295"/>
          </w:tcPr>
          <w:p>
            <w:pPr>
              <w:spacing w:before="20" w:after="20"/>
              <w:jc w:val="center"/>
            </w:pPr>
            <w:r/>
            <w:r>
              <w:rPr>
                <w:rFonts w:ascii="Arial" w:hAnsi="Arial"/>
                <w:b w:val="0"/>
                <w:i w:val="0"/>
                <w:sz w:val="16"/>
              </w:rPr>
              <w:t>Medium</w:t>
            </w:r>
          </w:p>
        </w:tc>
        <w:tc>
          <w:tcPr>
            <w:tcW w:type="dxa" w:w="886"/>
            <w:shd w:val="clear" w:color="auto" w:fill="F8D7D7"/>
          </w:tcPr>
          <w:p>
            <w:pPr>
              <w:spacing w:before="20" w:after="20"/>
              <w:jc w:val="center"/>
            </w:pPr>
            <w:r/>
            <w:r>
              <w:rPr>
                <w:rFonts w:ascii="Arial" w:hAnsi="Arial"/>
                <w:b/>
                <w:i w:val="0"/>
                <w:sz w:val="18"/>
              </w:rPr>
              <w:t>0</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8</w:t>
            </w:r>
          </w:p>
        </w:tc>
      </w:tr>
      <w:tr>
        <w:trPr>
          <w:cantSplit/>
        </w:trPr>
        <w:tc>
          <w:tcPr>
            <w:tcW w:type="dxa" w:w="5044"/>
            <w:gridSpan w:val="2"/>
            <w:shd w:val="clear" w:color="auto" w:fill="EEF2F7"/>
          </w:tcPr>
          <w:p>
            <w:pPr>
              <w:spacing w:before="20" w:after="20"/>
            </w:pPr>
            <w:r/>
            <w:r>
              <w:rPr>
                <w:rFonts w:ascii="Arial" w:hAnsi="Arial"/>
                <w:b/>
                <w:i w:val="0"/>
                <w:sz w:val="18"/>
              </w:rPr>
              <w:t>RGT — Data Principal Rights</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46.5% — Developing</w:t>
            </w:r>
          </w:p>
        </w:tc>
      </w:tr>
      <w:tr>
        <w:trPr>
          <w:cantSplit/>
        </w:trPr>
        <w:tc>
          <w:tcPr>
            <w:tcW w:type="dxa" w:w="1295"/>
          </w:tcPr>
          <w:p>
            <w:pPr>
              <w:spacing w:before="20" w:after="20"/>
              <w:jc w:val="center"/>
            </w:pPr>
            <w:r/>
            <w:r>
              <w:rPr>
                <w:rFonts w:ascii="Arial" w:hAnsi="Arial"/>
                <w:b w:val="0"/>
                <w:i w:val="0"/>
                <w:sz w:val="17"/>
              </w:rPr>
              <w:t>RGT-01</w:t>
            </w:r>
          </w:p>
        </w:tc>
        <w:tc>
          <w:tcPr>
            <w:tcW w:type="dxa" w:w="3749"/>
          </w:tcPr>
          <w:p>
            <w:pPr>
              <w:spacing w:before="20" w:after="20"/>
            </w:pPr>
            <w:r/>
            <w:r>
              <w:rPr>
                <w:rFonts w:ascii="Times New Roman" w:hAnsi="Times New Roman"/>
                <w:b w:val="0"/>
                <w:i w:val="0"/>
                <w:sz w:val="17"/>
              </w:rPr>
              <w:t>Right to access information about personal data</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RGT-02</w:t>
            </w:r>
          </w:p>
        </w:tc>
        <w:tc>
          <w:tcPr>
            <w:tcW w:type="dxa" w:w="3749"/>
          </w:tcPr>
          <w:p>
            <w:pPr>
              <w:spacing w:before="20" w:after="20"/>
            </w:pPr>
            <w:r/>
            <w:r>
              <w:rPr>
                <w:rFonts w:ascii="Times New Roman" w:hAnsi="Times New Roman"/>
                <w:b w:val="0"/>
                <w:i w:val="0"/>
                <w:sz w:val="17"/>
              </w:rPr>
              <w:t>Right to correction, completion and updating</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RGT-03</w:t>
            </w:r>
          </w:p>
        </w:tc>
        <w:tc>
          <w:tcPr>
            <w:tcW w:type="dxa" w:w="3749"/>
          </w:tcPr>
          <w:p>
            <w:pPr>
              <w:spacing w:before="20" w:after="20"/>
            </w:pPr>
            <w:r/>
            <w:r>
              <w:rPr>
                <w:rFonts w:ascii="Times New Roman" w:hAnsi="Times New Roman"/>
                <w:b w:val="0"/>
                <w:i w:val="0"/>
                <w:sz w:val="17"/>
              </w:rPr>
              <w:t>Right to erasure on request</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1295"/>
          </w:tcPr>
          <w:p>
            <w:pPr>
              <w:spacing w:before="20" w:after="20"/>
              <w:jc w:val="center"/>
            </w:pPr>
            <w:r/>
            <w:r>
              <w:rPr>
                <w:rFonts w:ascii="Arial" w:hAnsi="Arial"/>
                <w:b w:val="0"/>
                <w:i w:val="0"/>
                <w:sz w:val="17"/>
              </w:rPr>
              <w:t>RGT-04</w:t>
            </w:r>
          </w:p>
        </w:tc>
        <w:tc>
          <w:tcPr>
            <w:tcW w:type="dxa" w:w="3749"/>
          </w:tcPr>
          <w:p>
            <w:pPr>
              <w:spacing w:before="20" w:after="20"/>
            </w:pPr>
            <w:r/>
            <w:r>
              <w:rPr>
                <w:rFonts w:ascii="Times New Roman" w:hAnsi="Times New Roman"/>
                <w:b w:val="0"/>
                <w:i w:val="0"/>
                <w:sz w:val="17"/>
              </w:rPr>
              <w:t>Right to nominate</w:t>
            </w:r>
          </w:p>
        </w:tc>
        <w:tc>
          <w:tcPr>
            <w:tcW w:type="dxa" w:w="1295"/>
          </w:tcPr>
          <w:p>
            <w:pPr>
              <w:spacing w:before="20" w:after="20"/>
              <w:jc w:val="center"/>
            </w:pPr>
            <w:r/>
            <w:r>
              <w:rPr>
                <w:rFonts w:ascii="Arial" w:hAnsi="Arial"/>
                <w:b w:val="0"/>
                <w:i w:val="0"/>
                <w:sz w:val="16"/>
              </w:rPr>
              <w:t>Medium</w:t>
            </w:r>
          </w:p>
        </w:tc>
        <w:tc>
          <w:tcPr>
            <w:tcW w:type="dxa" w:w="886"/>
            <w:shd w:val="clear" w:color="auto" w:fill="F8D7D7"/>
          </w:tcPr>
          <w:p>
            <w:pPr>
              <w:spacing w:before="20" w:after="20"/>
              <w:jc w:val="center"/>
            </w:pPr>
            <w:r/>
            <w:r>
              <w:rPr>
                <w:rFonts w:ascii="Arial" w:hAnsi="Arial"/>
                <w:b/>
                <w:i w:val="0"/>
                <w:sz w:val="18"/>
              </w:rPr>
              <w:t>0</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RGT-05</w:t>
            </w:r>
          </w:p>
        </w:tc>
        <w:tc>
          <w:tcPr>
            <w:tcW w:type="dxa" w:w="3749"/>
          </w:tcPr>
          <w:p>
            <w:pPr>
              <w:spacing w:before="20" w:after="20"/>
            </w:pPr>
            <w:r/>
            <w:r>
              <w:rPr>
                <w:rFonts w:ascii="Times New Roman" w:hAnsi="Times New Roman"/>
                <w:b w:val="0"/>
                <w:i w:val="0"/>
                <w:sz w:val="17"/>
              </w:rPr>
              <w:t>Identity verification proportionate and non-obstructive</w:t>
            </w:r>
          </w:p>
        </w:tc>
        <w:tc>
          <w:tcPr>
            <w:tcW w:type="dxa" w:w="1295"/>
          </w:tcPr>
          <w:p>
            <w:pPr>
              <w:spacing w:before="20" w:after="20"/>
              <w:jc w:val="center"/>
            </w:pPr>
            <w:r/>
            <w:r>
              <w:rPr>
                <w:rFonts w:ascii="Arial" w:hAnsi="Arial"/>
                <w:b w:val="0"/>
                <w:i w:val="0"/>
                <w:sz w:val="16"/>
              </w:rPr>
              <w:t>Medium</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2</w:t>
            </w:r>
          </w:p>
        </w:tc>
      </w:tr>
      <w:tr>
        <w:trPr>
          <w:cantSplit/>
        </w:trPr>
        <w:tc>
          <w:tcPr>
            <w:tcW w:type="dxa" w:w="1295"/>
          </w:tcPr>
          <w:p>
            <w:pPr>
              <w:spacing w:before="20" w:after="20"/>
              <w:jc w:val="center"/>
            </w:pPr>
            <w:r/>
            <w:r>
              <w:rPr>
                <w:rFonts w:ascii="Arial" w:hAnsi="Arial"/>
                <w:b w:val="0"/>
                <w:i w:val="0"/>
                <w:sz w:val="17"/>
              </w:rPr>
              <w:t>RGT-06</w:t>
            </w:r>
          </w:p>
        </w:tc>
        <w:tc>
          <w:tcPr>
            <w:tcW w:type="dxa" w:w="3749"/>
          </w:tcPr>
          <w:p>
            <w:pPr>
              <w:spacing w:before="20" w:after="20"/>
            </w:pPr>
            <w:r/>
            <w:r>
              <w:rPr>
                <w:rFonts w:ascii="Times New Roman" w:hAnsi="Times New Roman"/>
                <w:b w:val="0"/>
                <w:i w:val="0"/>
                <w:sz w:val="17"/>
              </w:rPr>
              <w:t>Rights request logging, tracking and service levels</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5044"/>
            <w:gridSpan w:val="2"/>
            <w:shd w:val="clear" w:color="auto" w:fill="EEF2F7"/>
          </w:tcPr>
          <w:p>
            <w:pPr>
              <w:spacing w:before="20" w:after="20"/>
            </w:pPr>
            <w:r/>
            <w:r>
              <w:rPr>
                <w:rFonts w:ascii="Arial" w:hAnsi="Arial"/>
                <w:b/>
                <w:i w:val="0"/>
                <w:sz w:val="18"/>
              </w:rPr>
              <w:t>GRV — Grievance Redressal</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44.0% — Developing</w:t>
            </w:r>
          </w:p>
        </w:tc>
      </w:tr>
      <w:tr>
        <w:trPr>
          <w:cantSplit/>
        </w:trPr>
        <w:tc>
          <w:tcPr>
            <w:tcW w:type="dxa" w:w="1295"/>
          </w:tcPr>
          <w:p>
            <w:pPr>
              <w:spacing w:before="20" w:after="20"/>
              <w:jc w:val="center"/>
            </w:pPr>
            <w:r/>
            <w:r>
              <w:rPr>
                <w:rFonts w:ascii="Arial" w:hAnsi="Arial"/>
                <w:b w:val="0"/>
                <w:i w:val="0"/>
                <w:sz w:val="17"/>
              </w:rPr>
              <w:t>GRV-01</w:t>
            </w:r>
          </w:p>
        </w:tc>
        <w:tc>
          <w:tcPr>
            <w:tcW w:type="dxa" w:w="3749"/>
          </w:tcPr>
          <w:p>
            <w:pPr>
              <w:spacing w:before="20" w:after="20"/>
            </w:pPr>
            <w:r/>
            <w:r>
              <w:rPr>
                <w:rFonts w:ascii="Times New Roman" w:hAnsi="Times New Roman"/>
                <w:b w:val="0"/>
                <w:i w:val="0"/>
                <w:sz w:val="17"/>
              </w:rPr>
              <w:t>Effective grievance redressal mechanism established</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GRV-02</w:t>
            </w:r>
          </w:p>
        </w:tc>
        <w:tc>
          <w:tcPr>
            <w:tcW w:type="dxa" w:w="3749"/>
          </w:tcPr>
          <w:p>
            <w:pPr>
              <w:spacing w:before="20" w:after="20"/>
            </w:pPr>
            <w:r/>
            <w:r>
              <w:rPr>
                <w:rFonts w:ascii="Times New Roman" w:hAnsi="Times New Roman"/>
                <w:b w:val="0"/>
                <w:i w:val="0"/>
                <w:sz w:val="17"/>
              </w:rPr>
              <w:t>Response within the prescribed period</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1295"/>
          </w:tcPr>
          <w:p>
            <w:pPr>
              <w:spacing w:before="20" w:after="20"/>
              <w:jc w:val="center"/>
            </w:pPr>
            <w:r/>
            <w:r>
              <w:rPr>
                <w:rFonts w:ascii="Arial" w:hAnsi="Arial"/>
                <w:b w:val="0"/>
                <w:i w:val="0"/>
                <w:sz w:val="17"/>
              </w:rPr>
              <w:t>GRV-03</w:t>
            </w:r>
          </w:p>
        </w:tc>
        <w:tc>
          <w:tcPr>
            <w:tcW w:type="dxa" w:w="3749"/>
          </w:tcPr>
          <w:p>
            <w:pPr>
              <w:spacing w:before="20" w:after="20"/>
            </w:pPr>
            <w:r/>
            <w:r>
              <w:rPr>
                <w:rFonts w:ascii="Times New Roman" w:hAnsi="Times New Roman"/>
                <w:b w:val="0"/>
                <w:i w:val="0"/>
                <w:sz w:val="17"/>
              </w:rPr>
              <w:t>Grievance mechanism readily available and publicised</w:t>
            </w:r>
          </w:p>
        </w:tc>
        <w:tc>
          <w:tcPr>
            <w:tcW w:type="dxa" w:w="1295"/>
          </w:tcPr>
          <w:p>
            <w:pPr>
              <w:spacing w:before="20" w:after="20"/>
              <w:jc w:val="center"/>
            </w:pPr>
            <w:r/>
            <w:r>
              <w:rPr>
                <w:rFonts w:ascii="Arial" w:hAnsi="Arial"/>
                <w:b w:val="0"/>
                <w:i w:val="0"/>
                <w:sz w:val="16"/>
              </w:rPr>
              <w:t>Medium</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2</w:t>
            </w:r>
          </w:p>
        </w:tc>
      </w:tr>
      <w:tr>
        <w:trPr>
          <w:cantSplit/>
        </w:trPr>
        <w:tc>
          <w:tcPr>
            <w:tcW w:type="dxa" w:w="1295"/>
          </w:tcPr>
          <w:p>
            <w:pPr>
              <w:spacing w:before="20" w:after="20"/>
              <w:jc w:val="center"/>
            </w:pPr>
            <w:r/>
            <w:r>
              <w:rPr>
                <w:rFonts w:ascii="Arial" w:hAnsi="Arial"/>
                <w:b w:val="0"/>
                <w:i w:val="0"/>
                <w:sz w:val="17"/>
              </w:rPr>
              <w:t>GRV-04</w:t>
            </w:r>
          </w:p>
        </w:tc>
        <w:tc>
          <w:tcPr>
            <w:tcW w:type="dxa" w:w="3749"/>
          </w:tcPr>
          <w:p>
            <w:pPr>
              <w:spacing w:before="20" w:after="20"/>
            </w:pPr>
            <w:r/>
            <w:r>
              <w:rPr>
                <w:rFonts w:ascii="Times New Roman" w:hAnsi="Times New Roman"/>
                <w:b w:val="0"/>
                <w:i w:val="0"/>
                <w:sz w:val="17"/>
              </w:rPr>
              <w:t>Grievance trend analysis feeding remediation</w:t>
            </w:r>
          </w:p>
        </w:tc>
        <w:tc>
          <w:tcPr>
            <w:tcW w:type="dxa" w:w="1295"/>
          </w:tcPr>
          <w:p>
            <w:pPr>
              <w:spacing w:before="20" w:after="20"/>
              <w:jc w:val="center"/>
            </w:pPr>
            <w:r/>
            <w:r>
              <w:rPr>
                <w:rFonts w:ascii="Arial" w:hAnsi="Arial"/>
                <w:b w:val="0"/>
                <w:i w:val="0"/>
                <w:sz w:val="16"/>
              </w:rPr>
              <w:t>Low</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3</w:t>
            </w:r>
          </w:p>
        </w:tc>
      </w:tr>
      <w:tr>
        <w:trPr>
          <w:cantSplit/>
        </w:trPr>
        <w:tc>
          <w:tcPr>
            <w:tcW w:type="dxa" w:w="5044"/>
            <w:gridSpan w:val="2"/>
            <w:shd w:val="clear" w:color="auto" w:fill="EEF2F7"/>
          </w:tcPr>
          <w:p>
            <w:pPr>
              <w:spacing w:before="20" w:after="20"/>
            </w:pPr>
            <w:r/>
            <w:r>
              <w:rPr>
                <w:rFonts w:ascii="Arial" w:hAnsi="Arial"/>
                <w:b/>
                <w:i w:val="0"/>
                <w:sz w:val="18"/>
              </w:rPr>
              <w:t>SEC — Security Safeguards</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80.3% — Optimised</w:t>
            </w:r>
          </w:p>
        </w:tc>
      </w:tr>
      <w:tr>
        <w:trPr>
          <w:cantSplit/>
        </w:trPr>
        <w:tc>
          <w:tcPr>
            <w:tcW w:type="dxa" w:w="1295"/>
          </w:tcPr>
          <w:p>
            <w:pPr>
              <w:spacing w:before="20" w:after="20"/>
              <w:jc w:val="center"/>
            </w:pPr>
            <w:r/>
            <w:r>
              <w:rPr>
                <w:rFonts w:ascii="Arial" w:hAnsi="Arial"/>
                <w:b w:val="0"/>
                <w:i w:val="0"/>
                <w:sz w:val="17"/>
              </w:rPr>
              <w:t>SEC-01</w:t>
            </w:r>
          </w:p>
        </w:tc>
        <w:tc>
          <w:tcPr>
            <w:tcW w:type="dxa" w:w="3749"/>
          </w:tcPr>
          <w:p>
            <w:pPr>
              <w:spacing w:before="20" w:after="20"/>
            </w:pPr>
            <w:r/>
            <w:r>
              <w:rPr>
                <w:rFonts w:ascii="Times New Roman" w:hAnsi="Times New Roman"/>
                <w:b w:val="0"/>
                <w:i w:val="0"/>
                <w:sz w:val="17"/>
              </w:rPr>
              <w:t>Reasonable security safeguards programme defined and owned</w:t>
            </w:r>
          </w:p>
        </w:tc>
        <w:tc>
          <w:tcPr>
            <w:tcW w:type="dxa" w:w="1295"/>
          </w:tcPr>
          <w:p>
            <w:pPr>
              <w:spacing w:before="20" w:after="20"/>
              <w:jc w:val="center"/>
            </w:pPr>
            <w:r/>
            <w:r>
              <w:rPr>
                <w:rFonts w:ascii="Arial" w:hAnsi="Arial"/>
                <w:b w:val="0"/>
                <w:i w:val="0"/>
                <w:sz w:val="16"/>
              </w:rPr>
              <w:t>Critical</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SEC-02</w:t>
            </w:r>
          </w:p>
        </w:tc>
        <w:tc>
          <w:tcPr>
            <w:tcW w:type="dxa" w:w="3749"/>
          </w:tcPr>
          <w:p>
            <w:pPr>
              <w:spacing w:before="20" w:after="20"/>
            </w:pPr>
            <w:r/>
            <w:r>
              <w:rPr>
                <w:rFonts w:ascii="Times New Roman" w:hAnsi="Times New Roman"/>
                <w:b w:val="0"/>
                <w:i w:val="0"/>
                <w:sz w:val="17"/>
              </w:rPr>
              <w:t>Access control and least privilege over personal data</w:t>
            </w:r>
          </w:p>
        </w:tc>
        <w:tc>
          <w:tcPr>
            <w:tcW w:type="dxa" w:w="1295"/>
          </w:tcPr>
          <w:p>
            <w:pPr>
              <w:spacing w:before="20" w:after="20"/>
              <w:jc w:val="center"/>
            </w:pPr>
            <w:r/>
            <w:r>
              <w:rPr>
                <w:rFonts w:ascii="Arial" w:hAnsi="Arial"/>
                <w:b w:val="0"/>
                <w:i w:val="0"/>
                <w:sz w:val="16"/>
              </w:rPr>
              <w:t>Critical</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SEC-03</w:t>
            </w:r>
          </w:p>
        </w:tc>
        <w:tc>
          <w:tcPr>
            <w:tcW w:type="dxa" w:w="3749"/>
          </w:tcPr>
          <w:p>
            <w:pPr>
              <w:spacing w:before="20" w:after="20"/>
            </w:pPr>
            <w:r/>
            <w:r>
              <w:rPr>
                <w:rFonts w:ascii="Times New Roman" w:hAnsi="Times New Roman"/>
                <w:b w:val="0"/>
                <w:i w:val="0"/>
                <w:sz w:val="17"/>
              </w:rPr>
              <w:t>Encryption, masking or obfuscation of personal data</w:t>
            </w:r>
          </w:p>
        </w:tc>
        <w:tc>
          <w:tcPr>
            <w:tcW w:type="dxa" w:w="1295"/>
          </w:tcPr>
          <w:p>
            <w:pPr>
              <w:spacing w:before="20" w:after="20"/>
              <w:jc w:val="center"/>
            </w:pPr>
            <w:r/>
            <w:r>
              <w:rPr>
                <w:rFonts w:ascii="Arial" w:hAnsi="Arial"/>
                <w:b w:val="0"/>
                <w:i w:val="0"/>
                <w:sz w:val="16"/>
              </w:rPr>
              <w:t>Critical</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SEC-04</w:t>
            </w:r>
          </w:p>
        </w:tc>
        <w:tc>
          <w:tcPr>
            <w:tcW w:type="dxa" w:w="3749"/>
          </w:tcPr>
          <w:p>
            <w:pPr>
              <w:spacing w:before="20" w:after="20"/>
            </w:pPr>
            <w:r/>
            <w:r>
              <w:rPr>
                <w:rFonts w:ascii="Times New Roman" w:hAnsi="Times New Roman"/>
                <w:b w:val="0"/>
                <w:i w:val="0"/>
                <w:sz w:val="17"/>
              </w:rPr>
              <w:t>Logging, monitoring and detection</w:t>
            </w:r>
          </w:p>
        </w:tc>
        <w:tc>
          <w:tcPr>
            <w:tcW w:type="dxa" w:w="1295"/>
          </w:tcPr>
          <w:p>
            <w:pPr>
              <w:spacing w:before="20" w:after="20"/>
              <w:jc w:val="center"/>
            </w:pPr>
            <w:r/>
            <w:r>
              <w:rPr>
                <w:rFonts w:ascii="Arial" w:hAnsi="Arial"/>
                <w:b w:val="0"/>
                <w:i w:val="0"/>
                <w:sz w:val="16"/>
              </w:rPr>
              <w:t>High</w:t>
            </w:r>
          </w:p>
        </w:tc>
        <w:tc>
          <w:tcPr>
            <w:tcW w:type="dxa" w:w="886"/>
            <w:shd w:val="clear" w:color="auto" w:fill="D2E7C4"/>
          </w:tcPr>
          <w:p>
            <w:pPr>
              <w:spacing w:before="20" w:after="20"/>
              <w:jc w:val="center"/>
            </w:pPr>
            <w:r/>
            <w:r>
              <w:rPr>
                <w:rFonts w:ascii="Arial" w:hAnsi="Arial"/>
                <w:b/>
                <w:i w:val="0"/>
                <w:sz w:val="18"/>
              </w:rPr>
              <w:t>4</w:t>
            </w:r>
          </w:p>
        </w:tc>
        <w:tc>
          <w:tcPr>
            <w:tcW w:type="dxa" w:w="1568"/>
          </w:tcPr>
          <w:p>
            <w:pPr>
              <w:spacing w:before="20" w:after="20"/>
              <w:jc w:val="center"/>
            </w:pPr>
            <w:r/>
            <w:r>
              <w:rPr>
                <w:rFonts w:ascii="Arial" w:hAnsi="Arial"/>
                <w:b w:val="0"/>
                <w:i w:val="0"/>
                <w:sz w:val="16"/>
              </w:rPr>
              <w:t>Compliant</w:t>
            </w:r>
          </w:p>
        </w:tc>
        <w:tc>
          <w:tcPr>
            <w:tcW w:type="dxa" w:w="954"/>
          </w:tcPr>
          <w:p>
            <w:pPr>
              <w:spacing w:before="20" w:after="20"/>
              <w:jc w:val="center"/>
            </w:pPr>
            <w:r/>
            <w:r>
              <w:rPr>
                <w:rFonts w:ascii="Arial" w:hAnsi="Arial"/>
                <w:b w:val="0"/>
                <w:i w:val="0"/>
                <w:sz w:val="17"/>
              </w:rPr>
              <w:t>0</w:t>
            </w:r>
          </w:p>
        </w:tc>
      </w:tr>
      <w:tr>
        <w:trPr>
          <w:cantSplit/>
        </w:trPr>
        <w:tc>
          <w:tcPr>
            <w:tcW w:type="dxa" w:w="1295"/>
          </w:tcPr>
          <w:p>
            <w:pPr>
              <w:spacing w:before="20" w:after="20"/>
              <w:jc w:val="center"/>
            </w:pPr>
            <w:r/>
            <w:r>
              <w:rPr>
                <w:rFonts w:ascii="Arial" w:hAnsi="Arial"/>
                <w:b w:val="0"/>
                <w:i w:val="0"/>
                <w:sz w:val="17"/>
              </w:rPr>
              <w:t>SEC-05</w:t>
            </w:r>
          </w:p>
        </w:tc>
        <w:tc>
          <w:tcPr>
            <w:tcW w:type="dxa" w:w="3749"/>
          </w:tcPr>
          <w:p>
            <w:pPr>
              <w:spacing w:before="20" w:after="20"/>
            </w:pPr>
            <w:r/>
            <w:r>
              <w:rPr>
                <w:rFonts w:ascii="Times New Roman" w:hAnsi="Times New Roman"/>
                <w:b w:val="0"/>
                <w:i w:val="0"/>
                <w:sz w:val="17"/>
              </w:rPr>
              <w:t>Vulnerability management and patching</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SEC-06</w:t>
            </w:r>
          </w:p>
        </w:tc>
        <w:tc>
          <w:tcPr>
            <w:tcW w:type="dxa" w:w="3749"/>
          </w:tcPr>
          <w:p>
            <w:pPr>
              <w:spacing w:before="20" w:after="20"/>
            </w:pPr>
            <w:r/>
            <w:r>
              <w:rPr>
                <w:rFonts w:ascii="Times New Roman" w:hAnsi="Times New Roman"/>
                <w:b w:val="0"/>
                <w:i w:val="0"/>
                <w:sz w:val="17"/>
              </w:rPr>
              <w:t>Secure development and change control</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SEC-07</w:t>
            </w:r>
          </w:p>
        </w:tc>
        <w:tc>
          <w:tcPr>
            <w:tcW w:type="dxa" w:w="3749"/>
          </w:tcPr>
          <w:p>
            <w:pPr>
              <w:spacing w:before="20" w:after="20"/>
            </w:pPr>
            <w:r/>
            <w:r>
              <w:rPr>
                <w:rFonts w:ascii="Times New Roman" w:hAnsi="Times New Roman"/>
                <w:b w:val="0"/>
                <w:i w:val="0"/>
                <w:sz w:val="17"/>
              </w:rPr>
              <w:t>Backup, recovery and integrity</w:t>
            </w:r>
          </w:p>
        </w:tc>
        <w:tc>
          <w:tcPr>
            <w:tcW w:type="dxa" w:w="1295"/>
          </w:tcPr>
          <w:p>
            <w:pPr>
              <w:spacing w:before="20" w:after="20"/>
              <w:jc w:val="center"/>
            </w:pPr>
            <w:r/>
            <w:r>
              <w:rPr>
                <w:rFonts w:ascii="Arial" w:hAnsi="Arial"/>
                <w:b w:val="0"/>
                <w:i w:val="0"/>
                <w:sz w:val="16"/>
              </w:rPr>
              <w:t>High</w:t>
            </w:r>
          </w:p>
        </w:tc>
        <w:tc>
          <w:tcPr>
            <w:tcW w:type="dxa" w:w="886"/>
            <w:shd w:val="clear" w:color="auto" w:fill="D2E7C4"/>
          </w:tcPr>
          <w:p>
            <w:pPr>
              <w:spacing w:before="20" w:after="20"/>
              <w:jc w:val="center"/>
            </w:pPr>
            <w:r/>
            <w:r>
              <w:rPr>
                <w:rFonts w:ascii="Arial" w:hAnsi="Arial"/>
                <w:b/>
                <w:i w:val="0"/>
                <w:sz w:val="18"/>
              </w:rPr>
              <w:t>4</w:t>
            </w:r>
          </w:p>
        </w:tc>
        <w:tc>
          <w:tcPr>
            <w:tcW w:type="dxa" w:w="1568"/>
          </w:tcPr>
          <w:p>
            <w:pPr>
              <w:spacing w:before="20" w:after="20"/>
              <w:jc w:val="center"/>
            </w:pPr>
            <w:r/>
            <w:r>
              <w:rPr>
                <w:rFonts w:ascii="Arial" w:hAnsi="Arial"/>
                <w:b w:val="0"/>
                <w:i w:val="0"/>
                <w:sz w:val="16"/>
              </w:rPr>
              <w:t>Compliant</w:t>
            </w:r>
          </w:p>
        </w:tc>
        <w:tc>
          <w:tcPr>
            <w:tcW w:type="dxa" w:w="954"/>
          </w:tcPr>
          <w:p>
            <w:pPr>
              <w:spacing w:before="20" w:after="20"/>
              <w:jc w:val="center"/>
            </w:pPr>
            <w:r/>
            <w:r>
              <w:rPr>
                <w:rFonts w:ascii="Arial" w:hAnsi="Arial"/>
                <w:b w:val="0"/>
                <w:i w:val="0"/>
                <w:sz w:val="17"/>
              </w:rPr>
              <w:t>0</w:t>
            </w:r>
          </w:p>
        </w:tc>
      </w:tr>
      <w:tr>
        <w:trPr>
          <w:cantSplit/>
        </w:trPr>
        <w:tc>
          <w:tcPr>
            <w:tcW w:type="dxa" w:w="1295"/>
          </w:tcPr>
          <w:p>
            <w:pPr>
              <w:spacing w:before="20" w:after="20"/>
              <w:jc w:val="center"/>
            </w:pPr>
            <w:r/>
            <w:r>
              <w:rPr>
                <w:rFonts w:ascii="Arial" w:hAnsi="Arial"/>
                <w:b w:val="0"/>
                <w:i w:val="0"/>
                <w:sz w:val="17"/>
              </w:rPr>
              <w:t>SEC-08</w:t>
            </w:r>
          </w:p>
        </w:tc>
        <w:tc>
          <w:tcPr>
            <w:tcW w:type="dxa" w:w="3749"/>
          </w:tcPr>
          <w:p>
            <w:pPr>
              <w:spacing w:before="20" w:after="20"/>
            </w:pPr>
            <w:r/>
            <w:r>
              <w:rPr>
                <w:rFonts w:ascii="Times New Roman" w:hAnsi="Times New Roman"/>
                <w:b w:val="0"/>
                <w:i w:val="0"/>
                <w:sz w:val="17"/>
              </w:rPr>
              <w:t>Personnel, endpoint and physical safeguards</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SEC-09</w:t>
            </w:r>
          </w:p>
        </w:tc>
        <w:tc>
          <w:tcPr>
            <w:tcW w:type="dxa" w:w="3749"/>
          </w:tcPr>
          <w:p>
            <w:pPr>
              <w:spacing w:before="20" w:after="20"/>
            </w:pPr>
            <w:r/>
            <w:r>
              <w:rPr>
                <w:rFonts w:ascii="Times New Roman" w:hAnsi="Times New Roman"/>
                <w:b w:val="0"/>
                <w:i w:val="0"/>
                <w:sz w:val="17"/>
              </w:rPr>
              <w:t>Effectiveness of safeguards independently tested</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5044"/>
            <w:gridSpan w:val="2"/>
            <w:shd w:val="clear" w:color="auto" w:fill="EEF2F7"/>
          </w:tcPr>
          <w:p>
            <w:pPr>
              <w:spacing w:before="20" w:after="20"/>
            </w:pPr>
            <w:r/>
            <w:r>
              <w:rPr>
                <w:rFonts w:ascii="Arial" w:hAnsi="Arial"/>
                <w:b/>
                <w:i w:val="0"/>
                <w:sz w:val="18"/>
              </w:rPr>
              <w:t>BRC — Personal Data Breach Notification</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62.3% — Managed</w:t>
            </w:r>
          </w:p>
        </w:tc>
      </w:tr>
      <w:tr>
        <w:trPr>
          <w:cantSplit/>
        </w:trPr>
        <w:tc>
          <w:tcPr>
            <w:tcW w:type="dxa" w:w="1295"/>
          </w:tcPr>
          <w:p>
            <w:pPr>
              <w:spacing w:before="20" w:after="20"/>
              <w:jc w:val="center"/>
            </w:pPr>
            <w:r/>
            <w:r>
              <w:rPr>
                <w:rFonts w:ascii="Arial" w:hAnsi="Arial"/>
                <w:b w:val="0"/>
                <w:i w:val="0"/>
                <w:sz w:val="17"/>
              </w:rPr>
              <w:t>BRC-01</w:t>
            </w:r>
          </w:p>
        </w:tc>
        <w:tc>
          <w:tcPr>
            <w:tcW w:type="dxa" w:w="3749"/>
          </w:tcPr>
          <w:p>
            <w:pPr>
              <w:spacing w:before="20" w:after="20"/>
            </w:pPr>
            <w:r/>
            <w:r>
              <w:rPr>
                <w:rFonts w:ascii="Times New Roman" w:hAnsi="Times New Roman"/>
                <w:b w:val="0"/>
                <w:i w:val="0"/>
                <w:sz w:val="17"/>
              </w:rPr>
              <w:t>Personal data breach correctly defined in internal procedure</w:t>
            </w:r>
          </w:p>
        </w:tc>
        <w:tc>
          <w:tcPr>
            <w:tcW w:type="dxa" w:w="1295"/>
          </w:tcPr>
          <w:p>
            <w:pPr>
              <w:spacing w:before="20" w:after="20"/>
              <w:jc w:val="center"/>
            </w:pPr>
            <w:r/>
            <w:r>
              <w:rPr>
                <w:rFonts w:ascii="Arial" w:hAnsi="Arial"/>
                <w:b w:val="0"/>
                <w:i w:val="0"/>
                <w:sz w:val="16"/>
              </w:rPr>
              <w:t>Critical</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BRC-02</w:t>
            </w:r>
          </w:p>
        </w:tc>
        <w:tc>
          <w:tcPr>
            <w:tcW w:type="dxa" w:w="3749"/>
          </w:tcPr>
          <w:p>
            <w:pPr>
              <w:spacing w:before="20" w:after="20"/>
            </w:pPr>
            <w:r/>
            <w:r>
              <w:rPr>
                <w:rFonts w:ascii="Times New Roman" w:hAnsi="Times New Roman"/>
                <w:b w:val="0"/>
                <w:i w:val="0"/>
                <w:sz w:val="17"/>
              </w:rPr>
              <w:t>Detection and escalation capability</w:t>
            </w:r>
          </w:p>
        </w:tc>
        <w:tc>
          <w:tcPr>
            <w:tcW w:type="dxa" w:w="1295"/>
          </w:tcPr>
          <w:p>
            <w:pPr>
              <w:spacing w:before="20" w:after="20"/>
              <w:jc w:val="center"/>
            </w:pPr>
            <w:r/>
            <w:r>
              <w:rPr>
                <w:rFonts w:ascii="Arial" w:hAnsi="Arial"/>
                <w:b w:val="0"/>
                <w:i w:val="0"/>
                <w:sz w:val="16"/>
              </w:rPr>
              <w:t>Critical</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BRC-03</w:t>
            </w:r>
          </w:p>
        </w:tc>
        <w:tc>
          <w:tcPr>
            <w:tcW w:type="dxa" w:w="3749"/>
          </w:tcPr>
          <w:p>
            <w:pPr>
              <w:spacing w:before="20" w:after="20"/>
            </w:pPr>
            <w:r/>
            <w:r>
              <w:rPr>
                <w:rFonts w:ascii="Times New Roman" w:hAnsi="Times New Roman"/>
                <w:b w:val="0"/>
                <w:i w:val="0"/>
                <w:sz w:val="17"/>
              </w:rPr>
              <w:t>Intimation to the Board in the prescribed form and time</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BRC-04</w:t>
            </w:r>
          </w:p>
        </w:tc>
        <w:tc>
          <w:tcPr>
            <w:tcW w:type="dxa" w:w="3749"/>
          </w:tcPr>
          <w:p>
            <w:pPr>
              <w:spacing w:before="20" w:after="20"/>
            </w:pPr>
            <w:r/>
            <w:r>
              <w:rPr>
                <w:rFonts w:ascii="Times New Roman" w:hAnsi="Times New Roman"/>
                <w:b w:val="0"/>
                <w:i w:val="0"/>
                <w:sz w:val="17"/>
              </w:rPr>
              <w:t>Intimation to each affected Data Principal</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BRC-05</w:t>
            </w:r>
          </w:p>
        </w:tc>
        <w:tc>
          <w:tcPr>
            <w:tcW w:type="dxa" w:w="3749"/>
          </w:tcPr>
          <w:p>
            <w:pPr>
              <w:spacing w:before="20" w:after="20"/>
            </w:pPr>
            <w:r/>
            <w:r>
              <w:rPr>
                <w:rFonts w:ascii="Times New Roman" w:hAnsi="Times New Roman"/>
                <w:b w:val="0"/>
                <w:i w:val="0"/>
                <w:sz w:val="17"/>
              </w:rPr>
              <w:t>Breach register and documentation</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BRC-06</w:t>
            </w:r>
          </w:p>
        </w:tc>
        <w:tc>
          <w:tcPr>
            <w:tcW w:type="dxa" w:w="3749"/>
          </w:tcPr>
          <w:p>
            <w:pPr>
              <w:spacing w:before="20" w:after="20"/>
            </w:pPr>
            <w:r/>
            <w:r>
              <w:rPr>
                <w:rFonts w:ascii="Times New Roman" w:hAnsi="Times New Roman"/>
                <w:b w:val="0"/>
                <w:i w:val="0"/>
                <w:sz w:val="17"/>
              </w:rPr>
              <w:t>Breach response rehearsed and post-incident remediation tracked</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5044"/>
            <w:gridSpan w:val="2"/>
            <w:shd w:val="clear" w:color="auto" w:fill="EEF2F7"/>
          </w:tcPr>
          <w:p>
            <w:pPr>
              <w:spacing w:before="20" w:after="20"/>
            </w:pPr>
            <w:r/>
            <w:r>
              <w:rPr>
                <w:rFonts w:ascii="Arial" w:hAnsi="Arial"/>
                <w:b/>
                <w:i w:val="0"/>
                <w:sz w:val="18"/>
              </w:rPr>
              <w:t>CHD — Children &amp; Persons with Disability</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34.8% — Initial</w:t>
            </w:r>
          </w:p>
        </w:tc>
      </w:tr>
      <w:tr>
        <w:trPr>
          <w:cantSplit/>
        </w:trPr>
        <w:tc>
          <w:tcPr>
            <w:tcW w:type="dxa" w:w="1295"/>
          </w:tcPr>
          <w:p>
            <w:pPr>
              <w:spacing w:before="20" w:after="20"/>
              <w:jc w:val="center"/>
            </w:pPr>
            <w:r/>
            <w:r>
              <w:rPr>
                <w:rFonts w:ascii="Arial" w:hAnsi="Arial"/>
                <w:b w:val="0"/>
                <w:i w:val="0"/>
                <w:sz w:val="17"/>
              </w:rPr>
              <w:t>CHD-01</w:t>
            </w:r>
          </w:p>
        </w:tc>
        <w:tc>
          <w:tcPr>
            <w:tcW w:type="dxa" w:w="3749"/>
          </w:tcPr>
          <w:p>
            <w:pPr>
              <w:spacing w:before="20" w:after="20"/>
            </w:pPr>
            <w:r/>
            <w:r>
              <w:rPr>
                <w:rFonts w:ascii="Times New Roman" w:hAnsi="Times New Roman"/>
                <w:b w:val="0"/>
                <w:i w:val="0"/>
                <w:sz w:val="17"/>
              </w:rPr>
              <w:t>Age determination and identification of child users</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CHD-02</w:t>
            </w:r>
          </w:p>
        </w:tc>
        <w:tc>
          <w:tcPr>
            <w:tcW w:type="dxa" w:w="3749"/>
          </w:tcPr>
          <w:p>
            <w:pPr>
              <w:spacing w:before="20" w:after="20"/>
            </w:pPr>
            <w:r/>
            <w:r>
              <w:rPr>
                <w:rFonts w:ascii="Times New Roman" w:hAnsi="Times New Roman"/>
                <w:b w:val="0"/>
                <w:i w:val="0"/>
                <w:sz w:val="17"/>
              </w:rPr>
              <w:t>Verifiable consent of parent or lawful guardian</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CHD-03</w:t>
            </w:r>
          </w:p>
        </w:tc>
        <w:tc>
          <w:tcPr>
            <w:tcW w:type="dxa" w:w="3749"/>
          </w:tcPr>
          <w:p>
            <w:pPr>
              <w:spacing w:before="20" w:after="20"/>
            </w:pPr>
            <w:r/>
            <w:r>
              <w:rPr>
                <w:rFonts w:ascii="Times New Roman" w:hAnsi="Times New Roman"/>
                <w:b w:val="0"/>
                <w:i w:val="0"/>
                <w:sz w:val="17"/>
              </w:rPr>
              <w:t>No tracking, behavioural monitoring or targeted advertising to children</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0</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16</w:t>
            </w:r>
          </w:p>
        </w:tc>
      </w:tr>
      <w:tr>
        <w:trPr>
          <w:cantSplit/>
        </w:trPr>
        <w:tc>
          <w:tcPr>
            <w:tcW w:type="dxa" w:w="1295"/>
          </w:tcPr>
          <w:p>
            <w:pPr>
              <w:spacing w:before="20" w:after="20"/>
              <w:jc w:val="center"/>
            </w:pPr>
            <w:r/>
            <w:r>
              <w:rPr>
                <w:rFonts w:ascii="Arial" w:hAnsi="Arial"/>
                <w:b w:val="0"/>
                <w:i w:val="0"/>
                <w:sz w:val="17"/>
              </w:rPr>
              <w:t>CHD-04</w:t>
            </w:r>
          </w:p>
        </w:tc>
        <w:tc>
          <w:tcPr>
            <w:tcW w:type="dxa" w:w="3749"/>
          </w:tcPr>
          <w:p>
            <w:pPr>
              <w:spacing w:before="20" w:after="20"/>
            </w:pPr>
            <w:r/>
            <w:r>
              <w:rPr>
                <w:rFonts w:ascii="Times New Roman" w:hAnsi="Times New Roman"/>
                <w:b w:val="0"/>
                <w:i w:val="0"/>
                <w:sz w:val="17"/>
              </w:rPr>
              <w:t>No processing likely to cause detrimental effect on a child's wellbeing</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CHD-05</w:t>
            </w:r>
          </w:p>
        </w:tc>
        <w:tc>
          <w:tcPr>
            <w:tcW w:type="dxa" w:w="3749"/>
          </w:tcPr>
          <w:p>
            <w:pPr>
              <w:spacing w:before="20" w:after="20"/>
            </w:pPr>
            <w:r/>
            <w:r>
              <w:rPr>
                <w:rFonts w:ascii="Times New Roman" w:hAnsi="Times New Roman"/>
                <w:b w:val="0"/>
                <w:i w:val="0"/>
                <w:sz w:val="17"/>
              </w:rPr>
              <w:t>Persons with disability having a lawful guardian</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5044"/>
            <w:gridSpan w:val="2"/>
            <w:shd w:val="clear" w:color="auto" w:fill="EEF2F7"/>
          </w:tcPr>
          <w:p>
            <w:pPr>
              <w:spacing w:before="20" w:after="20"/>
            </w:pPr>
            <w:r/>
            <w:r>
              <w:rPr>
                <w:rFonts w:ascii="Arial" w:hAnsi="Arial"/>
                <w:b/>
                <w:i w:val="0"/>
                <w:sz w:val="18"/>
              </w:rPr>
              <w:t>PRO — Processors &amp; Vendor Contracts</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58.2% — Developing</w:t>
            </w:r>
          </w:p>
        </w:tc>
      </w:tr>
      <w:tr>
        <w:trPr>
          <w:cantSplit/>
        </w:trPr>
        <w:tc>
          <w:tcPr>
            <w:tcW w:type="dxa" w:w="1295"/>
          </w:tcPr>
          <w:p>
            <w:pPr>
              <w:spacing w:before="20" w:after="20"/>
              <w:jc w:val="center"/>
            </w:pPr>
            <w:r/>
            <w:r>
              <w:rPr>
                <w:rFonts w:ascii="Arial" w:hAnsi="Arial"/>
                <w:b w:val="0"/>
                <w:i w:val="0"/>
                <w:sz w:val="17"/>
              </w:rPr>
              <w:t>PRO-01</w:t>
            </w:r>
          </w:p>
        </w:tc>
        <w:tc>
          <w:tcPr>
            <w:tcW w:type="dxa" w:w="3749"/>
          </w:tcPr>
          <w:p>
            <w:pPr>
              <w:spacing w:before="20" w:after="20"/>
            </w:pPr>
            <w:r/>
            <w:r>
              <w:rPr>
                <w:rFonts w:ascii="Times New Roman" w:hAnsi="Times New Roman"/>
                <w:b w:val="0"/>
                <w:i w:val="0"/>
                <w:sz w:val="17"/>
              </w:rPr>
              <w:t>Complete inventory of Data Processors and onward recipients</w:t>
            </w:r>
          </w:p>
        </w:tc>
        <w:tc>
          <w:tcPr>
            <w:tcW w:type="dxa" w:w="1295"/>
          </w:tcPr>
          <w:p>
            <w:pPr>
              <w:spacing w:before="20" w:after="20"/>
              <w:jc w:val="center"/>
            </w:pPr>
            <w:r/>
            <w:r>
              <w:rPr>
                <w:rFonts w:ascii="Arial" w:hAnsi="Arial"/>
                <w:b w:val="0"/>
                <w:i w:val="0"/>
                <w:sz w:val="16"/>
              </w:rPr>
              <w:t>Critical</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PRO-02</w:t>
            </w:r>
          </w:p>
        </w:tc>
        <w:tc>
          <w:tcPr>
            <w:tcW w:type="dxa" w:w="3749"/>
          </w:tcPr>
          <w:p>
            <w:pPr>
              <w:spacing w:before="20" w:after="20"/>
            </w:pPr>
            <w:r/>
            <w:r>
              <w:rPr>
                <w:rFonts w:ascii="Times New Roman" w:hAnsi="Times New Roman"/>
                <w:b w:val="0"/>
                <w:i w:val="0"/>
                <w:sz w:val="17"/>
              </w:rPr>
              <w:t>Valid contract in place with every Data Processor</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PRO-03</w:t>
            </w:r>
          </w:p>
        </w:tc>
        <w:tc>
          <w:tcPr>
            <w:tcW w:type="dxa" w:w="3749"/>
          </w:tcPr>
          <w:p>
            <w:pPr>
              <w:spacing w:before="20" w:after="20"/>
            </w:pPr>
            <w:r/>
            <w:r>
              <w:rPr>
                <w:rFonts w:ascii="Times New Roman" w:hAnsi="Times New Roman"/>
                <w:b w:val="0"/>
                <w:i w:val="0"/>
                <w:sz w:val="17"/>
              </w:rPr>
              <w:t>Safeguards, erasure and breach obligations flowed down</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PRO-04</w:t>
            </w:r>
          </w:p>
        </w:tc>
        <w:tc>
          <w:tcPr>
            <w:tcW w:type="dxa" w:w="3749"/>
          </w:tcPr>
          <w:p>
            <w:pPr>
              <w:spacing w:before="20" w:after="20"/>
            </w:pPr>
            <w:r/>
            <w:r>
              <w:rPr>
                <w:rFonts w:ascii="Times New Roman" w:hAnsi="Times New Roman"/>
                <w:b w:val="0"/>
                <w:i w:val="0"/>
                <w:sz w:val="17"/>
              </w:rPr>
              <w:t>Sub-processor control and authorisation</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1295"/>
          </w:tcPr>
          <w:p>
            <w:pPr>
              <w:spacing w:before="20" w:after="20"/>
              <w:jc w:val="center"/>
            </w:pPr>
            <w:r/>
            <w:r>
              <w:rPr>
                <w:rFonts w:ascii="Arial" w:hAnsi="Arial"/>
                <w:b w:val="0"/>
                <w:i w:val="0"/>
                <w:sz w:val="17"/>
              </w:rPr>
              <w:t>PRO-05</w:t>
            </w:r>
          </w:p>
        </w:tc>
        <w:tc>
          <w:tcPr>
            <w:tcW w:type="dxa" w:w="3749"/>
          </w:tcPr>
          <w:p>
            <w:pPr>
              <w:spacing w:before="20" w:after="20"/>
            </w:pPr>
            <w:r/>
            <w:r>
              <w:rPr>
                <w:rFonts w:ascii="Times New Roman" w:hAnsi="Times New Roman"/>
                <w:b w:val="0"/>
                <w:i w:val="0"/>
                <w:sz w:val="17"/>
              </w:rPr>
              <w:t>Processor assurance and monitoring</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PRO-06</w:t>
            </w:r>
          </w:p>
        </w:tc>
        <w:tc>
          <w:tcPr>
            <w:tcW w:type="dxa" w:w="3749"/>
          </w:tcPr>
          <w:p>
            <w:pPr>
              <w:spacing w:before="20" w:after="20"/>
            </w:pPr>
            <w:r/>
            <w:r>
              <w:rPr>
                <w:rFonts w:ascii="Times New Roman" w:hAnsi="Times New Roman"/>
                <w:b w:val="0"/>
                <w:i w:val="0"/>
                <w:sz w:val="17"/>
              </w:rPr>
              <w:t>Exit, transition and return or erasure on termination</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5044"/>
            <w:gridSpan w:val="2"/>
            <w:shd w:val="clear" w:color="auto" w:fill="EEF2F7"/>
          </w:tcPr>
          <w:p>
            <w:pPr>
              <w:spacing w:before="20" w:after="20"/>
            </w:pPr>
            <w:r/>
            <w:r>
              <w:rPr>
                <w:rFonts w:ascii="Arial" w:hAnsi="Arial"/>
                <w:b/>
                <w:i w:val="0"/>
                <w:sz w:val="18"/>
              </w:rPr>
              <w:t>XBD — Cross-Border Transfers</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56.5% — Developing</w:t>
            </w:r>
          </w:p>
        </w:tc>
      </w:tr>
      <w:tr>
        <w:trPr>
          <w:cantSplit/>
        </w:trPr>
        <w:tc>
          <w:tcPr>
            <w:tcW w:type="dxa" w:w="1295"/>
          </w:tcPr>
          <w:p>
            <w:pPr>
              <w:spacing w:before="20" w:after="20"/>
              <w:jc w:val="center"/>
            </w:pPr>
            <w:r/>
            <w:r>
              <w:rPr>
                <w:rFonts w:ascii="Arial" w:hAnsi="Arial"/>
                <w:b w:val="0"/>
                <w:i w:val="0"/>
                <w:sz w:val="17"/>
              </w:rPr>
              <w:t>XBD-01</w:t>
            </w:r>
          </w:p>
        </w:tc>
        <w:tc>
          <w:tcPr>
            <w:tcW w:type="dxa" w:w="3749"/>
          </w:tcPr>
          <w:p>
            <w:pPr>
              <w:spacing w:before="20" w:after="20"/>
            </w:pPr>
            <w:r/>
            <w:r>
              <w:rPr>
                <w:rFonts w:ascii="Times New Roman" w:hAnsi="Times New Roman"/>
                <w:b w:val="0"/>
                <w:i w:val="0"/>
                <w:sz w:val="17"/>
              </w:rPr>
              <w:t>Cross-border transfers mapped</w:t>
            </w:r>
          </w:p>
        </w:tc>
        <w:tc>
          <w:tcPr>
            <w:tcW w:type="dxa" w:w="1295"/>
          </w:tcPr>
          <w:p>
            <w:pPr>
              <w:spacing w:before="20" w:after="20"/>
              <w:jc w:val="center"/>
            </w:pPr>
            <w:r/>
            <w:r>
              <w:rPr>
                <w:rFonts w:ascii="Arial" w:hAnsi="Arial"/>
                <w:b w:val="0"/>
                <w:i w:val="0"/>
                <w:sz w:val="16"/>
              </w:rPr>
              <w:t>High</w:t>
            </w:r>
          </w:p>
        </w:tc>
        <w:tc>
          <w:tcPr>
            <w:tcW w:type="dxa" w:w="886"/>
            <w:shd w:val="clear" w:color="auto" w:fill="E4EFDC"/>
          </w:tcPr>
          <w:p>
            <w:pPr>
              <w:spacing w:before="20" w:after="20"/>
              <w:jc w:val="center"/>
            </w:pPr>
            <w:r/>
            <w:r>
              <w:rPr>
                <w:rFonts w:ascii="Arial" w:hAnsi="Arial"/>
                <w:b/>
                <w:i w:val="0"/>
                <w:sz w:val="18"/>
              </w:rPr>
              <w:t>3</w:t>
            </w:r>
          </w:p>
        </w:tc>
        <w:tc>
          <w:tcPr>
            <w:tcW w:type="dxa" w:w="1568"/>
          </w:tcPr>
          <w:p>
            <w:pPr>
              <w:spacing w:before="20" w:after="20"/>
              <w:jc w:val="center"/>
            </w:pPr>
            <w:r/>
            <w:r>
              <w:rPr>
                <w:rFonts w:ascii="Arial" w:hAnsi="Arial"/>
                <w:b w:val="0"/>
                <w:i w:val="0"/>
                <w:sz w:val="16"/>
              </w:rPr>
              <w:t>Substantially 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XBD-02</w:t>
            </w:r>
          </w:p>
        </w:tc>
        <w:tc>
          <w:tcPr>
            <w:tcW w:type="dxa" w:w="3749"/>
          </w:tcPr>
          <w:p>
            <w:pPr>
              <w:spacing w:before="20" w:after="20"/>
            </w:pPr>
            <w:r/>
            <w:r>
              <w:rPr>
                <w:rFonts w:ascii="Times New Roman" w:hAnsi="Times New Roman"/>
                <w:b w:val="0"/>
                <w:i w:val="0"/>
                <w:sz w:val="17"/>
              </w:rPr>
              <w:t>Monitoring of restricted-country notifications</w:t>
            </w:r>
          </w:p>
        </w:tc>
        <w:tc>
          <w:tcPr>
            <w:tcW w:type="dxa" w:w="1295"/>
          </w:tcPr>
          <w:p>
            <w:pPr>
              <w:spacing w:before="20" w:after="20"/>
              <w:jc w:val="center"/>
            </w:pPr>
            <w:r/>
            <w:r>
              <w:rPr>
                <w:rFonts w:ascii="Arial" w:hAnsi="Arial"/>
                <w:b w:val="0"/>
                <w:i w:val="0"/>
                <w:sz w:val="16"/>
              </w:rPr>
              <w:t>Medium</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XBD-03</w:t>
            </w:r>
          </w:p>
        </w:tc>
        <w:tc>
          <w:tcPr>
            <w:tcW w:type="dxa" w:w="3749"/>
          </w:tcPr>
          <w:p>
            <w:pPr>
              <w:spacing w:before="20" w:after="20"/>
            </w:pPr>
            <w:r/>
            <w:r>
              <w:rPr>
                <w:rFonts w:ascii="Times New Roman" w:hAnsi="Times New Roman"/>
                <w:b w:val="0"/>
                <w:i w:val="0"/>
                <w:sz w:val="17"/>
              </w:rPr>
              <w:t>Stricter sectoral localisation requirements identified and met</w:t>
            </w:r>
          </w:p>
        </w:tc>
        <w:tc>
          <w:tcPr>
            <w:tcW w:type="dxa" w:w="1295"/>
          </w:tcPr>
          <w:p>
            <w:pPr>
              <w:spacing w:before="20" w:after="20"/>
              <w:jc w:val="center"/>
            </w:pPr>
            <w:r/>
            <w:r>
              <w:rPr>
                <w:rFonts w:ascii="Arial" w:hAnsi="Arial"/>
                <w:b w:val="0"/>
                <w:i w:val="0"/>
                <w:sz w:val="16"/>
              </w:rPr>
              <w:t>Critical</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8</w:t>
            </w:r>
          </w:p>
        </w:tc>
      </w:tr>
      <w:tr>
        <w:trPr>
          <w:cantSplit/>
        </w:trPr>
        <w:tc>
          <w:tcPr>
            <w:tcW w:type="dxa" w:w="1295"/>
          </w:tcPr>
          <w:p>
            <w:pPr>
              <w:spacing w:before="20" w:after="20"/>
              <w:jc w:val="center"/>
            </w:pPr>
            <w:r/>
            <w:r>
              <w:rPr>
                <w:rFonts w:ascii="Arial" w:hAnsi="Arial"/>
                <w:b w:val="0"/>
                <w:i w:val="0"/>
                <w:sz w:val="17"/>
              </w:rPr>
              <w:t>XBD-04</w:t>
            </w:r>
          </w:p>
        </w:tc>
        <w:tc>
          <w:tcPr>
            <w:tcW w:type="dxa" w:w="3749"/>
          </w:tcPr>
          <w:p>
            <w:pPr>
              <w:spacing w:before="20" w:after="20"/>
            </w:pPr>
            <w:r/>
            <w:r>
              <w:rPr>
                <w:rFonts w:ascii="Times New Roman" w:hAnsi="Times New Roman"/>
                <w:b w:val="0"/>
                <w:i w:val="0"/>
                <w:sz w:val="17"/>
              </w:rPr>
              <w:t>Transfer safeguards and transparency</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5044"/>
            <w:gridSpan w:val="2"/>
            <w:shd w:val="clear" w:color="auto" w:fill="EEF2F7"/>
          </w:tcPr>
          <w:p>
            <w:pPr>
              <w:spacing w:before="20" w:after="20"/>
            </w:pPr>
            <w:r/>
            <w:r>
              <w:rPr>
                <w:rFonts w:ascii="Arial" w:hAnsi="Arial"/>
                <w:b/>
                <w:i w:val="0"/>
                <w:sz w:val="18"/>
              </w:rPr>
              <w:t>SDF — Significant Data Fiduciary Obligations</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24.3% — Initial</w:t>
            </w:r>
          </w:p>
        </w:tc>
      </w:tr>
      <w:tr>
        <w:trPr>
          <w:cantSplit/>
        </w:trPr>
        <w:tc>
          <w:tcPr>
            <w:tcW w:type="dxa" w:w="1295"/>
          </w:tcPr>
          <w:p>
            <w:pPr>
              <w:spacing w:before="20" w:after="20"/>
              <w:jc w:val="center"/>
            </w:pPr>
            <w:r/>
            <w:r>
              <w:rPr>
                <w:rFonts w:ascii="Arial" w:hAnsi="Arial"/>
                <w:b w:val="0"/>
                <w:i w:val="0"/>
                <w:sz w:val="17"/>
              </w:rPr>
              <w:t>SDF-01</w:t>
            </w:r>
          </w:p>
        </w:tc>
        <w:tc>
          <w:tcPr>
            <w:tcW w:type="dxa" w:w="3749"/>
          </w:tcPr>
          <w:p>
            <w:pPr>
              <w:spacing w:before="20" w:after="20"/>
            </w:pPr>
            <w:r/>
            <w:r>
              <w:rPr>
                <w:rFonts w:ascii="Times New Roman" w:hAnsi="Times New Roman"/>
                <w:b w:val="0"/>
                <w:i w:val="0"/>
                <w:sz w:val="17"/>
              </w:rPr>
              <w:t>Data Protection Officer appointed and based in India</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SDF-02</w:t>
            </w:r>
          </w:p>
        </w:tc>
        <w:tc>
          <w:tcPr>
            <w:tcW w:type="dxa" w:w="3749"/>
          </w:tcPr>
          <w:p>
            <w:pPr>
              <w:spacing w:before="20" w:after="20"/>
            </w:pPr>
            <w:r/>
            <w:r>
              <w:rPr>
                <w:rFonts w:ascii="Times New Roman" w:hAnsi="Times New Roman"/>
                <w:b w:val="0"/>
                <w:i w:val="0"/>
                <w:sz w:val="17"/>
              </w:rPr>
              <w:t>Independent data auditor appointed</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0</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16</w:t>
            </w:r>
          </w:p>
        </w:tc>
      </w:tr>
      <w:tr>
        <w:trPr>
          <w:cantSplit/>
        </w:trPr>
        <w:tc>
          <w:tcPr>
            <w:tcW w:type="dxa" w:w="1295"/>
          </w:tcPr>
          <w:p>
            <w:pPr>
              <w:spacing w:before="20" w:after="20"/>
              <w:jc w:val="center"/>
            </w:pPr>
            <w:r/>
            <w:r>
              <w:rPr>
                <w:rFonts w:ascii="Arial" w:hAnsi="Arial"/>
                <w:b w:val="0"/>
                <w:i w:val="0"/>
                <w:sz w:val="17"/>
              </w:rPr>
              <w:t>SDF-03</w:t>
            </w:r>
          </w:p>
        </w:tc>
        <w:tc>
          <w:tcPr>
            <w:tcW w:type="dxa" w:w="3749"/>
          </w:tcPr>
          <w:p>
            <w:pPr>
              <w:spacing w:before="20" w:after="20"/>
            </w:pPr>
            <w:r/>
            <w:r>
              <w:rPr>
                <w:rFonts w:ascii="Times New Roman" w:hAnsi="Times New Roman"/>
                <w:b w:val="0"/>
                <w:i w:val="0"/>
                <w:sz w:val="17"/>
              </w:rPr>
              <w:t>Periodic Data Protection Impact Assessment</w:t>
            </w:r>
          </w:p>
        </w:tc>
        <w:tc>
          <w:tcPr>
            <w:tcW w:type="dxa" w:w="1295"/>
          </w:tcPr>
          <w:p>
            <w:pPr>
              <w:spacing w:before="20" w:after="20"/>
              <w:jc w:val="center"/>
            </w:pPr>
            <w:r/>
            <w:r>
              <w:rPr>
                <w:rFonts w:ascii="Arial" w:hAnsi="Arial"/>
                <w:b w:val="0"/>
                <w:i w:val="0"/>
                <w:sz w:val="16"/>
              </w:rPr>
              <w:t>Critical</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12</w:t>
            </w:r>
          </w:p>
        </w:tc>
      </w:tr>
      <w:tr>
        <w:trPr>
          <w:cantSplit/>
        </w:trPr>
        <w:tc>
          <w:tcPr>
            <w:tcW w:type="dxa" w:w="1295"/>
          </w:tcPr>
          <w:p>
            <w:pPr>
              <w:spacing w:before="20" w:after="20"/>
              <w:jc w:val="center"/>
            </w:pPr>
            <w:r/>
            <w:r>
              <w:rPr>
                <w:rFonts w:ascii="Arial" w:hAnsi="Arial"/>
                <w:b w:val="0"/>
                <w:i w:val="0"/>
                <w:sz w:val="17"/>
              </w:rPr>
              <w:t>SDF-04</w:t>
            </w:r>
          </w:p>
        </w:tc>
        <w:tc>
          <w:tcPr>
            <w:tcW w:type="dxa" w:w="3749"/>
          </w:tcPr>
          <w:p>
            <w:pPr>
              <w:spacing w:before="20" w:after="20"/>
            </w:pPr>
            <w:r/>
            <w:r>
              <w:rPr>
                <w:rFonts w:ascii="Times New Roman" w:hAnsi="Times New Roman"/>
                <w:b w:val="0"/>
                <w:i w:val="0"/>
                <w:sz w:val="17"/>
              </w:rPr>
              <w:t>Periodic audit of compliance</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1295"/>
          </w:tcPr>
          <w:p>
            <w:pPr>
              <w:spacing w:before="20" w:after="20"/>
              <w:jc w:val="center"/>
            </w:pPr>
            <w:r/>
            <w:r>
              <w:rPr>
                <w:rFonts w:ascii="Arial" w:hAnsi="Arial"/>
                <w:b w:val="0"/>
                <w:i w:val="0"/>
                <w:sz w:val="17"/>
              </w:rPr>
              <w:t>SDF-05</w:t>
            </w:r>
          </w:p>
        </w:tc>
        <w:tc>
          <w:tcPr>
            <w:tcW w:type="dxa" w:w="3749"/>
          </w:tcPr>
          <w:p>
            <w:pPr>
              <w:spacing w:before="20" w:after="20"/>
            </w:pPr>
            <w:r/>
            <w:r>
              <w:rPr>
                <w:rFonts w:ascii="Times New Roman" w:hAnsi="Times New Roman"/>
                <w:b w:val="0"/>
                <w:i w:val="0"/>
                <w:sz w:val="17"/>
              </w:rPr>
              <w:t>Algorithmic software due diligence</w:t>
            </w:r>
          </w:p>
        </w:tc>
        <w:tc>
          <w:tcPr>
            <w:tcW w:type="dxa" w:w="1295"/>
          </w:tcPr>
          <w:p>
            <w:pPr>
              <w:spacing w:before="20" w:after="20"/>
              <w:jc w:val="center"/>
            </w:pPr>
            <w:r/>
            <w:r>
              <w:rPr>
                <w:rFonts w:ascii="Arial" w:hAnsi="Arial"/>
                <w:b w:val="0"/>
                <w:i w:val="0"/>
                <w:sz w:val="16"/>
              </w:rPr>
              <w:t>High</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9</w:t>
            </w:r>
          </w:p>
        </w:tc>
      </w:tr>
      <w:tr>
        <w:trPr>
          <w:cantSplit/>
        </w:trPr>
        <w:tc>
          <w:tcPr>
            <w:tcW w:type="dxa" w:w="1295"/>
          </w:tcPr>
          <w:p>
            <w:pPr>
              <w:spacing w:before="20" w:after="20"/>
              <w:jc w:val="center"/>
            </w:pPr>
            <w:r/>
            <w:r>
              <w:rPr>
                <w:rFonts w:ascii="Arial" w:hAnsi="Arial"/>
                <w:b w:val="0"/>
                <w:i w:val="0"/>
                <w:sz w:val="17"/>
              </w:rPr>
              <w:t>SDF-06</w:t>
            </w:r>
          </w:p>
        </w:tc>
        <w:tc>
          <w:tcPr>
            <w:tcW w:type="dxa" w:w="3749"/>
          </w:tcPr>
          <w:p>
            <w:pPr>
              <w:spacing w:before="20" w:after="20"/>
            </w:pPr>
            <w:r/>
            <w:r>
              <w:rPr>
                <w:rFonts w:ascii="Times New Roman" w:hAnsi="Times New Roman"/>
                <w:b w:val="0"/>
                <w:i w:val="0"/>
                <w:sz w:val="17"/>
              </w:rPr>
              <w:t>Transfer restrictions applicable to a Significant Data Fiduciary</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r>
        <w:trPr>
          <w:cantSplit/>
        </w:trPr>
        <w:tc>
          <w:tcPr>
            <w:tcW w:type="dxa" w:w="5044"/>
            <w:gridSpan w:val="2"/>
            <w:shd w:val="clear" w:color="auto" w:fill="EEF2F7"/>
          </w:tcPr>
          <w:p>
            <w:pPr>
              <w:spacing w:before="20" w:after="20"/>
            </w:pPr>
            <w:r/>
            <w:r>
              <w:rPr>
                <w:rFonts w:ascii="Arial" w:hAnsi="Arial"/>
                <w:b/>
                <w:i w:val="0"/>
                <w:sz w:val="18"/>
              </w:rPr>
              <w:t>BRD — Enforcement Readiness &amp; Board Engagement</w:t>
            </w:r>
          </w:p>
        </w:tc>
        <w:tc>
          <w:tcPr>
            <w:tcW w:type="dxa" w:w="1295"/>
            <w:shd w:val="clear" w:color="auto" w:fill="EEF2F7"/>
          </w:tcPr>
          <w:p>
            <w:pPr>
              <w:spacing w:before="20" w:after="20"/>
            </w:pPr>
            <w:r/>
            <w:r>
              <w:rPr>
                <w:rFonts w:ascii="Arial" w:hAnsi="Arial"/>
                <w:b w:val="0"/>
                <w:i w:val="0"/>
                <w:sz w:val="18"/>
              </w:rPr>
            </w:r>
          </w:p>
        </w:tc>
        <w:tc>
          <w:tcPr>
            <w:tcW w:type="dxa" w:w="886"/>
            <w:shd w:val="clear" w:color="auto" w:fill="EEF2F7"/>
          </w:tcPr>
          <w:p>
            <w:pPr>
              <w:spacing w:before="20" w:after="20"/>
            </w:pPr>
            <w:r/>
            <w:r>
              <w:rPr>
                <w:rFonts w:ascii="Arial" w:hAnsi="Arial"/>
                <w:b w:val="0"/>
                <w:i w:val="0"/>
                <w:sz w:val="18"/>
              </w:rPr>
            </w:r>
          </w:p>
        </w:tc>
        <w:tc>
          <w:tcPr>
            <w:tcW w:type="dxa" w:w="2522"/>
            <w:gridSpan w:val="2"/>
            <w:shd w:val="clear" w:color="auto" w:fill="EEF2F7"/>
          </w:tcPr>
          <w:p>
            <w:pPr>
              <w:spacing w:before="20" w:after="20"/>
              <w:jc w:val="center"/>
            </w:pPr>
            <w:r/>
            <w:r>
              <w:rPr>
                <w:rFonts w:ascii="Arial" w:hAnsi="Arial"/>
                <w:b/>
                <w:i w:val="0"/>
                <w:sz w:val="18"/>
              </w:rPr>
              <w:t>43.1% — Developing</w:t>
            </w:r>
          </w:p>
        </w:tc>
      </w:tr>
      <w:tr>
        <w:trPr>
          <w:cantSplit/>
        </w:trPr>
        <w:tc>
          <w:tcPr>
            <w:tcW w:type="dxa" w:w="1295"/>
          </w:tcPr>
          <w:p>
            <w:pPr>
              <w:spacing w:before="20" w:after="20"/>
              <w:jc w:val="center"/>
            </w:pPr>
            <w:r/>
            <w:r>
              <w:rPr>
                <w:rFonts w:ascii="Arial" w:hAnsi="Arial"/>
                <w:b w:val="0"/>
                <w:i w:val="0"/>
                <w:sz w:val="17"/>
              </w:rPr>
              <w:t>BRD-01</w:t>
            </w:r>
          </w:p>
        </w:tc>
        <w:tc>
          <w:tcPr>
            <w:tcW w:type="dxa" w:w="3749"/>
          </w:tcPr>
          <w:p>
            <w:pPr>
              <w:spacing w:before="20" w:after="20"/>
            </w:pPr>
            <w:r/>
            <w:r>
              <w:rPr>
                <w:rFonts w:ascii="Times New Roman" w:hAnsi="Times New Roman"/>
                <w:b w:val="0"/>
                <w:i w:val="0"/>
                <w:sz w:val="17"/>
              </w:rPr>
              <w:t>Capability to respond to a Board inquiry</w:t>
            </w:r>
          </w:p>
        </w:tc>
        <w:tc>
          <w:tcPr>
            <w:tcW w:type="dxa" w:w="1295"/>
          </w:tcPr>
          <w:p>
            <w:pPr>
              <w:spacing w:before="20" w:after="20"/>
              <w:jc w:val="center"/>
            </w:pPr>
            <w:r/>
            <w:r>
              <w:rPr>
                <w:rFonts w:ascii="Arial" w:hAnsi="Arial"/>
                <w:b w:val="0"/>
                <w:i w:val="0"/>
                <w:sz w:val="16"/>
              </w:rPr>
              <w:t>Medium</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4</w:t>
            </w:r>
          </w:p>
        </w:tc>
      </w:tr>
      <w:tr>
        <w:trPr>
          <w:cantSplit/>
        </w:trPr>
        <w:tc>
          <w:tcPr>
            <w:tcW w:type="dxa" w:w="1295"/>
          </w:tcPr>
          <w:p>
            <w:pPr>
              <w:spacing w:before="20" w:after="20"/>
              <w:jc w:val="center"/>
            </w:pPr>
            <w:r/>
            <w:r>
              <w:rPr>
                <w:rFonts w:ascii="Arial" w:hAnsi="Arial"/>
                <w:b w:val="0"/>
                <w:i w:val="0"/>
                <w:sz w:val="17"/>
              </w:rPr>
              <w:t>BRD-02</w:t>
            </w:r>
          </w:p>
        </w:tc>
        <w:tc>
          <w:tcPr>
            <w:tcW w:type="dxa" w:w="3749"/>
          </w:tcPr>
          <w:p>
            <w:pPr>
              <w:spacing w:before="20" w:after="20"/>
            </w:pPr>
            <w:r/>
            <w:r>
              <w:rPr>
                <w:rFonts w:ascii="Times New Roman" w:hAnsi="Times New Roman"/>
                <w:b w:val="0"/>
                <w:i w:val="0"/>
                <w:sz w:val="17"/>
              </w:rPr>
              <w:t>Awareness of voluntary undertaking and mitigation as penalty factors</w:t>
            </w:r>
          </w:p>
        </w:tc>
        <w:tc>
          <w:tcPr>
            <w:tcW w:type="dxa" w:w="1295"/>
          </w:tcPr>
          <w:p>
            <w:pPr>
              <w:spacing w:before="20" w:after="20"/>
              <w:jc w:val="center"/>
            </w:pPr>
            <w:r/>
            <w:r>
              <w:rPr>
                <w:rFonts w:ascii="Arial" w:hAnsi="Arial"/>
                <w:b w:val="0"/>
                <w:i w:val="0"/>
                <w:sz w:val="16"/>
              </w:rPr>
              <w:t>Low</w:t>
            </w:r>
          </w:p>
        </w:tc>
        <w:tc>
          <w:tcPr>
            <w:tcW w:type="dxa" w:w="886"/>
            <w:shd w:val="clear" w:color="auto" w:fill="F8D7D7"/>
          </w:tcPr>
          <w:p>
            <w:pPr>
              <w:spacing w:before="20" w:after="20"/>
              <w:jc w:val="center"/>
            </w:pPr>
            <w:r/>
            <w:r>
              <w:rPr>
                <w:rFonts w:ascii="Arial" w:hAnsi="Arial"/>
                <w:b/>
                <w:i w:val="0"/>
                <w:sz w:val="18"/>
              </w:rPr>
              <w:t>1</w:t>
            </w:r>
          </w:p>
        </w:tc>
        <w:tc>
          <w:tcPr>
            <w:tcW w:type="dxa" w:w="1568"/>
          </w:tcPr>
          <w:p>
            <w:pPr>
              <w:spacing w:before="20" w:after="20"/>
              <w:jc w:val="center"/>
            </w:pPr>
            <w:r/>
            <w:r>
              <w:rPr>
                <w:rFonts w:ascii="Arial" w:hAnsi="Arial"/>
                <w:b w:val="0"/>
                <w:i w:val="0"/>
                <w:sz w:val="16"/>
              </w:rPr>
              <w:t>Non-compliant</w:t>
            </w:r>
          </w:p>
        </w:tc>
        <w:tc>
          <w:tcPr>
            <w:tcW w:type="dxa" w:w="954"/>
          </w:tcPr>
          <w:p>
            <w:pPr>
              <w:spacing w:before="20" w:after="20"/>
              <w:jc w:val="center"/>
            </w:pPr>
            <w:r/>
            <w:r>
              <w:rPr>
                <w:rFonts w:ascii="Arial" w:hAnsi="Arial"/>
                <w:b w:val="0"/>
                <w:i w:val="0"/>
                <w:sz w:val="17"/>
              </w:rPr>
              <w:t>3</w:t>
            </w:r>
          </w:p>
        </w:tc>
      </w:tr>
      <w:tr>
        <w:trPr>
          <w:cantSplit/>
        </w:trPr>
        <w:tc>
          <w:tcPr>
            <w:tcW w:type="dxa" w:w="1295"/>
          </w:tcPr>
          <w:p>
            <w:pPr>
              <w:spacing w:before="20" w:after="20"/>
              <w:jc w:val="center"/>
            </w:pPr>
            <w:r/>
            <w:r>
              <w:rPr>
                <w:rFonts w:ascii="Arial" w:hAnsi="Arial"/>
                <w:b w:val="0"/>
                <w:i w:val="0"/>
                <w:sz w:val="17"/>
              </w:rPr>
              <w:t>BRD-03</w:t>
            </w:r>
          </w:p>
        </w:tc>
        <w:tc>
          <w:tcPr>
            <w:tcW w:type="dxa" w:w="3749"/>
          </w:tcPr>
          <w:p>
            <w:pPr>
              <w:spacing w:before="20" w:after="20"/>
            </w:pPr>
            <w:r/>
            <w:r>
              <w:rPr>
                <w:rFonts w:ascii="Times New Roman" w:hAnsi="Times New Roman"/>
                <w:b w:val="0"/>
                <w:i w:val="0"/>
                <w:sz w:val="17"/>
              </w:rPr>
              <w:t>Remediation plan owned, funded and tracked</w:t>
            </w:r>
          </w:p>
        </w:tc>
        <w:tc>
          <w:tcPr>
            <w:tcW w:type="dxa" w:w="1295"/>
          </w:tcPr>
          <w:p>
            <w:pPr>
              <w:spacing w:before="20" w:after="20"/>
              <w:jc w:val="center"/>
            </w:pPr>
            <w:r/>
            <w:r>
              <w:rPr>
                <w:rFonts w:ascii="Arial" w:hAnsi="Arial"/>
                <w:b w:val="0"/>
                <w:i w:val="0"/>
                <w:sz w:val="16"/>
              </w:rPr>
              <w:t>High</w:t>
            </w:r>
          </w:p>
        </w:tc>
        <w:tc>
          <w:tcPr>
            <w:tcW w:type="dxa" w:w="886"/>
            <w:shd w:val="clear" w:color="auto" w:fill="FDECC8"/>
          </w:tcPr>
          <w:p>
            <w:pPr>
              <w:spacing w:before="20" w:after="20"/>
              <w:jc w:val="center"/>
            </w:pPr>
            <w:r/>
            <w:r>
              <w:rPr>
                <w:rFonts w:ascii="Arial" w:hAnsi="Arial"/>
                <w:b/>
                <w:i w:val="0"/>
                <w:sz w:val="18"/>
              </w:rPr>
              <w:t>2</w:t>
            </w:r>
          </w:p>
        </w:tc>
        <w:tc>
          <w:tcPr>
            <w:tcW w:type="dxa" w:w="1568"/>
          </w:tcPr>
          <w:p>
            <w:pPr>
              <w:spacing w:before="20" w:after="20"/>
              <w:jc w:val="center"/>
            </w:pPr>
            <w:r/>
            <w:r>
              <w:rPr>
                <w:rFonts w:ascii="Arial" w:hAnsi="Arial"/>
                <w:b w:val="0"/>
                <w:i w:val="0"/>
                <w:sz w:val="16"/>
              </w:rPr>
              <w:t>Partially compliant</w:t>
            </w:r>
          </w:p>
        </w:tc>
        <w:tc>
          <w:tcPr>
            <w:tcW w:type="dxa" w:w="954"/>
          </w:tcPr>
          <w:p>
            <w:pPr>
              <w:spacing w:before="20" w:after="20"/>
              <w:jc w:val="center"/>
            </w:pPr>
            <w:r/>
            <w:r>
              <w:rPr>
                <w:rFonts w:ascii="Arial" w:hAnsi="Arial"/>
                <w:b w:val="0"/>
                <w:i w:val="0"/>
                <w:sz w:val="17"/>
              </w:rPr>
              <w:t>6</w:t>
            </w:r>
          </w:p>
        </w:tc>
      </w:tr>
    </w:tbl>
    <w:sectPr w:rsidR="00FC693F" w:rsidRPr="0006063C" w:rsidSect="00034616">
      <w:footerReference w:type="default" r:id="rId11"/>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6060"/>
        <w:sz w:val="16"/>
      </w:rPr>
      <w:t xml:space="preserve">Kavach Financial Technologies Private Limited     Page </w:t>
    </w:r>
    <w:r>
      <w:rPr>
        <w:rFonts w:ascii="Arial" w:hAnsi="Arial"/>
        <w:color w:val="606060"/>
        <w:sz w:val="16"/>
      </w:rPr>
      <w:fldChar w:fldCharType="begin"/>
      <w:instrText xml:space="preserve">PAGE</w:instrText>
      <w:fldChar w:fldCharType="separate"/>
      <w:t>1</w:t>
      <w:fldChar w:fldCharType="end"/>
    </w:r>
    <w:r>
      <w:rPr>
        <w:rFonts w:ascii="Arial" w:hAnsi="Arial"/>
        <w:color w:val="606060"/>
        <w:sz w:val="16"/>
      </w:rPr>
      <w:t xml:space="preserve"> of </w:t>
    </w:r>
    <w:r>
      <w:rPr>
        <w:rFonts w:ascii="Arial" w:hAnsi="Arial"/>
        <w:color w:val="606060"/>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6060"/>
        <w:sz w:val="16"/>
      </w:rPr>
      <w:t xml:space="preserve">Kavach Financial Technologies Private Limited     Page </w:t>
    </w:r>
    <w:r>
      <w:rPr>
        <w:rFonts w:ascii="Arial" w:hAnsi="Arial"/>
        <w:color w:val="606060"/>
        <w:sz w:val="16"/>
      </w:rPr>
      <w:fldChar w:fldCharType="begin"/>
      <w:instrText xml:space="preserve">PAGE</w:instrText>
      <w:fldChar w:fldCharType="separate"/>
      <w:t>1</w:t>
      <w:fldChar w:fldCharType="end"/>
    </w:r>
    <w:r>
      <w:rPr>
        <w:rFonts w:ascii="Arial" w:hAnsi="Arial"/>
        <w:color w:val="606060"/>
        <w:sz w:val="16"/>
      </w:rPr>
      <w:t xml:space="preserve"> of </w:t>
    </w:r>
    <w:r>
      <w:rPr>
        <w:rFonts w:ascii="Arial" w:hAnsi="Arial"/>
        <w:color w:val="606060"/>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6060"/>
        <w:sz w:val="16"/>
      </w:rPr>
      <w:t xml:space="preserve">Kavach Financial Technologies Private Limited     Page </w:t>
    </w:r>
    <w:r>
      <w:rPr>
        <w:rFonts w:ascii="Arial" w:hAnsi="Arial"/>
        <w:color w:val="606060"/>
        <w:sz w:val="16"/>
      </w:rPr>
      <w:fldChar w:fldCharType="begin"/>
      <w:instrText xml:space="preserve">PAGE</w:instrText>
      <w:fldChar w:fldCharType="separate"/>
      <w:t>1</w:t>
      <w:fldChar w:fldCharType="end"/>
    </w:r>
    <w:r>
      <w:rPr>
        <w:rFonts w:ascii="Arial" w:hAnsi="Arial"/>
        <w:color w:val="606060"/>
        <w:sz w:val="16"/>
      </w:rPr>
      <w:t xml:space="preserve"> of </w:t>
    </w:r>
    <w:r>
      <w:rPr>
        <w:rFonts w:ascii="Arial" w:hAnsi="Arial"/>
        <w:color w:val="606060"/>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s="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