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Prove what works: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467100" cy="41814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Todays stack (your stack organized by when to take):</w:t>
      </w:r>
      <w:r w:rsidDel="00000000" w:rsidR="00000000" w:rsidRPr="00000000">
        <w:rPr/>
        <w:drawing>
          <wp:inline distB="114300" distT="114300" distL="114300" distR="114300">
            <wp:extent cx="3087463" cy="524351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7463" cy="5243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95675" cy="5867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Insights (see exactly whats helping and hurting:</w:t>
        <w:br w:type="textWrapping"/>
      </w:r>
      <w:r w:rsidDel="00000000" w:rsidR="00000000" w:rsidRPr="00000000">
        <w:rPr/>
        <w:drawing>
          <wp:inline distB="114300" distT="114300" distL="114300" distR="114300">
            <wp:extent cx="3524250" cy="57626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76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Goal analysis (127 days of data…):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70199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01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43300" cy="5924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9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