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Ensuring Data Security and Compliance in Healthcare Applications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Overview of the importance of data security in healthcare applications.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Brief explanation of HIPAA and its relevance.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Understanding HIPAA Compliance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Overview of HIPAA rules and guidelines.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Importance of HIPAA in protecting patient health information (PHI).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Key HIPAA requirements for healthcare applications.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Security Measures for Patient Data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Encrypting data transmissions: Ensuring that all data transmitted over the network, including images and patient information, is encrypted using industry-standard protocols.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Secure data storage: Utilizing encrypted databases and storage solutions to protect stored data.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Regular security audits: Conducting periodic audits to identify and mitigate potential vulnerabilities.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Developing a Secure Image Upload Feature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Secure file transfer: Implementing secure methods for uploading images, such as SSL/TLS encryption.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File type and size restrictions: Limiting the types and sizes of files that can be uploaded to prevent common exploits.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Anti-virus scanning: Scanning uploaded files for malware and viruses.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User Authentication and Access Control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Strong authentication mechanisms: Implementing multi-factor authentication for user logins.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Role-based access controls: Ensuring that users have access only to the data and features necessary for their role.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Automatic session timeouts: Implementing session timeouts to reduce the risk of unauthorized access.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Data Privacy Measures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De-identification/anonymization: Removing identifying information from patient data where possible.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Data minimization: Collecting only the data necessary for the intended purpose.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Privacy policies: Clearly communicating data handling and privacy policies to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Incident Response and Data Breach Management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Developing an incident response plan: Preparing for potential data breaches with a clear response strategy.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Notification procedures: Establishing procedures for notifying affected individuals and authorities in the event of a breach.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Regular training: Educating staff on handling sensitive data and recognizing security threats.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Regular Compliance Audits and Updates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Conducting regular reviews: Periodically reviewing and updating security measures and policies to ensure ongoing compliance with HIPAA and other regulations.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Staying informed about changes in regulations: Keeping up-to-date with changes in healthcare regulations and technology standards.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rPr>
          <w:rFonts w:ascii="Cambria" w:cs="Cambria" w:eastAsia="Cambria" w:hAnsi="Cambria"/>
          <w:b w:val="1"/>
          <w:color w:val="37415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7415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Emphasizing the importance of continuous vigilance and improvement in data security.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374151"/>
          <w:sz w:val="24"/>
          <w:szCs w:val="24"/>
          <w:rtl w:val="0"/>
        </w:rPr>
        <w:t xml:space="preserve">The role of technology in enhancing patient data protection.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