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Cambria" w:cs="Cambria"/>
          <w:b/>
          <w:bCs/>
          <w:color w:val="000000"/>
          <w:sz w:val="32"/>
          <w:szCs w:val="32"/>
        </w:rPr>
      </w:pPr>
      <w:r>
        <w:rPr>
          <w:rFonts w:eastAsia="Cambria" w:cs="Cambria" w:ascii="Cambria" w:hAnsi="Cambria"/>
          <w:b/>
          <w:bCs/>
          <w:color w:val="000000"/>
          <w:sz w:val="32"/>
          <w:szCs w:val="32"/>
        </w:rPr>
        <w:t>Report</w:t>
      </w:r>
    </w:p>
    <w:p>
      <w:pPr>
        <w:pStyle w:val="Normal"/>
        <w:spacing w:before="0" w:after="0"/>
        <w:jc w:val="center"/>
        <w:rPr>
          <w:rFonts w:ascii="Arial" w:hAnsi="Arial" w:eastAsia="Arial" w:cs="Arial"/>
          <w:b/>
          <w:bCs/>
        </w:rPr>
      </w:pPr>
      <w:r>
        <w:rPr>
          <w:rFonts w:eastAsia="Arial" w:cs="Arial" w:ascii="Arial" w:hAnsi="Arial"/>
          <w:b/>
          <w:bCs/>
        </w:rPr>
      </w:r>
    </w:p>
    <w:tbl>
      <w:tblPr>
        <w:tblStyle w:val="a0"/>
        <w:tblW w:w="9351" w:type="dxa"/>
        <w:jc w:val="center"/>
        <w:tblInd w:w="0" w:type="dxa"/>
        <w:tblLayout w:type="fixed"/>
        <w:tblCellMar>
          <w:top w:w="0" w:type="dxa"/>
          <w:left w:w="108" w:type="dxa"/>
          <w:bottom w:w="0" w:type="dxa"/>
          <w:right w:w="108" w:type="dxa"/>
        </w:tblCellMar>
        <w:tblLook w:val="0400"/>
      </w:tblPr>
      <w:tblGrid>
        <w:gridCol w:w="4508"/>
        <w:gridCol w:w="4842"/>
      </w:tblGrid>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Master of Computer Applications</w:t>
            </w:r>
          </w:p>
        </w:tc>
      </w:tr>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Online Learning Engagement and Student Performance Analysis</w:t>
            </w:r>
          </w:p>
        </w:tc>
      </w:tr>
    </w:tbl>
    <w:p>
      <w:pPr>
        <w:pStyle w:val="Normal"/>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Normal"/>
        <w:spacing w:lineRule="auto" w:line="240" w:before="280" w:after="280"/>
        <w:ind w:left="284"/>
        <w:jc w:val="both"/>
        <w:rPr/>
      </w:pPr>
      <w:r>
        <w:rP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pPr>
        <w:pStyle w:val="Normal"/>
        <w:spacing w:lineRule="auto" w:line="240" w:before="280" w:after="280"/>
        <w:ind w:left="284"/>
        <w:jc w:val="both"/>
        <w:rPr/>
      </w:pPr>
      <w:r>
        <w:rP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1: Student Performance &amp; Engagement Overview</w:t>
      </w:r>
    </w:p>
    <w:p>
      <w:pPr>
        <w:pStyle w:val="Normal"/>
        <w:keepNext w:val="true"/>
        <w:spacing w:before="60" w:after="0"/>
        <w:jc w:val="center"/>
        <w:rPr/>
      </w:pPr>
      <w:r>
        <w:rPr/>
        <w:drawing>
          <wp:inline distT="0" distB="0" distL="0" distR="0">
            <wp:extent cx="4937760" cy="2736850"/>
            <wp:effectExtent l="0" t="0" r="0" b="0"/>
            <wp:docPr id="1" name="Dashboard 1 - Student Performance and Engagement Overview" descr="Dashboard 1 - Student Performance and Engage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1 - Student Performance and Engagement Overview" descr="Dashboard 1 - Student Performance and Engagement Overview"/>
                    <pic:cNvPicPr>
                      <a:picLocks noChangeAspect="1" noChangeArrowheads="1"/>
                    </pic:cNvPicPr>
                  </pic:nvPicPr>
                  <pic:blipFill>
                    <a:blip r:embed="rId2"/>
                    <a:stretch>
                      <a:fillRect/>
                    </a:stretch>
                  </pic:blipFill>
                  <pic:spPr bwMode="auto">
                    <a:xfrm>
                      <a:off x="0" y="0"/>
                      <a:ext cx="4937760" cy="273685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1: Global Online Learning – Student Performance &amp; Engagement Overview</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Regional Performance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Average scores are high and tightly clustered across all 13 regions, at roughly </w:t>
      </w:r>
      <w:r>
        <w:rPr>
          <w:rFonts w:eastAsia="Arial" w:cs="Arial" w:ascii="Arial" w:hAnsi="Arial"/>
          <w:b/>
          <w:bCs/>
          <w:color w:val="000000"/>
          <w:sz w:val="20"/>
          <w:szCs w:val="20"/>
        </w:rPr>
        <w:t>71–75</w:t>
      </w:r>
      <w:r>
        <w:rPr>
          <w:rFonts w:eastAsia="Arial" w:cs="Arial" w:ascii="Arial" w:hAnsi="Arial"/>
          <w:color w:val="000000"/>
          <w:sz w:val="20"/>
          <w:szCs w:val="20"/>
        </w:rPr>
        <w:t xml:space="preserve">. The </w:t>
      </w:r>
      <w:r>
        <w:rPr>
          <w:rFonts w:eastAsia="Arial" w:cs="Arial" w:ascii="Arial" w:hAnsi="Arial"/>
          <w:b/>
          <w:bCs/>
          <w:color w:val="000000"/>
          <w:sz w:val="20"/>
          <w:szCs w:val="20"/>
        </w:rPr>
        <w:t>South East Region</w:t>
      </w:r>
      <w:r>
        <w:rPr>
          <w:rFonts w:eastAsia="Arial" w:cs="Arial" w:ascii="Arial" w:hAnsi="Arial"/>
          <w:color w:val="000000"/>
          <w:sz w:val="20"/>
          <w:szCs w:val="20"/>
        </w:rPr>
        <w:t xml:space="preserve"> and </w:t>
      </w:r>
      <w:r>
        <w:rPr>
          <w:rFonts w:eastAsia="Arial" w:cs="Arial" w:ascii="Arial" w:hAnsi="Arial"/>
          <w:b/>
          <w:bCs/>
          <w:color w:val="000000"/>
          <w:sz w:val="20"/>
          <w:szCs w:val="20"/>
        </w:rPr>
        <w:t>Scotland</w:t>
      </w:r>
      <w:r>
        <w:rPr>
          <w:rFonts w:eastAsia="Arial" w:cs="Arial" w:ascii="Arial" w:hAnsi="Arial"/>
          <w:color w:val="000000"/>
          <w:sz w:val="20"/>
          <w:szCs w:val="20"/>
        </w:rPr>
        <w:t xml:space="preserve"> lead and the </w:t>
      </w:r>
      <w:r>
        <w:rPr>
          <w:rFonts w:eastAsia="Arial" w:cs="Arial" w:ascii="Arial" w:hAnsi="Arial"/>
          <w:b/>
          <w:bCs/>
          <w:color w:val="000000"/>
          <w:sz w:val="20"/>
          <w:szCs w:val="20"/>
        </w:rPr>
        <w:t>North Region</w:t>
      </w:r>
      <w:r>
        <w:rPr>
          <w:rFonts w:eastAsia="Arial" w:cs="Arial" w:ascii="Arial" w:hAnsi="Arial"/>
          <w:color w:val="000000"/>
          <w:sz w:val="20"/>
          <w:szCs w:val="20"/>
        </w:rPr>
        <w:t xml:space="preserve"> is lowest, so region does not appear to be a major driver of differences in performance.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Engagement Levels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Of </w:t>
      </w:r>
      <w:r>
        <w:rPr>
          <w:rFonts w:eastAsia="Arial" w:cs="Arial" w:ascii="Arial" w:hAnsi="Arial"/>
          <w:b/>
          <w:bCs/>
          <w:color w:val="000000"/>
          <w:sz w:val="20"/>
          <w:szCs w:val="20"/>
        </w:rPr>
        <w:t>22,422 students</w:t>
      </w:r>
      <w:r>
        <w:rPr>
          <w:rFonts w:eastAsia="Arial" w:cs="Arial" w:ascii="Arial" w:hAnsi="Arial"/>
          <w:color w:val="000000"/>
          <w:sz w:val="20"/>
          <w:szCs w:val="20"/>
        </w:rPr>
        <w:t xml:space="preserve">, </w:t>
      </w:r>
      <w:r>
        <w:rPr>
          <w:rFonts w:eastAsia="Arial" w:cs="Arial" w:ascii="Arial" w:hAnsi="Arial"/>
          <w:b/>
          <w:bCs/>
          <w:color w:val="000000"/>
          <w:sz w:val="20"/>
          <w:szCs w:val="20"/>
        </w:rPr>
        <w:t>8,400 (37.46%)</w:t>
      </w:r>
      <w:r>
        <w:rPr>
          <w:rFonts w:eastAsia="Arial" w:cs="Arial" w:ascii="Arial" w:hAnsi="Arial"/>
          <w:color w:val="000000"/>
          <w:sz w:val="20"/>
          <w:szCs w:val="20"/>
        </w:rPr>
        <w:t xml:space="preserve"> show Medium engagement, </w:t>
      </w:r>
      <w:r>
        <w:rPr>
          <w:rFonts w:eastAsia="Arial" w:cs="Arial" w:ascii="Arial" w:hAnsi="Arial"/>
          <w:b/>
          <w:bCs/>
          <w:color w:val="000000"/>
          <w:sz w:val="20"/>
          <w:szCs w:val="20"/>
        </w:rPr>
        <w:t>7,612 (33.95%)</w:t>
      </w:r>
      <w:r>
        <w:rPr>
          <w:rFonts w:eastAsia="Arial" w:cs="Arial" w:ascii="Arial" w:hAnsi="Arial"/>
          <w:color w:val="000000"/>
          <w:sz w:val="20"/>
          <w:szCs w:val="20"/>
        </w:rPr>
        <w:t xml:space="preserve"> High and </w:t>
      </w:r>
      <w:r>
        <w:rPr>
          <w:rFonts w:eastAsia="Arial" w:cs="Arial" w:ascii="Arial" w:hAnsi="Arial"/>
          <w:b/>
          <w:bCs/>
          <w:color w:val="000000"/>
          <w:sz w:val="20"/>
          <w:szCs w:val="20"/>
        </w:rPr>
        <w:t>6,410 (28.59%)</w:t>
      </w:r>
      <w:r>
        <w:rPr>
          <w:rFonts w:eastAsia="Arial" w:cs="Arial" w:ascii="Arial" w:hAnsi="Arial"/>
          <w:color w:val="000000"/>
          <w:sz w:val="20"/>
          <w:szCs w:val="20"/>
        </w:rPr>
        <w:t xml:space="preserve"> Low. About </w:t>
      </w:r>
      <w:r>
        <w:rPr>
          <w:rFonts w:eastAsia="Arial" w:cs="Arial" w:ascii="Arial" w:hAnsi="Arial"/>
          <w:b/>
          <w:bCs/>
          <w:color w:val="000000"/>
          <w:sz w:val="20"/>
          <w:szCs w:val="20"/>
        </w:rPr>
        <w:t>two-thirds</w:t>
      </w:r>
      <w:r>
        <w:rPr>
          <w:rFonts w:eastAsia="Arial" w:cs="Arial" w:ascii="Arial" w:hAnsi="Arial"/>
          <w:color w:val="000000"/>
          <w:sz w:val="20"/>
          <w:szCs w:val="20"/>
        </w:rPr>
        <w:t xml:space="preserve"> of learners are therefore at Medium or Low engagement.</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Platform Activity (Clicks)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generate about </w:t>
      </w:r>
      <w:r>
        <w:rPr>
          <w:rFonts w:eastAsia="Arial" w:cs="Arial" w:ascii="Arial" w:hAnsi="Arial"/>
          <w:b/>
          <w:bCs/>
          <w:color w:val="000000"/>
          <w:sz w:val="20"/>
          <w:szCs w:val="20"/>
        </w:rPr>
        <w:t>32M clicks</w:t>
      </w:r>
      <w:r>
        <w:rPr>
          <w:rFonts w:eastAsia="Arial" w:cs="Arial" w:ascii="Arial" w:hAnsi="Arial"/>
          <w:color w:val="000000"/>
          <w:sz w:val="20"/>
          <w:szCs w:val="20"/>
        </w:rPr>
        <w:t xml:space="preserve">, compared with about </w:t>
      </w:r>
      <w:r>
        <w:rPr>
          <w:rFonts w:eastAsia="Arial" w:cs="Arial" w:ascii="Arial" w:hAnsi="Arial"/>
          <w:b/>
          <w:bCs/>
          <w:color w:val="000000"/>
          <w:sz w:val="20"/>
          <w:szCs w:val="20"/>
        </w:rPr>
        <w:t>9M</w:t>
      </w:r>
      <w:r>
        <w:rPr>
          <w:rFonts w:eastAsia="Arial" w:cs="Arial" w:ascii="Arial" w:hAnsi="Arial"/>
          <w:color w:val="000000"/>
          <w:sz w:val="20"/>
          <w:szCs w:val="20"/>
        </w:rPr>
        <w:t xml:space="preserve"> for Medium and </w:t>
      </w:r>
      <w:r>
        <w:rPr>
          <w:rFonts w:eastAsia="Arial" w:cs="Arial" w:ascii="Arial" w:hAnsi="Arial"/>
          <w:b/>
          <w:bCs/>
          <w:color w:val="000000"/>
          <w:sz w:val="20"/>
          <w:szCs w:val="20"/>
        </w:rPr>
        <w:t>2M</w:t>
      </w:r>
      <w:r>
        <w:rPr>
          <w:rFonts w:eastAsia="Arial" w:cs="Arial" w:ascii="Arial" w:hAnsi="Arial"/>
          <w:color w:val="000000"/>
          <w:sz w:val="20"/>
          <w:szCs w:val="20"/>
        </w:rPr>
        <w:t xml:space="preserve"> for Low. Roughly </w:t>
      </w:r>
      <w:r>
        <w:rPr>
          <w:rFonts w:eastAsia="Arial" w:cs="Arial" w:ascii="Arial" w:hAnsi="Arial"/>
          <w:b/>
          <w:bCs/>
          <w:color w:val="000000"/>
          <w:sz w:val="20"/>
          <w:szCs w:val="20"/>
        </w:rPr>
        <w:t>three-quarters</w:t>
      </w:r>
      <w:r>
        <w:rPr>
          <w:rFonts w:eastAsia="Arial" w:cs="Arial" w:ascii="Arial" w:hAnsi="Arial"/>
          <w:color w:val="000000"/>
          <w:sz w:val="20"/>
          <w:szCs w:val="20"/>
        </w:rPr>
        <w:t xml:space="preserve"> of all clicks come from about a third of the students, showing how concentrated learning activity is.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Final Results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Pass</w:t>
      </w:r>
      <w:r>
        <w:rPr>
          <w:rFonts w:eastAsia="Arial" w:cs="Arial" w:ascii="Arial" w:hAnsi="Arial"/>
          <w:color w:val="000000"/>
          <w:sz w:val="20"/>
          <w:szCs w:val="20"/>
        </w:rPr>
        <w:t xml:space="preserve"> is the most common outcome (about </w:t>
      </w:r>
      <w:r>
        <w:rPr>
          <w:rFonts w:eastAsia="Arial" w:cs="Arial" w:ascii="Arial" w:hAnsi="Arial"/>
          <w:b/>
          <w:bCs/>
          <w:color w:val="000000"/>
          <w:sz w:val="20"/>
          <w:szCs w:val="20"/>
        </w:rPr>
        <w:t>11K</w:t>
      </w:r>
      <w:r>
        <w:rPr>
          <w:rFonts w:eastAsia="Arial" w:cs="Arial" w:ascii="Arial" w:hAnsi="Arial"/>
          <w:color w:val="000000"/>
          <w:sz w:val="20"/>
          <w:szCs w:val="20"/>
        </w:rPr>
        <w:t xml:space="preserve"> students), followed by </w:t>
      </w:r>
      <w:r>
        <w:rPr>
          <w:rFonts w:eastAsia="Arial" w:cs="Arial" w:ascii="Arial" w:hAnsi="Arial"/>
          <w:b/>
          <w:bCs/>
          <w:color w:val="000000"/>
          <w:sz w:val="20"/>
          <w:szCs w:val="20"/>
        </w:rPr>
        <w:t>Fail</w:t>
      </w:r>
      <w:r>
        <w:rPr>
          <w:rFonts w:eastAsia="Arial" w:cs="Arial" w:ascii="Arial" w:hAnsi="Arial"/>
          <w:color w:val="000000"/>
          <w:sz w:val="20"/>
          <w:szCs w:val="20"/>
        </w:rPr>
        <w:t xml:space="preserve"> (about </w:t>
      </w:r>
      <w:r>
        <w:rPr>
          <w:rFonts w:eastAsia="Arial" w:cs="Arial" w:ascii="Arial" w:hAnsi="Arial"/>
          <w:b/>
          <w:bCs/>
          <w:color w:val="000000"/>
          <w:sz w:val="20"/>
          <w:szCs w:val="20"/>
        </w:rPr>
        <w:t>5.5K</w:t>
      </w:r>
      <w:r>
        <w:rPr>
          <w:rFonts w:eastAsia="Arial" w:cs="Arial" w:ascii="Arial" w:hAnsi="Arial"/>
          <w:color w:val="000000"/>
          <w:sz w:val="20"/>
          <w:szCs w:val="20"/>
        </w:rPr>
        <w:t xml:space="preserve">), </w:t>
      </w:r>
      <w:r>
        <w:rPr>
          <w:rFonts w:eastAsia="Arial" w:cs="Arial" w:ascii="Arial" w:hAnsi="Arial"/>
          <w:b/>
          <w:bCs/>
          <w:color w:val="000000"/>
          <w:sz w:val="20"/>
          <w:szCs w:val="20"/>
        </w:rPr>
        <w:t>Withdrawn</w:t>
      </w:r>
      <w:r>
        <w:rPr>
          <w:rFonts w:eastAsia="Arial" w:cs="Arial" w:ascii="Arial" w:hAnsi="Arial"/>
          <w:color w:val="000000"/>
          <w:sz w:val="20"/>
          <w:szCs w:val="20"/>
        </w:rPr>
        <w:t xml:space="preserve"> (about </w:t>
      </w:r>
      <w:r>
        <w:rPr>
          <w:rFonts w:eastAsia="Arial" w:cs="Arial" w:ascii="Arial" w:hAnsi="Arial"/>
          <w:b/>
          <w:bCs/>
          <w:color w:val="000000"/>
          <w:sz w:val="20"/>
          <w:szCs w:val="20"/>
        </w:rPr>
        <w:t>4.7K</w:t>
      </w:r>
      <w:r>
        <w:rPr>
          <w:rFonts w:eastAsia="Arial" w:cs="Arial" w:ascii="Arial" w:hAnsi="Arial"/>
          <w:color w:val="000000"/>
          <w:sz w:val="20"/>
          <w:szCs w:val="20"/>
        </w:rPr>
        <w:t xml:space="preserve">) and </w:t>
      </w:r>
      <w:r>
        <w:rPr>
          <w:rFonts w:eastAsia="Arial" w:cs="Arial" w:ascii="Arial" w:hAnsi="Arial"/>
          <w:b/>
          <w:bCs/>
          <w:color w:val="000000"/>
          <w:sz w:val="20"/>
          <w:szCs w:val="20"/>
        </w:rPr>
        <w:t>Distinction</w:t>
      </w:r>
      <w:r>
        <w:rPr>
          <w:rFonts w:eastAsia="Arial" w:cs="Arial" w:ascii="Arial" w:hAnsi="Arial"/>
          <w:color w:val="000000"/>
          <w:sz w:val="20"/>
          <w:szCs w:val="20"/>
        </w:rPr>
        <w:t xml:space="preserve"> (about </w:t>
      </w:r>
      <w:r>
        <w:rPr>
          <w:rFonts w:eastAsia="Arial" w:cs="Arial" w:ascii="Arial" w:hAnsi="Arial"/>
          <w:b/>
          <w:bCs/>
          <w:color w:val="000000"/>
          <w:sz w:val="20"/>
          <w:szCs w:val="20"/>
        </w:rPr>
        <w:t>2.8K</w:t>
      </w:r>
      <w:r>
        <w:rPr>
          <w:rFonts w:eastAsia="Arial" w:cs="Arial" w:ascii="Arial" w:hAnsi="Arial"/>
          <w:color w:val="000000"/>
          <w:sz w:val="20"/>
          <w:szCs w:val="20"/>
        </w:rPr>
        <w:t>). Fail and Withdrawn together are almost as large as Pass, which makes retention a significant challenge.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Risk Level Drill-down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Students are spread across four risk levels: </w:t>
      </w:r>
      <w:r>
        <w:rPr>
          <w:rFonts w:eastAsia="Arial" w:cs="Arial" w:ascii="Arial" w:hAnsi="Arial"/>
          <w:b/>
          <w:bCs/>
          <w:color w:val="000000"/>
          <w:sz w:val="20"/>
          <w:szCs w:val="20"/>
        </w:rPr>
        <w:t>High Risk (6,391)</w:t>
      </w:r>
      <w:r>
        <w:rPr>
          <w:rFonts w:eastAsia="Arial" w:cs="Arial" w:ascii="Arial" w:hAnsi="Arial"/>
          <w:color w:val="000000"/>
          <w:sz w:val="20"/>
          <w:szCs w:val="20"/>
        </w:rPr>
        <w:t xml:space="preserve">, </w:t>
      </w:r>
      <w:r>
        <w:rPr>
          <w:rFonts w:eastAsia="Arial" w:cs="Arial" w:ascii="Arial" w:hAnsi="Arial"/>
          <w:b/>
          <w:bCs/>
          <w:color w:val="000000"/>
          <w:sz w:val="20"/>
          <w:szCs w:val="20"/>
        </w:rPr>
        <w:t>Low Risk (6,099)</w:t>
      </w:r>
      <w:r>
        <w:rPr>
          <w:rFonts w:eastAsia="Arial" w:cs="Arial" w:ascii="Arial" w:hAnsi="Arial"/>
          <w:color w:val="000000"/>
          <w:sz w:val="20"/>
          <w:szCs w:val="20"/>
        </w:rPr>
        <w:t xml:space="preserve">, </w:t>
      </w:r>
      <w:r>
        <w:rPr>
          <w:rFonts w:eastAsia="Arial" w:cs="Arial" w:ascii="Arial" w:hAnsi="Arial"/>
          <w:b/>
          <w:bCs/>
          <w:color w:val="000000"/>
          <w:sz w:val="20"/>
          <w:szCs w:val="20"/>
        </w:rPr>
        <w:t>Safe (5,632)</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(4,300)</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Drilling into </w:t>
      </w:r>
      <w:r>
        <w:rPr>
          <w:rFonts w:eastAsia="Arial" w:cs="Arial" w:ascii="Arial" w:hAnsi="Arial"/>
          <w:b/>
          <w:bCs/>
          <w:color w:val="000000"/>
          <w:sz w:val="20"/>
          <w:szCs w:val="20"/>
        </w:rPr>
        <w:t>Low Risk</w:t>
      </w:r>
      <w:r>
        <w:rPr>
          <w:rFonts w:eastAsia="Arial" w:cs="Arial" w:ascii="Arial" w:hAnsi="Arial"/>
          <w:color w:val="000000"/>
          <w:sz w:val="20"/>
          <w:szCs w:val="20"/>
        </w:rPr>
        <w:t xml:space="preserve"> students with an </w:t>
      </w:r>
      <w:r>
        <w:rPr>
          <w:rFonts w:eastAsia="Arial" w:cs="Arial" w:ascii="Arial" w:hAnsi="Arial"/>
          <w:b/>
          <w:bCs/>
          <w:color w:val="000000"/>
          <w:sz w:val="20"/>
          <w:szCs w:val="20"/>
        </w:rPr>
        <w:t>HE Qualification</w:t>
      </w:r>
      <w:r>
        <w:rPr>
          <w:rFonts w:eastAsia="Arial" w:cs="Arial" w:ascii="Arial" w:hAnsi="Arial"/>
          <w:color w:val="000000"/>
          <w:sz w:val="20"/>
          <w:szCs w:val="20"/>
        </w:rPr>
        <w:t xml:space="preserve"> (1,016) shows </w:t>
      </w:r>
      <w:r>
        <w:rPr>
          <w:rFonts w:eastAsia="Arial" w:cs="Arial" w:ascii="Arial" w:hAnsi="Arial"/>
          <w:b/>
          <w:bCs/>
          <w:color w:val="000000"/>
          <w:sz w:val="20"/>
          <w:szCs w:val="20"/>
        </w:rPr>
        <w:t>612 male</w:t>
      </w:r>
      <w:r>
        <w:rPr>
          <w:rFonts w:eastAsia="Arial" w:cs="Arial" w:ascii="Arial" w:hAnsi="Arial"/>
          <w:color w:val="000000"/>
          <w:sz w:val="20"/>
          <w:szCs w:val="20"/>
        </w:rPr>
        <w:t xml:space="preserve"> and </w:t>
      </w:r>
      <w:r>
        <w:rPr>
          <w:rFonts w:eastAsia="Arial" w:cs="Arial" w:ascii="Arial" w:hAnsi="Arial"/>
          <w:b/>
          <w:bCs/>
          <w:color w:val="000000"/>
          <w:sz w:val="20"/>
          <w:szCs w:val="20"/>
        </w:rPr>
        <w:t>404 female</w:t>
      </w:r>
      <w:r>
        <w:rPr>
          <w:rFonts w:eastAsia="Arial" w:cs="Arial" w:ascii="Arial" w:hAnsi="Arial"/>
          <w:color w:val="000000"/>
          <w:sz w:val="20"/>
          <w:szCs w:val="20"/>
        </w:rPr>
        <w:t xml:space="preserve"> learners. Among the women, </w:t>
      </w:r>
      <w:r>
        <w:rPr>
          <w:rFonts w:eastAsia="Arial" w:cs="Arial" w:ascii="Arial" w:hAnsi="Arial"/>
          <w:b/>
          <w:bCs/>
          <w:color w:val="000000"/>
          <w:sz w:val="20"/>
          <w:szCs w:val="20"/>
        </w:rPr>
        <w:t>Scotland</w:t>
      </w:r>
      <w:r>
        <w:rPr>
          <w:rFonts w:eastAsia="Arial" w:cs="Arial" w:ascii="Arial" w:hAnsi="Arial"/>
          <w:color w:val="000000"/>
          <w:sz w:val="20"/>
          <w:szCs w:val="20"/>
        </w:rPr>
        <w:t xml:space="preserve"> has the most (</w:t>
      </w:r>
      <w:r>
        <w:rPr>
          <w:rFonts w:eastAsia="Arial" w:cs="Arial" w:ascii="Arial" w:hAnsi="Arial"/>
          <w:b/>
          <w:bCs/>
          <w:color w:val="000000"/>
          <w:sz w:val="20"/>
          <w:szCs w:val="20"/>
        </w:rPr>
        <w:t>116</w:t>
      </w:r>
      <w:r>
        <w:rPr>
          <w:rFonts w:eastAsia="Arial" w:cs="Arial" w:ascii="Arial" w:hAnsi="Arial"/>
          <w:color w:val="000000"/>
          <w:sz w:val="20"/>
          <w:szCs w:val="20"/>
        </w:rPr>
        <w:t xml:space="preserve">), followed by </w:t>
      </w:r>
      <w:r>
        <w:rPr>
          <w:rFonts w:eastAsia="Arial" w:cs="Arial" w:ascii="Arial" w:hAnsi="Arial"/>
          <w:b/>
          <w:bCs/>
          <w:color w:val="000000"/>
          <w:sz w:val="20"/>
          <w:szCs w:val="20"/>
        </w:rPr>
        <w:t>Wales (45)</w:t>
      </w:r>
      <w:r>
        <w:rPr>
          <w:rFonts w:eastAsia="Arial" w:cs="Arial" w:ascii="Arial" w:hAnsi="Arial"/>
          <w:color w:val="000000"/>
          <w:sz w:val="20"/>
          <w:szCs w:val="20"/>
        </w:rPr>
        <w:t xml:space="preserve"> and </w:t>
      </w:r>
      <w:r>
        <w:rPr>
          <w:rFonts w:eastAsia="Arial" w:cs="Arial" w:ascii="Arial" w:hAnsi="Arial"/>
          <w:b/>
          <w:bCs/>
          <w:color w:val="000000"/>
          <w:sz w:val="20"/>
          <w:szCs w:val="20"/>
        </w:rPr>
        <w:t>London Region (43)</w:t>
      </w:r>
      <w:r>
        <w:rPr>
          <w:rFonts w:eastAsia="Arial" w:cs="Arial" w:ascii="Arial" w:hAnsi="Arial"/>
          <w:color w:val="000000"/>
          <w:sz w:val="20"/>
          <w:szCs w:val="20"/>
        </w:rPr>
        <w:t>. This shows how the decomposition tree lets users drill down to any segment.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2: Risk, Dropout &amp; Demographic Analysis</w:t>
      </w:r>
    </w:p>
    <w:p>
      <w:pPr>
        <w:pStyle w:val="Normal"/>
        <w:keepNext w:val="true"/>
        <w:spacing w:before="60" w:after="0"/>
        <w:jc w:val="center"/>
        <w:rPr/>
      </w:pPr>
      <w:r>
        <w:rPr/>
        <w:drawing>
          <wp:inline distT="0" distB="0" distL="0" distR="0">
            <wp:extent cx="4937760" cy="2755900"/>
            <wp:effectExtent l="0" t="0" r="0" b="0"/>
            <wp:docPr id="2" name="Dashboard 2 - Risk Dropout and Demographic Analysis" descr="Dashboard 2 - Risk Dropout and Demographic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 2 - Risk Dropout and Demographic Analysis" descr="Dashboard 2 - Risk Dropout and Demographic Analysis"/>
                    <pic:cNvPicPr>
                      <a:picLocks noChangeAspect="1" noChangeArrowheads="1"/>
                    </pic:cNvPicPr>
                  </pic:nvPicPr>
                  <pic:blipFill>
                    <a:blip r:embed="rId3"/>
                    <a:stretch>
                      <a:fillRect/>
                    </a:stretch>
                  </pic:blipFill>
                  <pic:spPr bwMode="auto">
                    <a:xfrm>
                      <a:off x="0" y="0"/>
                      <a:ext cx="4937760" cy="275590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2: Risk, Dropout &amp; Demographic Analysis Dashboard</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Dropout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Dropout falls steadily as prior education rises: about </w:t>
      </w:r>
      <w:r>
        <w:rPr>
          <w:rFonts w:eastAsia="Arial" w:cs="Arial" w:ascii="Arial" w:hAnsi="Arial"/>
          <w:b/>
          <w:bCs/>
          <w:color w:val="000000"/>
          <w:sz w:val="20"/>
          <w:szCs w:val="20"/>
        </w:rPr>
        <w:t>28%</w:t>
      </w:r>
      <w:r>
        <w:rPr>
          <w:rFonts w:eastAsia="Arial" w:cs="Arial" w:ascii="Arial" w:hAnsi="Arial"/>
          <w:color w:val="000000"/>
          <w:sz w:val="20"/>
          <w:szCs w:val="20"/>
        </w:rPr>
        <w:t xml:space="preserve"> for students with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about </w:t>
      </w:r>
      <w:r>
        <w:rPr>
          <w:rFonts w:eastAsia="Arial" w:cs="Arial" w:ascii="Arial" w:hAnsi="Arial"/>
          <w:b/>
          <w:bCs/>
          <w:color w:val="000000"/>
          <w:sz w:val="20"/>
          <w:szCs w:val="20"/>
        </w:rPr>
        <w:t>24%</w:t>
      </w:r>
      <w:r>
        <w:rPr>
          <w:rFonts w:eastAsia="Arial" w:cs="Arial" w:ascii="Arial" w:hAnsi="Arial"/>
          <w:color w:val="000000"/>
          <w:sz w:val="20"/>
          <w:szCs w:val="20"/>
        </w:rPr>
        <w:t xml:space="preserve"> for Lower Than A Level, about </w:t>
      </w:r>
      <w:r>
        <w:rPr>
          <w:rFonts w:eastAsia="Arial" w:cs="Arial" w:ascii="Arial" w:hAnsi="Arial"/>
          <w:b/>
          <w:bCs/>
          <w:color w:val="000000"/>
          <w:sz w:val="20"/>
          <w:szCs w:val="20"/>
        </w:rPr>
        <w:t>20%</w:t>
      </w:r>
      <w:r>
        <w:rPr>
          <w:rFonts w:eastAsia="Arial" w:cs="Arial" w:ascii="Arial" w:hAnsi="Arial"/>
          <w:color w:val="000000"/>
          <w:sz w:val="20"/>
          <w:szCs w:val="20"/>
        </w:rPr>
        <w:t xml:space="preserve"> for both A Level and HE Qualification, and about </w:t>
      </w:r>
      <w:r>
        <w:rPr>
          <w:rFonts w:eastAsia="Arial" w:cs="Arial" w:ascii="Arial" w:hAnsi="Arial"/>
          <w:b/>
          <w:bCs/>
          <w:color w:val="000000"/>
          <w:sz w:val="20"/>
          <w:szCs w:val="20"/>
        </w:rPr>
        <w:t>18%</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learners. Students with no formal qualifications drop out about </w:t>
      </w:r>
      <w:r>
        <w:rPr>
          <w:rFonts w:eastAsia="Arial" w:cs="Arial" w:ascii="Arial" w:hAnsi="Arial"/>
          <w:b/>
          <w:bCs/>
          <w:color w:val="000000"/>
          <w:sz w:val="20"/>
          <w:szCs w:val="20"/>
        </w:rPr>
        <w:t>1.5 times</w:t>
      </w:r>
      <w:r>
        <w:rPr>
          <w:rFonts w:eastAsia="Arial" w:cs="Arial" w:ascii="Arial" w:hAnsi="Arial"/>
          <w:color w:val="000000"/>
          <w:sz w:val="20"/>
          <w:szCs w:val="20"/>
        </w:rPr>
        <w:t xml:space="preserve"> as often as post-graduates.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Pass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The pass rate mirrors this pattern: about </w:t>
      </w:r>
      <w:r>
        <w:rPr>
          <w:rFonts w:eastAsia="Arial" w:cs="Arial" w:ascii="Arial" w:hAnsi="Arial"/>
          <w:b/>
          <w:bCs/>
          <w:color w:val="000000"/>
          <w:sz w:val="20"/>
          <w:szCs w:val="20"/>
        </w:rPr>
        <w:t>67%</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w:t>
      </w:r>
      <w:r>
        <w:rPr>
          <w:rFonts w:eastAsia="Arial" w:cs="Arial" w:ascii="Arial" w:hAnsi="Arial"/>
          <w:b/>
          <w:bCs/>
          <w:color w:val="000000"/>
          <w:sz w:val="20"/>
          <w:szCs w:val="20"/>
        </w:rPr>
        <w:t>65%</w:t>
      </w:r>
      <w:r>
        <w:rPr>
          <w:rFonts w:eastAsia="Arial" w:cs="Arial" w:ascii="Arial" w:hAnsi="Arial"/>
          <w:color w:val="000000"/>
          <w:sz w:val="20"/>
          <w:szCs w:val="20"/>
        </w:rPr>
        <w:t xml:space="preserve"> for HE Qualification, </w:t>
      </w:r>
      <w:r>
        <w:rPr>
          <w:rFonts w:eastAsia="Arial" w:cs="Arial" w:ascii="Arial" w:hAnsi="Arial"/>
          <w:b/>
          <w:bCs/>
          <w:color w:val="000000"/>
          <w:sz w:val="20"/>
          <w:szCs w:val="20"/>
        </w:rPr>
        <w:t>62%</w:t>
      </w:r>
      <w:r>
        <w:rPr>
          <w:rFonts w:eastAsia="Arial" w:cs="Arial" w:ascii="Arial" w:hAnsi="Arial"/>
          <w:color w:val="000000"/>
          <w:sz w:val="20"/>
          <w:szCs w:val="20"/>
        </w:rPr>
        <w:t xml:space="preserve"> for A Level, </w:t>
      </w:r>
      <w:r>
        <w:rPr>
          <w:rFonts w:eastAsia="Arial" w:cs="Arial" w:ascii="Arial" w:hAnsi="Arial"/>
          <w:b/>
          <w:bCs/>
          <w:color w:val="000000"/>
          <w:sz w:val="20"/>
          <w:szCs w:val="20"/>
        </w:rPr>
        <w:t>50%</w:t>
      </w:r>
      <w:r>
        <w:rPr>
          <w:rFonts w:eastAsia="Arial" w:cs="Arial" w:ascii="Arial" w:hAnsi="Arial"/>
          <w:color w:val="000000"/>
          <w:sz w:val="20"/>
          <w:szCs w:val="20"/>
        </w:rPr>
        <w:t xml:space="preserve"> for Lower Than A Level and only about </w:t>
      </w:r>
      <w:r>
        <w:rPr>
          <w:rFonts w:eastAsia="Arial" w:cs="Arial" w:ascii="Arial" w:hAnsi="Arial"/>
          <w:b/>
          <w:bCs/>
          <w:color w:val="000000"/>
          <w:sz w:val="20"/>
          <w:szCs w:val="20"/>
        </w:rPr>
        <w:t>42%</w:t>
      </w:r>
      <w:r>
        <w:rPr>
          <w:rFonts w:eastAsia="Arial" w:cs="Arial" w:ascii="Arial" w:hAnsi="Arial"/>
          <w:color w:val="000000"/>
          <w:sz w:val="20"/>
          <w:szCs w:val="20"/>
        </w:rPr>
        <w:t xml:space="preserve"> for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 gap of roughly </w:t>
      </w:r>
      <w:r>
        <w:rPr>
          <w:rFonts w:eastAsia="Arial" w:cs="Arial" w:ascii="Arial" w:hAnsi="Arial"/>
          <w:b/>
          <w:bCs/>
          <w:color w:val="000000"/>
          <w:sz w:val="20"/>
          <w:szCs w:val="20"/>
        </w:rPr>
        <w:t>25 percentage points</w:t>
      </w:r>
      <w:r>
        <w:rPr>
          <w:rFonts w:eastAsia="Arial" w:cs="Arial" w:ascii="Arial" w:hAnsi="Arial"/>
          <w:color w:val="000000"/>
          <w:sz w:val="20"/>
          <w:szCs w:val="20"/>
        </w:rPr>
        <w:t xml:space="preserve"> between the highest and lowest groups.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Risk Profile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 Risk (28.5%)</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(19.18%)</w:t>
      </w:r>
      <w:r>
        <w:rPr>
          <w:rFonts w:eastAsia="Arial" w:cs="Arial" w:ascii="Arial" w:hAnsi="Arial"/>
          <w:color w:val="000000"/>
          <w:sz w:val="20"/>
          <w:szCs w:val="20"/>
        </w:rPr>
        <w:t xml:space="preserve"> students together total </w:t>
      </w:r>
      <w:r>
        <w:rPr>
          <w:rFonts w:eastAsia="Arial" w:cs="Arial" w:ascii="Arial" w:hAnsi="Arial"/>
          <w:b/>
          <w:bCs/>
          <w:color w:val="000000"/>
          <w:sz w:val="20"/>
          <w:szCs w:val="20"/>
        </w:rPr>
        <w:t>10,691</w:t>
      </w:r>
      <w:r>
        <w:rPr>
          <w:rFonts w:eastAsia="Arial" w:cs="Arial" w:ascii="Arial" w:hAnsi="Arial"/>
          <w:color w:val="000000"/>
          <w:sz w:val="20"/>
          <w:szCs w:val="20"/>
        </w:rPr>
        <w:t xml:space="preserve">, nearly </w:t>
      </w:r>
      <w:r>
        <w:rPr>
          <w:rFonts w:eastAsia="Arial" w:cs="Arial" w:ascii="Arial" w:hAnsi="Arial"/>
          <w:b/>
          <w:bCs/>
          <w:color w:val="000000"/>
          <w:sz w:val="20"/>
          <w:szCs w:val="20"/>
        </w:rPr>
        <w:t>48%</w:t>
      </w:r>
      <w:r>
        <w:rPr>
          <w:rFonts w:eastAsia="Arial" w:cs="Arial" w:ascii="Arial" w:hAnsi="Arial"/>
          <w:color w:val="000000"/>
          <w:sz w:val="20"/>
          <w:szCs w:val="20"/>
        </w:rPr>
        <w:t xml:space="preserve"> of all learners. </w:t>
      </w:r>
      <w:r>
        <w:rPr>
          <w:rFonts w:eastAsia="Arial" w:cs="Arial" w:ascii="Arial" w:hAnsi="Arial"/>
          <w:b/>
          <w:bCs/>
          <w:color w:val="000000"/>
          <w:sz w:val="20"/>
          <w:szCs w:val="20"/>
        </w:rPr>
        <w:t>Low Risk (27.2%)</w:t>
      </w:r>
      <w:r>
        <w:rPr>
          <w:rFonts w:eastAsia="Arial" w:cs="Arial" w:ascii="Arial" w:hAnsi="Arial"/>
          <w:color w:val="000000"/>
          <w:sz w:val="20"/>
          <w:szCs w:val="20"/>
        </w:rPr>
        <w:t xml:space="preserve"> and </w:t>
      </w:r>
      <w:r>
        <w:rPr>
          <w:rFonts w:eastAsia="Arial" w:cs="Arial" w:ascii="Arial" w:hAnsi="Arial"/>
          <w:b/>
          <w:bCs/>
          <w:color w:val="000000"/>
          <w:sz w:val="20"/>
          <w:szCs w:val="20"/>
        </w:rPr>
        <w:t>Safe (25.12%)</w:t>
      </w:r>
      <w:r>
        <w:rPr>
          <w:rFonts w:eastAsia="Arial" w:cs="Arial" w:ascii="Arial" w:hAnsi="Arial"/>
          <w:color w:val="000000"/>
          <w:sz w:val="20"/>
          <w:szCs w:val="20"/>
        </w:rPr>
        <w:t xml:space="preserve"> make up the remaining, just over half.</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Gender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Outcomes are broadly similar for both genders, but women do slightly better: about </w:t>
      </w:r>
      <w:r>
        <w:rPr>
          <w:rFonts w:eastAsia="Arial" w:cs="Arial" w:ascii="Arial" w:hAnsi="Arial"/>
          <w:b/>
          <w:bCs/>
          <w:color w:val="000000"/>
          <w:sz w:val="20"/>
          <w:szCs w:val="20"/>
        </w:rPr>
        <w:t>49%</w:t>
      </w:r>
      <w:r>
        <w:rPr>
          <w:rFonts w:eastAsia="Arial" w:cs="Arial" w:ascii="Arial" w:hAnsi="Arial"/>
          <w:color w:val="000000"/>
          <w:sz w:val="20"/>
          <w:szCs w:val="20"/>
        </w:rPr>
        <w:t xml:space="preserve"> of female students Pass compared with about </w:t>
      </w:r>
      <w:r>
        <w:rPr>
          <w:rFonts w:eastAsia="Arial" w:cs="Arial" w:ascii="Arial" w:hAnsi="Arial"/>
          <w:b/>
          <w:bCs/>
          <w:color w:val="000000"/>
          <w:sz w:val="20"/>
          <w:szCs w:val="20"/>
        </w:rPr>
        <w:t>45%</w:t>
      </w:r>
      <w:r>
        <w:rPr>
          <w:rFonts w:eastAsia="Arial" w:cs="Arial" w:ascii="Arial" w:hAnsi="Arial"/>
          <w:color w:val="000000"/>
          <w:sz w:val="20"/>
          <w:szCs w:val="20"/>
        </w:rPr>
        <w:t xml:space="preserve"> of male students, and about </w:t>
      </w:r>
      <w:r>
        <w:rPr>
          <w:rFonts w:eastAsia="Arial" w:cs="Arial" w:ascii="Arial" w:hAnsi="Arial"/>
          <w:b/>
          <w:bCs/>
          <w:color w:val="000000"/>
          <w:sz w:val="20"/>
          <w:szCs w:val="20"/>
        </w:rPr>
        <w:t>17%</w:t>
      </w:r>
      <w:r>
        <w:rPr>
          <w:rFonts w:eastAsia="Arial" w:cs="Arial" w:ascii="Arial" w:hAnsi="Arial"/>
          <w:color w:val="000000"/>
          <w:sz w:val="20"/>
          <w:szCs w:val="20"/>
        </w:rPr>
        <w:t xml:space="preserve"> of women Withdraw compared with about </w:t>
      </w:r>
      <w:r>
        <w:rPr>
          <w:rFonts w:eastAsia="Arial" w:cs="Arial" w:ascii="Arial" w:hAnsi="Arial"/>
          <w:b/>
          <w:bCs/>
          <w:color w:val="000000"/>
          <w:sz w:val="20"/>
          <w:szCs w:val="20"/>
        </w:rPr>
        <w:t>21%</w:t>
      </w:r>
      <w:r>
        <w:rPr>
          <w:rFonts w:eastAsia="Arial" w:cs="Arial" w:ascii="Arial" w:hAnsi="Arial"/>
          <w:color w:val="000000"/>
          <w:sz w:val="20"/>
          <w:szCs w:val="20"/>
        </w:rPr>
        <w:t xml:space="preserve"> of men. Distinction rates are close (about 11–12%).</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Engagement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For </w:t>
      </w: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the decomposition tree shows </w:t>
      </w:r>
      <w:r>
        <w:rPr>
          <w:rFonts w:eastAsia="Arial" w:cs="Arial" w:ascii="Arial" w:hAnsi="Arial"/>
          <w:b/>
          <w:bCs/>
          <w:color w:val="000000"/>
          <w:sz w:val="20"/>
          <w:szCs w:val="20"/>
        </w:rPr>
        <w:t>Pass (5,168)</w:t>
      </w:r>
      <w:r>
        <w:rPr>
          <w:rFonts w:eastAsia="Arial" w:cs="Arial" w:ascii="Arial" w:hAnsi="Arial"/>
          <w:color w:val="000000"/>
          <w:sz w:val="20"/>
          <w:szCs w:val="20"/>
        </w:rPr>
        <w:t xml:space="preserve">, </w:t>
      </w:r>
      <w:r>
        <w:rPr>
          <w:rFonts w:eastAsia="Arial" w:cs="Arial" w:ascii="Arial" w:hAnsi="Arial"/>
          <w:b/>
          <w:bCs/>
          <w:color w:val="000000"/>
          <w:sz w:val="20"/>
          <w:szCs w:val="20"/>
        </w:rPr>
        <w:t>Distinction (1,595)</w:t>
      </w:r>
      <w:r>
        <w:rPr>
          <w:rFonts w:eastAsia="Arial" w:cs="Arial" w:ascii="Arial" w:hAnsi="Arial"/>
          <w:color w:val="000000"/>
          <w:sz w:val="20"/>
          <w:szCs w:val="20"/>
        </w:rPr>
        <w:t xml:space="preserve">, </w:t>
      </w:r>
      <w:r>
        <w:rPr>
          <w:rFonts w:eastAsia="Arial" w:cs="Arial" w:ascii="Arial" w:hAnsi="Arial"/>
          <w:b/>
          <w:bCs/>
          <w:color w:val="000000"/>
          <w:sz w:val="20"/>
          <w:szCs w:val="20"/>
        </w:rPr>
        <w:t>Withdrawn (967)</w:t>
      </w:r>
      <w:r>
        <w:rPr>
          <w:rFonts w:eastAsia="Arial" w:cs="Arial" w:ascii="Arial" w:hAnsi="Arial"/>
          <w:color w:val="000000"/>
          <w:sz w:val="20"/>
          <w:szCs w:val="20"/>
        </w:rPr>
        <w:t xml:space="preserve"> and </w:t>
      </w:r>
      <w:r>
        <w:rPr>
          <w:rFonts w:eastAsia="Arial" w:cs="Arial" w:ascii="Arial" w:hAnsi="Arial"/>
          <w:b/>
          <w:bCs/>
          <w:color w:val="000000"/>
          <w:sz w:val="20"/>
          <w:szCs w:val="20"/>
        </w:rPr>
        <w:t>Fail (915)</w:t>
      </w:r>
      <w:r>
        <w:rPr>
          <w:rFonts w:eastAsia="Arial" w:cs="Arial" w:ascii="Arial" w:hAnsi="Arial"/>
          <w:color w:val="000000"/>
          <w:sz w:val="20"/>
          <w:szCs w:val="20"/>
        </w:rPr>
        <w:t xml:space="preserve">. About </w:t>
      </w:r>
      <w:r>
        <w:rPr>
          <w:rFonts w:eastAsia="Arial" w:cs="Arial" w:ascii="Arial" w:hAnsi="Arial"/>
          <w:b/>
          <w:bCs/>
          <w:color w:val="000000"/>
          <w:sz w:val="20"/>
          <w:szCs w:val="20"/>
        </w:rPr>
        <w:t>78%</w:t>
      </w:r>
      <w:r>
        <w:rPr>
          <w:rFonts w:eastAsia="Arial" w:cs="Arial" w:ascii="Arial" w:hAnsi="Arial"/>
          <w:color w:val="000000"/>
          <w:sz w:val="20"/>
          <w:szCs w:val="20"/>
        </w:rPr>
        <w:t xml:space="preserve"> finish with a Pass or Distinction and only about </w:t>
      </w:r>
      <w:r>
        <w:rPr>
          <w:rFonts w:eastAsia="Arial" w:cs="Arial" w:ascii="Arial" w:hAnsi="Arial"/>
          <w:b/>
          <w:bCs/>
          <w:color w:val="000000"/>
          <w:sz w:val="20"/>
          <w:szCs w:val="20"/>
        </w:rPr>
        <w:t>22%</w:t>
      </w:r>
      <w:r>
        <w:rPr>
          <w:rFonts w:eastAsia="Arial" w:cs="Arial" w:ascii="Arial" w:hAnsi="Arial"/>
          <w:color w:val="000000"/>
          <w:sz w:val="20"/>
          <w:szCs w:val="20"/>
        </w:rPr>
        <w:t xml:space="preserve"> fail or withdraw, compared with roughly </w:t>
      </w:r>
      <w:r>
        <w:rPr>
          <w:rFonts w:eastAsia="Arial" w:cs="Arial" w:ascii="Arial" w:hAnsi="Arial"/>
          <w:b/>
          <w:bCs/>
          <w:color w:val="000000"/>
          <w:sz w:val="20"/>
          <w:szCs w:val="20"/>
        </w:rPr>
        <w:t>40%</w:t>
      </w:r>
      <w:r>
        <w:rPr>
          <w:rFonts w:eastAsia="Arial" w:cs="Arial" w:ascii="Arial" w:hAnsi="Arial"/>
          <w:color w:val="000000"/>
          <w:sz w:val="20"/>
          <w:szCs w:val="20"/>
        </w:rPr>
        <w:t xml:space="preserve"> across all students on Dashboard 1. High engagement is therefore associated with about half the rate of failure or withdrawal.</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Key Insights and Recommendations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Engagement is closely linked to success.</w:t>
      </w:r>
      <w:r>
        <w:rPr>
          <w:rFonts w:eastAsia="Arial" w:cs="Arial" w:ascii="Arial" w:hAnsi="Arial"/>
          <w:color w:val="000000"/>
          <w:sz w:val="20"/>
          <w:szCs w:val="20"/>
        </w:rPr>
        <w:t xml:space="preserve"> Highly engaged students fail or withdraw about half as often, so the </w:t>
      </w:r>
      <w:r>
        <w:rPr>
          <w:rFonts w:eastAsia="Arial" w:cs="Arial" w:ascii="Arial" w:hAnsi="Arial"/>
          <w:b/>
          <w:bCs/>
          <w:color w:val="000000"/>
          <w:sz w:val="20"/>
          <w:szCs w:val="20"/>
        </w:rPr>
        <w:t>14,810</w:t>
      </w:r>
      <w:r>
        <w:rPr>
          <w:rFonts w:eastAsia="Arial" w:cs="Arial" w:ascii="Arial" w:hAnsi="Arial"/>
          <w:color w:val="000000"/>
          <w:sz w:val="20"/>
          <w:szCs w:val="20"/>
        </w:rPr>
        <w:t xml:space="preserve"> students at Medium or Low engagement should be the focus of reminders, nudges and more interactive content.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 education matters more than region.</w:t>
      </w:r>
      <w:r>
        <w:rPr>
          <w:rFonts w:eastAsia="Arial" w:cs="Arial" w:ascii="Arial" w:hAnsi="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Prioritise high-risk learners.</w:t>
      </w:r>
      <w:r>
        <w:rPr>
          <w:rFonts w:eastAsia="Arial" w:cs="Arial" w:ascii="Arial" w:hAnsi="Arial"/>
          <w:color w:val="000000"/>
          <w:sz w:val="20"/>
          <w:szCs w:val="20"/>
        </w:rPr>
        <w:t xml:space="preserve"> With </w:t>
      </w:r>
      <w:r>
        <w:rPr>
          <w:rFonts w:eastAsia="Arial" w:cs="Arial" w:ascii="Arial" w:hAnsi="Arial"/>
          <w:b/>
          <w:bCs/>
          <w:color w:val="000000"/>
          <w:sz w:val="20"/>
          <w:szCs w:val="20"/>
        </w:rPr>
        <w:t>10,691</w:t>
      </w:r>
      <w:r>
        <w:rPr>
          <w:rFonts w:eastAsia="Arial" w:cs="Arial" w:ascii="Arial" w:hAnsi="Arial"/>
          <w:color w:val="000000"/>
          <w:sz w:val="20"/>
          <w:szCs w:val="20"/>
        </w:rPr>
        <w:t xml:space="preserve"> students (about 48%) at High or Very High risk, early-warning alerts and adviser follow-ups should be triggered as soon as engagement drops.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Monitor continuously.</w:t>
      </w:r>
      <w:r>
        <w:rPr>
          <w:rFonts w:eastAsia="Arial" w:cs="Arial" w:ascii="Arial" w:hAnsi="Arial"/>
          <w:color w:val="000000"/>
          <w:sz w:val="20"/>
          <w:szCs w:val="20"/>
        </w:rPr>
        <w:t xml:space="preserve"> The interactive drill-downs allow advisers to filter by region, education, gender and engagement level and to act on the segments that need attention.</w:t>
      </w:r>
    </w:p>
    <w:p>
      <w:pPr>
        <w:pStyle w:val="Normal"/>
        <w:spacing w:before="240" w:after="0"/>
        <w:rPr>
          <w:rFonts w:ascii="Arial" w:hAnsi="Arial" w:eastAsia="Arial" w:cs="Arial"/>
          <w:sz w:val="18"/>
        </w:rPr>
      </w:pPr>
      <w:r>
        <w:rPr>
          <w:rFonts w:eastAsia="Arial" w:cs="Arial" w:ascii="Arial" w:hAnsi="Arial"/>
          <w:sz w:val="18"/>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mbr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0"/>
    <w:family w:val="roman"/>
    <w:pitch w:val="variable"/>
  </w:font>
  <w:font w:name="Noto Sans Symbols">
    <w:charset w:val="01"/>
    <w:family w:val="swiss"/>
    <w:pitch w:val="default"/>
  </w:font>
  <w:font w:name="Courier New">
    <w:charset w:val="01"/>
    <w:family w:val="modern"/>
    <w:pitch w:val="fixed"/>
    <w:embedRegular r:id="rId22" w:fontKey="{16014A78-CABC-4EF0-12AC-5CD89AEFDE16}"/>
    <w:embedBold r:id="rId23" w:fontKey="{17014A78-CABC-4EF0-12AC-5CD89AEFDE17}"/>
    <w:embedItalic r:id="rId24" w:fontKey="{18014A78-CABC-4EF0-12AC-5CD89AEFDE18}"/>
    <w:embedBoldItalic r:id="rId25" w:fontKey="{19014A78-CABC-4EF0-12AC-5CD89AEFDE1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38b3"/>
    <w:pPr>
      <w:widowControl/>
      <w:suppressAutoHyphens w:val="true"/>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Heading1">
    <w:name w:val="Heading 1"/>
    <w:basedOn w:val="Normal"/>
    <w:next w:val="Normal"/>
    <w:uiPriority w:val="9"/>
    <w:qFormat/>
    <w:rsid w:val="00b0508e"/>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val="true"/>
      <w:keepLines/>
      <w:spacing w:before="220" w:after="40"/>
      <w:outlineLvl w:val="4"/>
    </w:pPr>
    <w:rPr>
      <w:b/>
    </w:rPr>
  </w:style>
  <w:style w:type="paragraph" w:styleId="Heading6">
    <w:name w:val="Heading 6"/>
    <w:basedOn w:val="Normal"/>
    <w:next w:val="Normal"/>
    <w:uiPriority w:val="9"/>
    <w:semiHidden/>
    <w:unhideWhenUsed/>
    <w:qFormat/>
    <w:rsid w:val="00b0508e"/>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738b3"/>
    <w:rPr>
      <w:color w:themeColor="hyperlink" w:val="0563C1"/>
      <w:u w:val="single"/>
    </w:rPr>
  </w:style>
  <w:style w:type="character" w:styleId="Strong">
    <w:name w:val="Strong"/>
    <w:basedOn w:val="DefaultParagraphFont"/>
    <w:uiPriority w:val="22"/>
    <w:qFormat/>
    <w:rsid w:val="00a20696"/>
    <w:rPr>
      <w:b/>
      <w:bCs/>
    </w:rPr>
  </w:style>
  <w:style w:type="character" w:styleId="BalloonTextChar" w:customStyle="1">
    <w:name w:val="Balloon Text Char"/>
    <w:basedOn w:val="DefaultParagraphFont"/>
    <w:link w:val="BalloonText"/>
    <w:uiPriority w:val="99"/>
    <w:semiHidden/>
    <w:qFormat/>
    <w:rsid w:val="00a04d6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customStyle="1">
    <w:name w:val="normal1"/>
    <w:qFormat/>
    <w:rsid w:val="00b0508e"/>
    <w:pPr>
      <w:widowControl/>
      <w:suppressAutoHyphens w:val="true"/>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Title">
    <w:name w:val="Title"/>
    <w:basedOn w:val="Normal"/>
    <w:next w:val="Normal"/>
    <w:uiPriority w:val="10"/>
    <w:qFormat/>
    <w:rsid w:val="00b0508e"/>
    <w:pPr>
      <w:keepNext w:val="true"/>
      <w:keepLines/>
      <w:spacing w:before="480" w:after="120"/>
    </w:pPr>
    <w:rPr>
      <w:b/>
      <w:sz w:val="72"/>
      <w:szCs w:val="72"/>
    </w:rPr>
  </w:style>
  <w:style w:type="paragraph" w:styleId="Subtitle">
    <w:name w:val="Subtitle"/>
    <w:basedOn w:val="Normal"/>
    <w:next w:val="Normal"/>
    <w:qFormat/>
    <w:rsid w:val="00b0508e"/>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a2069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642171"/>
    <w:pPr>
      <w:spacing w:before="0" w:after="160"/>
      <w:ind w:left="720"/>
      <w:contextualSpacing/>
    </w:pPr>
    <w:rPr/>
  </w:style>
  <w:style w:type="paragraph" w:styleId="BalloonText">
    <w:name w:val="Balloon Text"/>
    <w:basedOn w:val="Normal"/>
    <w:link w:val="BalloonTextChar"/>
    <w:uiPriority w:val="99"/>
    <w:semiHidden/>
    <w:unhideWhenUsed/>
    <w:qFormat/>
    <w:rsid w:val="00a04d67"/>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rsid w:val="00b0508e"/>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PPT_Plus/1.0.0.0$Windows_X86_64 LibreOffice_project/</Application>
  <AppVersion>15.0000</AppVersion>
  <Pages>3</Pages>
  <Words>857</Words>
  <Characters>4553</Characters>
  <CharactersWithSpaces>5355</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2026-09-19T05:19:00Z</dcterms:created>
  <dc:creator>SmarBridge ML</dc:creator>
  <dc:description/>
  <dc:language>en-IN</dc:language>
  <cp:lastModifiedBy/>
  <dcterms:modified xsi:type="dcterms:W3CDTF">2026-09-21T17:09:27Z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