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mbria" w:hAnsi="Cambria" w:eastAsia="Cambria" w:cs="Cambria"/>
          <w:b/>
          <w:color w:val="000000"/>
          <w:sz w:val="32"/>
          <w:szCs w:val="32"/>
        </w:rPr>
      </w:pPr>
      <w:r>
        <w:rPr>
          <w:rFonts w:eastAsia="Cambria" w:cs="Cambria" w:ascii="Cambria" w:hAnsi="Cambria"/>
          <w:b/>
          <w:color w:val="000000"/>
          <w:sz w:val="32"/>
          <w:szCs w:val="32"/>
        </w:rPr>
        <w:t xml:space="preserve">Business Question and Visualization </w:t>
      </w:r>
      <w:r>
        <w:rPr>
          <w:rFonts w:eastAsia="Cambria" w:cs="Cambria" w:ascii="Cambria" w:hAnsi="Cambria"/>
          <w:b/>
          <w:sz w:val="32"/>
          <w:szCs w:val="32"/>
        </w:rPr>
        <w:t>Report</w:t>
      </w:r>
    </w:p>
    <w:p>
      <w:pPr>
        <w:pStyle w:val="Normal"/>
        <w:spacing w:before="0" w:after="0"/>
        <w:jc w:val="center"/>
        <w:rPr>
          <w:rFonts w:ascii="Arial" w:hAnsi="Arial" w:eastAsia="Arial" w:cs="Arial"/>
          <w:b/>
        </w:rPr>
      </w:pPr>
      <w:r>
        <w:rPr>
          <w:rFonts w:eastAsia="Arial" w:cs="Arial" w:ascii="Arial" w:hAnsi="Arial"/>
          <w:b/>
        </w:rPr>
      </w:r>
    </w:p>
    <w:tbl>
      <w:tblPr>
        <w:tblStyle w:val="a"/>
        <w:tblW w:w="9351" w:type="dxa"/>
        <w:jc w:val="center"/>
        <w:tblInd w:w="0" w:type="dxa"/>
        <w:tblLayout w:type="fixed"/>
        <w:tblCellMar>
          <w:top w:w="0" w:type="dxa"/>
          <w:left w:w="108" w:type="dxa"/>
          <w:bottom w:w="0" w:type="dxa"/>
          <w:right w:w="108" w:type="dxa"/>
        </w:tblCellMar>
        <w:tblLook w:val="0400"/>
      </w:tblPr>
      <w:tblGrid>
        <w:gridCol w:w="4508"/>
        <w:gridCol w:w="4842"/>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Team ID</w:t>
            </w:r>
          </w:p>
        </w:tc>
        <w:tc>
          <w:tcPr>
            <w:tcW w:w="4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Master of Computer Application</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Project Name</w:t>
            </w:r>
          </w:p>
        </w:tc>
        <w:tc>
          <w:tcPr>
            <w:tcW w:w="4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Online Learning Engagement and Student Performance Analysis</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Maximum Marks</w:t>
            </w:r>
          </w:p>
        </w:tc>
        <w:tc>
          <w:tcPr>
            <w:tcW w:w="484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5 Marks</w:t>
            </w:r>
          </w:p>
        </w:tc>
      </w:tr>
    </w:tbl>
    <w:p>
      <w:pPr>
        <w:pStyle w:val="Normal"/>
        <w:rPr>
          <w:rFonts w:ascii="Cambria" w:hAnsi="Cambria" w:eastAsia="Cambria" w:cs="Cambria"/>
          <w:b/>
          <w:color w:val="000000"/>
          <w:sz w:val="32"/>
          <w:szCs w:val="32"/>
        </w:rPr>
      </w:pPr>
      <w:r>
        <w:rPr>
          <w:rFonts w:eastAsia="Cambria" w:cs="Cambria" w:ascii="Cambria" w:hAnsi="Cambria"/>
          <w:b/>
          <w:color w:val="000000"/>
          <w:sz w:val="32"/>
          <w:szCs w:val="32"/>
        </w:rPr>
      </w:r>
    </w:p>
    <w:p>
      <w:pPr>
        <w:pStyle w:val="Normal"/>
        <w:jc w:val="both"/>
        <w:rPr>
          <w:rFonts w:ascii="Cambria" w:hAnsi="Cambria" w:eastAsia="Cambria" w:cs="Cambria"/>
          <w:sz w:val="24"/>
          <w:szCs w:val="24"/>
        </w:rPr>
      </w:pPr>
      <w:r>
        <w:rPr>
          <w:rFonts w:eastAsia="Cambria" w:cs="Cambria" w:ascii="Cambria" w:hAnsi="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pPr>
        <w:pStyle w:val="Normal"/>
        <w:keepNext w:val="true"/>
        <w:spacing w:before="240" w:after="120"/>
        <w:ind w:left="720"/>
        <w:rPr>
          <w:rFonts w:ascii="Cambria" w:hAnsi="Cambria" w:eastAsia="Cambria" w:cs="Cambria"/>
          <w:sz w:val="24"/>
          <w:szCs w:val="24"/>
        </w:rPr>
      </w:pPr>
      <w:r>
        <w:rPr>
          <w:rFonts w:eastAsia="Cambria" w:cs="Cambria" w:ascii="Cambria" w:hAnsi="Cambria"/>
          <w:b/>
          <w:bCs/>
          <w:color w:val="000000"/>
          <w:sz w:val="24"/>
          <w:szCs w:val="24"/>
        </w:rPr>
        <w:t>Business Questions and Visualisation</w:t>
      </w:r>
    </w:p>
    <w:p>
      <w:pPr>
        <w:pStyle w:val="Normal"/>
        <w:ind w:left="720"/>
        <w:jc w:val="both"/>
        <w:rPr>
          <w:rFonts w:ascii="Cambria" w:hAnsi="Cambria" w:eastAsia="Cambria" w:cs="Cambria"/>
          <w:sz w:val="24"/>
          <w:szCs w:val="24"/>
        </w:rPr>
      </w:pPr>
      <w:r>
        <w:rPr>
          <w:rFonts w:eastAsia="Cambria" w:cs="Cambria" w:ascii="Cambria" w:hAnsi="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pPr>
        <w:pStyle w:val="Normal"/>
        <w:keepNext w:val="true"/>
        <w:numPr>
          <w:ilvl w:val="0"/>
          <w:numId w:val="1"/>
        </w:numPr>
        <w:spacing w:before="280" w:after="80"/>
        <w:rPr>
          <w:rFonts w:ascii="Cambria" w:hAnsi="Cambria" w:eastAsia="Cambria" w:cs="Cambria"/>
          <w:sz w:val="32"/>
          <w:szCs w:val="32"/>
        </w:rPr>
      </w:pPr>
      <w:r>
        <w:rPr>
          <w:rFonts w:eastAsia="Cambria" w:cs="Cambria" w:ascii="Cambria" w:hAnsi="Cambria"/>
          <w:b/>
          <w:bCs/>
          <w:color w:val="000000"/>
          <w:sz w:val="32"/>
          <w:szCs w:val="32"/>
        </w:rPr>
        <w:t>How are students distributed across engagement levels?</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Visualization</w:t>
      </w:r>
      <w:r>
        <w:rPr>
          <w:rFonts w:eastAsia="Cambria" w:cs="Cambria" w:ascii="Cambria" w:hAnsi="Cambria"/>
          <w:color w:val="000000"/>
          <w:sz w:val="32"/>
          <w:szCs w:val="32"/>
        </w:rPr>
        <w:t>: Pie chart showing Total Students by engagement level (Dashboard 1: Student Performance &amp; Engagement Overview).</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Fields used</w:t>
      </w:r>
      <w:r>
        <w:rPr>
          <w:rFonts w:eastAsia="Cambria" w:cs="Cambria" w:ascii="Cambria" w:hAnsi="Cambria"/>
          <w:color w:val="000000"/>
          <w:sz w:val="32"/>
          <w:szCs w:val="32"/>
        </w:rPr>
        <w:t>: Legend – engagement level; Values – Total Students.</w:t>
      </w:r>
    </w:p>
    <w:p>
      <w:pPr>
        <w:pStyle w:val="Normal"/>
        <w:keepNext w:val="true"/>
        <w:numPr>
          <w:ilvl w:val="1"/>
          <w:numId w:val="1"/>
        </w:numPr>
        <w:spacing w:before="0" w:after="60"/>
        <w:rPr>
          <w:rFonts w:ascii="Cambria" w:hAnsi="Cambria" w:eastAsia="Cambria" w:cs="Cambria"/>
          <w:sz w:val="32"/>
          <w:szCs w:val="32"/>
        </w:rPr>
      </w:pPr>
      <w:r>
        <w:rPr>
          <w:rFonts w:eastAsia="Cambria" w:cs="Cambria" w:ascii="Cambria" w:hAnsi="Cambria"/>
          <w:i/>
          <w:iCs/>
          <w:color w:val="000000"/>
          <w:sz w:val="32"/>
          <w:szCs w:val="32"/>
        </w:rPr>
        <w:t>Screenshot of visualisation</w:t>
      </w:r>
    </w:p>
    <w:p>
      <w:pPr>
        <w:pStyle w:val="Normal"/>
        <w:keepLines/>
        <w:ind w:left="1440"/>
        <w:rPr>
          <w:sz w:val="32"/>
          <w:szCs w:val="32"/>
        </w:rPr>
      </w:pPr>
      <w:r>
        <w:rPr/>
        <w:drawing>
          <wp:inline distT="0" distB="0" distL="0" distR="0">
            <wp:extent cx="3657600" cy="2724150"/>
            <wp:effectExtent l="0" t="0" r="0" b="0"/>
            <wp:docPr id="1" name="q1.png" descr="How are students distributed across engagement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1.png" descr="How are students distributed across engagement levels?"/>
                    <pic:cNvPicPr>
                      <a:picLocks noChangeAspect="1" noChangeArrowheads="1"/>
                    </pic:cNvPicPr>
                  </pic:nvPicPr>
                  <pic:blipFill>
                    <a:blip r:embed="rId2"/>
                    <a:stretch>
                      <a:fillRect/>
                    </a:stretch>
                  </pic:blipFill>
                  <pic:spPr bwMode="auto">
                    <a:xfrm>
                      <a:off x="0" y="0"/>
                      <a:ext cx="3657600" cy="2724150"/>
                    </a:xfrm>
                    <a:prstGeom prst="rect">
                      <a:avLst/>
                    </a:prstGeom>
                    <a:ln w="9525">
                      <a:solidFill>
                        <a:srgbClr val="BFBFBF"/>
                      </a:solidFill>
                    </a:ln>
                  </pic:spPr>
                </pic:pic>
              </a:graphicData>
            </a:graphic>
          </wp:inline>
        </w:drawing>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Insights</w:t>
      </w:r>
      <w:r>
        <w:rPr>
          <w:rFonts w:eastAsia="Cambria" w:cs="Cambria" w:ascii="Cambria" w:hAnsi="Cambria"/>
          <w:color w:val="000000"/>
          <w:sz w:val="32"/>
          <w:szCs w:val="32"/>
        </w:rPr>
        <w:t xml:space="preserve">: Of the </w:t>
      </w:r>
      <w:r>
        <w:rPr>
          <w:rFonts w:eastAsia="Cambria" w:cs="Cambria" w:ascii="Cambria" w:hAnsi="Cambria"/>
          <w:b/>
          <w:bCs/>
          <w:color w:val="000000"/>
          <w:sz w:val="32"/>
          <w:szCs w:val="32"/>
        </w:rPr>
        <w:t>22,422 students</w:t>
      </w:r>
      <w:r>
        <w:rPr>
          <w:rFonts w:eastAsia="Cambria" w:cs="Cambria" w:ascii="Cambria" w:hAnsi="Cambria"/>
          <w:color w:val="000000"/>
          <w:sz w:val="32"/>
          <w:szCs w:val="32"/>
        </w:rPr>
        <w:t xml:space="preserve">, </w:t>
      </w:r>
      <w:r>
        <w:rPr>
          <w:rFonts w:eastAsia="Cambria" w:cs="Cambria" w:ascii="Cambria" w:hAnsi="Cambria"/>
          <w:b/>
          <w:bCs/>
          <w:color w:val="000000"/>
          <w:sz w:val="32"/>
          <w:szCs w:val="32"/>
        </w:rPr>
        <w:t>8,400 (37.46%)</w:t>
      </w:r>
      <w:r>
        <w:rPr>
          <w:rFonts w:eastAsia="Cambria" w:cs="Cambria" w:ascii="Cambria" w:hAnsi="Cambria"/>
          <w:color w:val="000000"/>
          <w:sz w:val="32"/>
          <w:szCs w:val="32"/>
        </w:rPr>
        <w:t xml:space="preserve"> have Medium engagement, </w:t>
      </w:r>
      <w:r>
        <w:rPr>
          <w:rFonts w:eastAsia="Cambria" w:cs="Cambria" w:ascii="Cambria" w:hAnsi="Cambria"/>
          <w:b/>
          <w:bCs/>
          <w:color w:val="000000"/>
          <w:sz w:val="32"/>
          <w:szCs w:val="32"/>
        </w:rPr>
        <w:t>7,612 (33.95%)</w:t>
      </w:r>
      <w:r>
        <w:rPr>
          <w:rFonts w:eastAsia="Cambria" w:cs="Cambria" w:ascii="Cambria" w:hAnsi="Cambria"/>
          <w:color w:val="000000"/>
          <w:sz w:val="32"/>
          <w:szCs w:val="32"/>
        </w:rPr>
        <w:t xml:space="preserve"> have High engagement and </w:t>
      </w:r>
      <w:r>
        <w:rPr>
          <w:rFonts w:eastAsia="Cambria" w:cs="Cambria" w:ascii="Cambria" w:hAnsi="Cambria"/>
          <w:b/>
          <w:bCs/>
          <w:color w:val="000000"/>
          <w:sz w:val="32"/>
          <w:szCs w:val="32"/>
        </w:rPr>
        <w:t>6,410 (28.59%)</w:t>
      </w:r>
      <w:r>
        <w:rPr>
          <w:rFonts w:eastAsia="Cambria" w:cs="Cambria" w:ascii="Cambria" w:hAnsi="Cambria"/>
          <w:color w:val="000000"/>
          <w:sz w:val="32"/>
          <w:szCs w:val="32"/>
        </w:rPr>
        <w:t xml:space="preserve"> have Low engagement. The split looks fairly even, but </w:t>
      </w:r>
      <w:r>
        <w:rPr>
          <w:rFonts w:eastAsia="Cambria" w:cs="Cambria" w:ascii="Cambria" w:hAnsi="Cambria"/>
          <w:b/>
          <w:bCs/>
          <w:color w:val="000000"/>
          <w:sz w:val="32"/>
          <w:szCs w:val="32"/>
        </w:rPr>
        <w:t>14,810 students (66.05%)</w:t>
      </w:r>
      <w:r>
        <w:rPr>
          <w:rFonts w:eastAsia="Cambria" w:cs="Cambria" w:ascii="Cambria" w:hAnsi="Cambria"/>
          <w:color w:val="000000"/>
          <w:sz w:val="32"/>
          <w:szCs w:val="32"/>
        </w:rPr>
        <w:t xml:space="preserve"> sit at Medium or Low, so about two-thirds of learners are not fully engaged with their course.</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Business value</w:t>
      </w:r>
      <w:r>
        <w:rPr>
          <w:rFonts w:eastAsia="Cambria" w:cs="Cambria" w:ascii="Cambria" w:hAnsi="Cambria"/>
          <w:color w:val="000000"/>
          <w:sz w:val="32"/>
          <w:szCs w:val="32"/>
        </w:rPr>
        <w:t>: This shows how large the engagement gap is and sizes the group that should receive reminders, nudges and more interactive content.</w:t>
      </w:r>
    </w:p>
    <w:p>
      <w:pPr>
        <w:pStyle w:val="Normal"/>
        <w:keepNext w:val="true"/>
        <w:numPr>
          <w:ilvl w:val="0"/>
          <w:numId w:val="1"/>
        </w:numPr>
        <w:spacing w:before="280" w:after="80"/>
        <w:rPr>
          <w:rFonts w:ascii="Cambria" w:hAnsi="Cambria" w:eastAsia="Cambria" w:cs="Cambria"/>
          <w:sz w:val="32"/>
          <w:szCs w:val="32"/>
        </w:rPr>
      </w:pPr>
      <w:r>
        <w:rPr>
          <w:rFonts w:eastAsia="Cambria" w:cs="Cambria" w:ascii="Cambria" w:hAnsi="Cambria"/>
          <w:b/>
          <w:bCs/>
          <w:color w:val="000000"/>
          <w:sz w:val="32"/>
          <w:szCs w:val="32"/>
        </w:rPr>
        <w:t>How much learning activity (clicks) does each engagement level generate?</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Visualization</w:t>
      </w:r>
      <w:r>
        <w:rPr>
          <w:rFonts w:eastAsia="Cambria" w:cs="Cambria" w:ascii="Cambria" w:hAnsi="Cambria"/>
          <w:color w:val="000000"/>
          <w:sz w:val="32"/>
          <w:szCs w:val="32"/>
        </w:rPr>
        <w:t>: Clustered column chart showing Sum of total clicks by engagement level (Dashboard 1: Student Performance &amp; Engagement Overview).</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Fields used</w:t>
      </w:r>
      <w:r>
        <w:rPr>
          <w:rFonts w:eastAsia="Cambria" w:cs="Cambria" w:ascii="Cambria" w:hAnsi="Cambria"/>
          <w:color w:val="000000"/>
          <w:sz w:val="32"/>
          <w:szCs w:val="32"/>
        </w:rPr>
        <w:t>: Axis – engagement level; Values – Sum of total clicks.</w:t>
      </w:r>
    </w:p>
    <w:p>
      <w:pPr>
        <w:pStyle w:val="Normal"/>
        <w:keepNext w:val="true"/>
        <w:numPr>
          <w:ilvl w:val="1"/>
          <w:numId w:val="1"/>
        </w:numPr>
        <w:spacing w:before="0" w:after="60"/>
        <w:rPr>
          <w:rFonts w:ascii="Cambria" w:hAnsi="Cambria" w:eastAsia="Cambria" w:cs="Cambria"/>
          <w:sz w:val="32"/>
          <w:szCs w:val="32"/>
        </w:rPr>
      </w:pPr>
      <w:r>
        <w:rPr>
          <w:rFonts w:eastAsia="Cambria" w:cs="Cambria" w:ascii="Cambria" w:hAnsi="Cambria"/>
          <w:i/>
          <w:iCs/>
          <w:color w:val="000000"/>
          <w:sz w:val="32"/>
          <w:szCs w:val="32"/>
        </w:rPr>
        <w:t>Screenshot of visualisation</w:t>
      </w:r>
    </w:p>
    <w:p>
      <w:pPr>
        <w:pStyle w:val="Normal"/>
        <w:keepLines/>
        <w:ind w:left="1440"/>
        <w:rPr>
          <w:sz w:val="32"/>
          <w:szCs w:val="32"/>
        </w:rPr>
      </w:pPr>
      <w:r>
        <w:rPr/>
        <w:drawing>
          <wp:inline distT="0" distB="0" distL="0" distR="0">
            <wp:extent cx="3599815" cy="2743200"/>
            <wp:effectExtent l="0" t="0" r="0" b="0"/>
            <wp:docPr id="2" name="q2.png" descr="How much learning activity (clicks) does each engagement level gene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2.png" descr="How much learning activity (clicks) does each engagement level generate?"/>
                    <pic:cNvPicPr>
                      <a:picLocks noChangeAspect="1" noChangeArrowheads="1"/>
                    </pic:cNvPicPr>
                  </pic:nvPicPr>
                  <pic:blipFill>
                    <a:blip r:embed="rId3"/>
                    <a:stretch>
                      <a:fillRect/>
                    </a:stretch>
                  </pic:blipFill>
                  <pic:spPr bwMode="auto">
                    <a:xfrm>
                      <a:off x="0" y="0"/>
                      <a:ext cx="3599815" cy="2743200"/>
                    </a:xfrm>
                    <a:prstGeom prst="rect">
                      <a:avLst/>
                    </a:prstGeom>
                    <a:ln w="9525">
                      <a:solidFill>
                        <a:srgbClr val="BFBFBF"/>
                      </a:solidFill>
                    </a:ln>
                  </pic:spPr>
                </pic:pic>
              </a:graphicData>
            </a:graphic>
          </wp:inline>
        </w:drawing>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Insights</w:t>
      </w:r>
      <w:r>
        <w:rPr>
          <w:rFonts w:eastAsia="Cambria" w:cs="Cambria" w:ascii="Cambria" w:hAnsi="Cambria"/>
          <w:color w:val="000000"/>
          <w:sz w:val="32"/>
          <w:szCs w:val="32"/>
        </w:rPr>
        <w:t xml:space="preserve">: High-engagement students generate about </w:t>
      </w:r>
      <w:r>
        <w:rPr>
          <w:rFonts w:eastAsia="Cambria" w:cs="Cambria" w:ascii="Cambria" w:hAnsi="Cambria"/>
          <w:b/>
          <w:bCs/>
          <w:color w:val="000000"/>
          <w:sz w:val="32"/>
          <w:szCs w:val="32"/>
        </w:rPr>
        <w:t>32M clicks</w:t>
      </w:r>
      <w:r>
        <w:rPr>
          <w:rFonts w:eastAsia="Cambria" w:cs="Cambria" w:ascii="Cambria" w:hAnsi="Cambria"/>
          <w:color w:val="000000"/>
          <w:sz w:val="32"/>
          <w:szCs w:val="32"/>
        </w:rPr>
        <w:t xml:space="preserve">, compared with about </w:t>
      </w:r>
      <w:r>
        <w:rPr>
          <w:rFonts w:eastAsia="Cambria" w:cs="Cambria" w:ascii="Cambria" w:hAnsi="Cambria"/>
          <w:b/>
          <w:bCs/>
          <w:color w:val="000000"/>
          <w:sz w:val="32"/>
          <w:szCs w:val="32"/>
        </w:rPr>
        <w:t>9M</w:t>
      </w:r>
      <w:r>
        <w:rPr>
          <w:rFonts w:eastAsia="Cambria" w:cs="Cambria" w:ascii="Cambria" w:hAnsi="Cambria"/>
          <w:color w:val="000000"/>
          <w:sz w:val="32"/>
          <w:szCs w:val="32"/>
        </w:rPr>
        <w:t xml:space="preserve"> for Medium and about </w:t>
      </w:r>
      <w:r>
        <w:rPr>
          <w:rFonts w:eastAsia="Cambria" w:cs="Cambria" w:ascii="Cambria" w:hAnsi="Cambria"/>
          <w:b/>
          <w:bCs/>
          <w:color w:val="000000"/>
          <w:sz w:val="32"/>
          <w:szCs w:val="32"/>
        </w:rPr>
        <w:t>2M</w:t>
      </w:r>
      <w:r>
        <w:rPr>
          <w:rFonts w:eastAsia="Cambria" w:cs="Cambria" w:ascii="Cambria" w:hAnsi="Cambria"/>
          <w:color w:val="000000"/>
          <w:sz w:val="32"/>
          <w:szCs w:val="32"/>
        </w:rPr>
        <w:t xml:space="preserve"> for Low. That is roughly </w:t>
      </w:r>
      <w:r>
        <w:rPr>
          <w:rFonts w:eastAsia="Cambria" w:cs="Cambria" w:ascii="Cambria" w:hAnsi="Cambria"/>
          <w:b/>
          <w:bCs/>
          <w:color w:val="000000"/>
          <w:sz w:val="32"/>
          <w:szCs w:val="32"/>
        </w:rPr>
        <w:t>three-quarters</w:t>
      </w:r>
      <w:r>
        <w:rPr>
          <w:rFonts w:eastAsia="Cambria" w:cs="Cambria" w:ascii="Cambria" w:hAnsi="Cambria"/>
          <w:color w:val="000000"/>
          <w:sz w:val="32"/>
          <w:szCs w:val="32"/>
        </w:rPr>
        <w:t xml:space="preserve"> of all platform clicks coming from about a third of the students. Per student, this works out at roughly </w:t>
      </w:r>
      <w:r>
        <w:rPr>
          <w:rFonts w:eastAsia="Cambria" w:cs="Cambria" w:ascii="Cambria" w:hAnsi="Cambria"/>
          <w:b/>
          <w:bCs/>
          <w:color w:val="000000"/>
          <w:sz w:val="32"/>
          <w:szCs w:val="32"/>
        </w:rPr>
        <w:t>4,000 clicks</w:t>
      </w:r>
      <w:r>
        <w:rPr>
          <w:rFonts w:eastAsia="Cambria" w:cs="Cambria" w:ascii="Cambria" w:hAnsi="Cambria"/>
          <w:color w:val="000000"/>
          <w:sz w:val="32"/>
          <w:szCs w:val="32"/>
        </w:rPr>
        <w:t xml:space="preserve"> for High engagement, about </w:t>
      </w:r>
      <w:r>
        <w:rPr>
          <w:rFonts w:eastAsia="Cambria" w:cs="Cambria" w:ascii="Cambria" w:hAnsi="Cambria"/>
          <w:b/>
          <w:bCs/>
          <w:color w:val="000000"/>
          <w:sz w:val="32"/>
          <w:szCs w:val="32"/>
        </w:rPr>
        <w:t>1,000</w:t>
      </w:r>
      <w:r>
        <w:rPr>
          <w:rFonts w:eastAsia="Cambria" w:cs="Cambria" w:ascii="Cambria" w:hAnsi="Cambria"/>
          <w:color w:val="000000"/>
          <w:sz w:val="32"/>
          <w:szCs w:val="32"/>
        </w:rPr>
        <w:t xml:space="preserve"> for Medium and fewer than </w:t>
      </w:r>
      <w:r>
        <w:rPr>
          <w:rFonts w:eastAsia="Cambria" w:cs="Cambria" w:ascii="Cambria" w:hAnsi="Cambria"/>
          <w:b/>
          <w:bCs/>
          <w:color w:val="000000"/>
          <w:sz w:val="32"/>
          <w:szCs w:val="32"/>
        </w:rPr>
        <w:t>300</w:t>
      </w:r>
      <w:r>
        <w:rPr>
          <w:rFonts w:eastAsia="Cambria" w:cs="Cambria" w:ascii="Cambria" w:hAnsi="Cambria"/>
          <w:color w:val="000000"/>
          <w:sz w:val="32"/>
          <w:szCs w:val="32"/>
        </w:rPr>
        <w:t xml:space="preserve"> for Low.</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Business value</w:t>
      </w:r>
      <w:r>
        <w:rPr>
          <w:rFonts w:eastAsia="Cambria" w:cs="Cambria" w:ascii="Cambria" w:hAnsi="Cambria"/>
          <w:color w:val="000000"/>
          <w:sz w:val="32"/>
          <w:szCs w:val="32"/>
        </w:rPr>
        <w:t>: Click activity is a clear early indicator of engagement, so a sharp drop in a student’s clicks can be used as an early-warning signal for support teams.</w:t>
      </w:r>
    </w:p>
    <w:p>
      <w:pPr>
        <w:pStyle w:val="Normal"/>
        <w:keepNext w:val="true"/>
        <w:numPr>
          <w:ilvl w:val="0"/>
          <w:numId w:val="1"/>
        </w:numPr>
        <w:spacing w:before="280" w:after="80"/>
        <w:rPr>
          <w:rFonts w:ascii="Cambria" w:hAnsi="Cambria" w:eastAsia="Cambria" w:cs="Cambria"/>
          <w:sz w:val="32"/>
          <w:szCs w:val="32"/>
        </w:rPr>
      </w:pPr>
      <w:r>
        <w:rPr>
          <w:rFonts w:eastAsia="Cambria" w:cs="Cambria" w:ascii="Cambria" w:hAnsi="Cambria"/>
          <w:b/>
          <w:bCs/>
          <w:color w:val="000000"/>
          <w:sz w:val="32"/>
          <w:szCs w:val="32"/>
        </w:rPr>
        <w:t>What is the distribution of final results (Pass, Fail, Withdrawn and Distinction)?</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Visualization</w:t>
      </w:r>
      <w:r>
        <w:rPr>
          <w:rFonts w:eastAsia="Cambria" w:cs="Cambria" w:ascii="Cambria" w:hAnsi="Cambria"/>
          <w:color w:val="000000"/>
          <w:sz w:val="32"/>
          <w:szCs w:val="32"/>
        </w:rPr>
        <w:t>: Clustered column chart showing Total Students by final result (Dashboard 1: Student Performance &amp; Engagement Overview).</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Fields used</w:t>
      </w:r>
      <w:r>
        <w:rPr>
          <w:rFonts w:eastAsia="Cambria" w:cs="Cambria" w:ascii="Cambria" w:hAnsi="Cambria"/>
          <w:color w:val="000000"/>
          <w:sz w:val="32"/>
          <w:szCs w:val="32"/>
        </w:rPr>
        <w:t>: Axis – final result; Values – Total Students.</w:t>
      </w:r>
    </w:p>
    <w:p>
      <w:pPr>
        <w:pStyle w:val="Normal"/>
        <w:keepNext w:val="true"/>
        <w:numPr>
          <w:ilvl w:val="1"/>
          <w:numId w:val="1"/>
        </w:numPr>
        <w:spacing w:before="0" w:after="60"/>
        <w:rPr>
          <w:rFonts w:ascii="Cambria" w:hAnsi="Cambria" w:eastAsia="Cambria" w:cs="Cambria"/>
          <w:sz w:val="32"/>
          <w:szCs w:val="32"/>
        </w:rPr>
      </w:pPr>
      <w:r>
        <w:rPr>
          <w:rFonts w:eastAsia="Cambria" w:cs="Cambria" w:ascii="Cambria" w:hAnsi="Cambria"/>
          <w:i/>
          <w:iCs/>
          <w:color w:val="000000"/>
          <w:sz w:val="32"/>
          <w:szCs w:val="32"/>
        </w:rPr>
        <w:t>Screenshot of visualisation</w:t>
      </w:r>
    </w:p>
    <w:p>
      <w:pPr>
        <w:pStyle w:val="Normal"/>
        <w:keepLines/>
        <w:ind w:left="1440"/>
        <w:rPr>
          <w:sz w:val="32"/>
          <w:szCs w:val="32"/>
        </w:rPr>
      </w:pPr>
      <w:r>
        <w:rPr/>
        <w:drawing>
          <wp:inline distT="0" distB="0" distL="0" distR="0">
            <wp:extent cx="3676650" cy="2733675"/>
            <wp:effectExtent l="0" t="0" r="0" b="0"/>
            <wp:docPr id="3" name="q3.png" descr="What is the distribution of final results (Pass, Fail, Withdrawn and Disti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3.png" descr="What is the distribution of final results (Pass, Fail, Withdrawn and Distinction)?"/>
                    <pic:cNvPicPr>
                      <a:picLocks noChangeAspect="1" noChangeArrowheads="1"/>
                    </pic:cNvPicPr>
                  </pic:nvPicPr>
                  <pic:blipFill>
                    <a:blip r:embed="rId4"/>
                    <a:stretch>
                      <a:fillRect/>
                    </a:stretch>
                  </pic:blipFill>
                  <pic:spPr bwMode="auto">
                    <a:xfrm>
                      <a:off x="0" y="0"/>
                      <a:ext cx="3676650" cy="2733675"/>
                    </a:xfrm>
                    <a:prstGeom prst="rect">
                      <a:avLst/>
                    </a:prstGeom>
                    <a:ln w="9525">
                      <a:solidFill>
                        <a:srgbClr val="BFBFBF"/>
                      </a:solidFill>
                    </a:ln>
                  </pic:spPr>
                </pic:pic>
              </a:graphicData>
            </a:graphic>
          </wp:inline>
        </w:drawing>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Insights</w:t>
      </w:r>
      <w:r>
        <w:rPr>
          <w:rFonts w:eastAsia="Cambria" w:cs="Cambria" w:ascii="Cambria" w:hAnsi="Cambria"/>
          <w:color w:val="000000"/>
          <w:sz w:val="32"/>
          <w:szCs w:val="32"/>
        </w:rPr>
        <w:t xml:space="preserve">: </w:t>
      </w:r>
      <w:r>
        <w:rPr>
          <w:rFonts w:eastAsia="Cambria" w:cs="Cambria" w:ascii="Cambria" w:hAnsi="Cambria"/>
          <w:b/>
          <w:bCs/>
          <w:color w:val="000000"/>
          <w:sz w:val="32"/>
          <w:szCs w:val="32"/>
        </w:rPr>
        <w:t>Pass</w:t>
      </w:r>
      <w:r>
        <w:rPr>
          <w:rFonts w:eastAsia="Cambria" w:cs="Cambria" w:ascii="Cambria" w:hAnsi="Cambria"/>
          <w:color w:val="000000"/>
          <w:sz w:val="32"/>
          <w:szCs w:val="32"/>
        </w:rPr>
        <w:t xml:space="preserve"> is the most common result at about </w:t>
      </w:r>
      <w:r>
        <w:rPr>
          <w:rFonts w:eastAsia="Cambria" w:cs="Cambria" w:ascii="Cambria" w:hAnsi="Cambria"/>
          <w:b/>
          <w:bCs/>
          <w:color w:val="000000"/>
          <w:sz w:val="32"/>
          <w:szCs w:val="32"/>
        </w:rPr>
        <w:t>11K</w:t>
      </w:r>
      <w:r>
        <w:rPr>
          <w:rFonts w:eastAsia="Cambria" w:cs="Cambria" w:ascii="Cambria" w:hAnsi="Cambria"/>
          <w:color w:val="000000"/>
          <w:sz w:val="32"/>
          <w:szCs w:val="32"/>
        </w:rPr>
        <w:t xml:space="preserve"> students, followed by </w:t>
      </w:r>
      <w:r>
        <w:rPr>
          <w:rFonts w:eastAsia="Cambria" w:cs="Cambria" w:ascii="Cambria" w:hAnsi="Cambria"/>
          <w:b/>
          <w:bCs/>
          <w:color w:val="000000"/>
          <w:sz w:val="32"/>
          <w:szCs w:val="32"/>
        </w:rPr>
        <w:t>Fail</w:t>
      </w:r>
      <w:r>
        <w:rPr>
          <w:rFonts w:eastAsia="Cambria" w:cs="Cambria" w:ascii="Cambria" w:hAnsi="Cambria"/>
          <w:color w:val="000000"/>
          <w:sz w:val="32"/>
          <w:szCs w:val="32"/>
        </w:rPr>
        <w:t xml:space="preserve"> (about </w:t>
      </w:r>
      <w:r>
        <w:rPr>
          <w:rFonts w:eastAsia="Cambria" w:cs="Cambria" w:ascii="Cambria" w:hAnsi="Cambria"/>
          <w:b/>
          <w:bCs/>
          <w:color w:val="000000"/>
          <w:sz w:val="32"/>
          <w:szCs w:val="32"/>
        </w:rPr>
        <w:t>5.5K</w:t>
      </w:r>
      <w:r>
        <w:rPr>
          <w:rFonts w:eastAsia="Cambria" w:cs="Cambria" w:ascii="Cambria" w:hAnsi="Cambria"/>
          <w:color w:val="000000"/>
          <w:sz w:val="32"/>
          <w:szCs w:val="32"/>
        </w:rPr>
        <w:t xml:space="preserve">), </w:t>
      </w:r>
      <w:r>
        <w:rPr>
          <w:rFonts w:eastAsia="Cambria" w:cs="Cambria" w:ascii="Cambria" w:hAnsi="Cambria"/>
          <w:b/>
          <w:bCs/>
          <w:color w:val="000000"/>
          <w:sz w:val="32"/>
          <w:szCs w:val="32"/>
        </w:rPr>
        <w:t>Withdrawn</w:t>
      </w:r>
      <w:r>
        <w:rPr>
          <w:rFonts w:eastAsia="Cambria" w:cs="Cambria" w:ascii="Cambria" w:hAnsi="Cambria"/>
          <w:color w:val="000000"/>
          <w:sz w:val="32"/>
          <w:szCs w:val="32"/>
        </w:rPr>
        <w:t xml:space="preserve"> (about </w:t>
      </w:r>
      <w:r>
        <w:rPr>
          <w:rFonts w:eastAsia="Cambria" w:cs="Cambria" w:ascii="Cambria" w:hAnsi="Cambria"/>
          <w:b/>
          <w:bCs/>
          <w:color w:val="000000"/>
          <w:sz w:val="32"/>
          <w:szCs w:val="32"/>
        </w:rPr>
        <w:t>4.7K</w:t>
      </w:r>
      <w:r>
        <w:rPr>
          <w:rFonts w:eastAsia="Cambria" w:cs="Cambria" w:ascii="Cambria" w:hAnsi="Cambria"/>
          <w:color w:val="000000"/>
          <w:sz w:val="32"/>
          <w:szCs w:val="32"/>
        </w:rPr>
        <w:t xml:space="preserve">) and </w:t>
      </w:r>
      <w:r>
        <w:rPr>
          <w:rFonts w:eastAsia="Cambria" w:cs="Cambria" w:ascii="Cambria" w:hAnsi="Cambria"/>
          <w:b/>
          <w:bCs/>
          <w:color w:val="000000"/>
          <w:sz w:val="32"/>
          <w:szCs w:val="32"/>
        </w:rPr>
        <w:t>Distinction</w:t>
      </w:r>
      <w:r>
        <w:rPr>
          <w:rFonts w:eastAsia="Cambria" w:cs="Cambria" w:ascii="Cambria" w:hAnsi="Cambria"/>
          <w:color w:val="000000"/>
          <w:sz w:val="32"/>
          <w:szCs w:val="32"/>
        </w:rPr>
        <w:t xml:space="preserve"> (about </w:t>
      </w:r>
      <w:r>
        <w:rPr>
          <w:rFonts w:eastAsia="Cambria" w:cs="Cambria" w:ascii="Cambria" w:hAnsi="Cambria"/>
          <w:b/>
          <w:bCs/>
          <w:color w:val="000000"/>
          <w:sz w:val="32"/>
          <w:szCs w:val="32"/>
        </w:rPr>
        <w:t>2.8K</w:t>
      </w:r>
      <w:r>
        <w:rPr>
          <w:rFonts w:eastAsia="Cambria" w:cs="Cambria" w:ascii="Cambria" w:hAnsi="Cambria"/>
          <w:color w:val="000000"/>
          <w:sz w:val="32"/>
          <w:szCs w:val="32"/>
        </w:rPr>
        <w:t xml:space="preserve">). Roughly </w:t>
      </w:r>
      <w:r>
        <w:rPr>
          <w:rFonts w:eastAsia="Cambria" w:cs="Cambria" w:ascii="Cambria" w:hAnsi="Cambria"/>
          <w:b/>
          <w:bCs/>
          <w:color w:val="000000"/>
          <w:sz w:val="32"/>
          <w:szCs w:val="32"/>
        </w:rPr>
        <w:t>47%</w:t>
      </w:r>
      <w:r>
        <w:rPr>
          <w:rFonts w:eastAsia="Cambria" w:cs="Cambria" w:ascii="Cambria" w:hAnsi="Cambria"/>
          <w:color w:val="000000"/>
          <w:sz w:val="32"/>
          <w:szCs w:val="32"/>
        </w:rPr>
        <w:t xml:space="preserve"> of outcomes are Pass and about </w:t>
      </w:r>
      <w:r>
        <w:rPr>
          <w:rFonts w:eastAsia="Cambria" w:cs="Cambria" w:ascii="Cambria" w:hAnsi="Cambria"/>
          <w:b/>
          <w:bCs/>
          <w:color w:val="000000"/>
          <w:sz w:val="32"/>
          <w:szCs w:val="32"/>
        </w:rPr>
        <w:t>11%</w:t>
      </w:r>
      <w:r>
        <w:rPr>
          <w:rFonts w:eastAsia="Cambria" w:cs="Cambria" w:ascii="Cambria" w:hAnsi="Cambria"/>
          <w:color w:val="000000"/>
          <w:sz w:val="32"/>
          <w:szCs w:val="32"/>
        </w:rPr>
        <w:t xml:space="preserve"> are Distinction, while Fail and Withdrawn together make up around </w:t>
      </w:r>
      <w:r>
        <w:rPr>
          <w:rFonts w:eastAsia="Cambria" w:cs="Cambria" w:ascii="Cambria" w:hAnsi="Cambria"/>
          <w:b/>
          <w:bCs/>
          <w:color w:val="000000"/>
          <w:sz w:val="32"/>
          <w:szCs w:val="32"/>
        </w:rPr>
        <w:t>41%</w:t>
      </w:r>
      <w:r>
        <w:rPr>
          <w:rFonts w:eastAsia="Cambria" w:cs="Cambria" w:ascii="Cambria" w:hAnsi="Cambria"/>
          <w:color w:val="000000"/>
          <w:sz w:val="32"/>
          <w:szCs w:val="32"/>
        </w:rPr>
        <w:t>.</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Business value</w:t>
      </w:r>
      <w:r>
        <w:rPr>
          <w:rFonts w:eastAsia="Cambria" w:cs="Cambria" w:ascii="Cambria" w:hAnsi="Cambria"/>
          <w:color w:val="000000"/>
          <w:sz w:val="32"/>
          <w:szCs w:val="32"/>
        </w:rPr>
        <w:t>: Fail and Withdrawn together are almost as large as Pass, so course completion and retention are the biggest opportunities for improvement.</w:t>
      </w:r>
    </w:p>
    <w:p>
      <w:pPr>
        <w:pStyle w:val="Normal"/>
        <w:keepNext w:val="true"/>
        <w:numPr>
          <w:ilvl w:val="0"/>
          <w:numId w:val="1"/>
        </w:numPr>
        <w:spacing w:before="280" w:after="80"/>
        <w:rPr>
          <w:rFonts w:ascii="Cambria" w:hAnsi="Cambria" w:eastAsia="Cambria" w:cs="Cambria"/>
          <w:sz w:val="32"/>
          <w:szCs w:val="32"/>
        </w:rPr>
      </w:pPr>
      <w:r>
        <w:rPr>
          <w:rFonts w:eastAsia="Cambria" w:cs="Cambria" w:ascii="Cambria" w:hAnsi="Cambria"/>
          <w:b/>
          <w:bCs/>
          <w:color w:val="000000"/>
          <w:sz w:val="32"/>
          <w:szCs w:val="32"/>
        </w:rPr>
        <w:t>How does engagement level affect final results?</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Visualization</w:t>
      </w:r>
      <w:r>
        <w:rPr>
          <w:rFonts w:eastAsia="Cambria" w:cs="Cambria" w:ascii="Cambria" w:hAnsi="Cambria"/>
          <w:color w:val="000000"/>
          <w:sz w:val="32"/>
          <w:szCs w:val="32"/>
        </w:rPr>
        <w:t>: Decomposition tree showing Total Students split by engagement level and then by final result (Dashboard 2: Risk, Dropout &amp; Demographic Analysis).</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Fields used</w:t>
      </w:r>
      <w:r>
        <w:rPr>
          <w:rFonts w:eastAsia="Cambria" w:cs="Cambria" w:ascii="Cambria" w:hAnsi="Cambria"/>
          <w:color w:val="000000"/>
          <w:sz w:val="32"/>
          <w:szCs w:val="32"/>
        </w:rPr>
        <w:t>: Analyze – Total Students; Explain by – engagement level, final result.</w:t>
      </w:r>
    </w:p>
    <w:p>
      <w:pPr>
        <w:pStyle w:val="Normal"/>
        <w:keepNext w:val="true"/>
        <w:numPr>
          <w:ilvl w:val="1"/>
          <w:numId w:val="1"/>
        </w:numPr>
        <w:spacing w:before="0" w:after="60"/>
        <w:rPr>
          <w:rFonts w:ascii="Cambria" w:hAnsi="Cambria" w:eastAsia="Cambria" w:cs="Cambria"/>
          <w:sz w:val="32"/>
          <w:szCs w:val="32"/>
        </w:rPr>
      </w:pPr>
      <w:r>
        <w:rPr>
          <w:rFonts w:eastAsia="Cambria" w:cs="Cambria" w:ascii="Cambria" w:hAnsi="Cambria"/>
          <w:i/>
          <w:iCs/>
          <w:color w:val="000000"/>
          <w:sz w:val="32"/>
          <w:szCs w:val="32"/>
        </w:rPr>
        <w:t>Screenshot of visualisation</w:t>
      </w:r>
    </w:p>
    <w:p>
      <w:pPr>
        <w:pStyle w:val="Normal"/>
        <w:keepLines/>
        <w:ind w:left="1440"/>
        <w:rPr>
          <w:sz w:val="32"/>
          <w:szCs w:val="32"/>
        </w:rPr>
      </w:pPr>
      <w:r>
        <w:rPr/>
        <w:drawing>
          <wp:inline distT="0" distB="0" distL="0" distR="0">
            <wp:extent cx="4138930" cy="3215005"/>
            <wp:effectExtent l="0" t="0" r="0" b="0"/>
            <wp:docPr id="4" name="q4.png" descr="How does engagement level affect final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4.png" descr="How does engagement level affect final results?"/>
                    <pic:cNvPicPr>
                      <a:picLocks noChangeAspect="1" noChangeArrowheads="1"/>
                    </pic:cNvPicPr>
                  </pic:nvPicPr>
                  <pic:blipFill>
                    <a:blip r:embed="rId5"/>
                    <a:stretch>
                      <a:fillRect/>
                    </a:stretch>
                  </pic:blipFill>
                  <pic:spPr bwMode="auto">
                    <a:xfrm>
                      <a:off x="0" y="0"/>
                      <a:ext cx="4138930" cy="3215005"/>
                    </a:xfrm>
                    <a:prstGeom prst="rect">
                      <a:avLst/>
                    </a:prstGeom>
                    <a:ln w="9525">
                      <a:solidFill>
                        <a:srgbClr val="BFBFBF"/>
                      </a:solidFill>
                    </a:ln>
                  </pic:spPr>
                </pic:pic>
              </a:graphicData>
            </a:graphic>
          </wp:inline>
        </w:drawing>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Insights</w:t>
      </w:r>
      <w:r>
        <w:rPr>
          <w:rFonts w:eastAsia="Cambria" w:cs="Cambria" w:ascii="Cambria" w:hAnsi="Cambria"/>
          <w:color w:val="000000"/>
          <w:sz w:val="32"/>
          <w:szCs w:val="32"/>
        </w:rPr>
        <w:t xml:space="preserve">: Selecting </w:t>
      </w:r>
      <w:r>
        <w:rPr>
          <w:rFonts w:eastAsia="Cambria" w:cs="Cambria" w:ascii="Cambria" w:hAnsi="Cambria"/>
          <w:b/>
          <w:bCs/>
          <w:color w:val="000000"/>
          <w:sz w:val="32"/>
          <w:szCs w:val="32"/>
        </w:rPr>
        <w:t>High</w:t>
      </w:r>
      <w:r>
        <w:rPr>
          <w:rFonts w:eastAsia="Cambria" w:cs="Cambria" w:ascii="Cambria" w:hAnsi="Cambria"/>
          <w:color w:val="000000"/>
          <w:sz w:val="32"/>
          <w:szCs w:val="32"/>
        </w:rPr>
        <w:t xml:space="preserve"> engagement (7,612 students) shows </w:t>
      </w:r>
      <w:r>
        <w:rPr>
          <w:rFonts w:eastAsia="Cambria" w:cs="Cambria" w:ascii="Cambria" w:hAnsi="Cambria"/>
          <w:b/>
          <w:bCs/>
          <w:color w:val="000000"/>
          <w:sz w:val="32"/>
          <w:szCs w:val="32"/>
        </w:rPr>
        <w:t>Pass 5,168</w:t>
      </w:r>
      <w:r>
        <w:rPr>
          <w:rFonts w:eastAsia="Cambria" w:cs="Cambria" w:ascii="Cambria" w:hAnsi="Cambria"/>
          <w:color w:val="000000"/>
          <w:sz w:val="32"/>
          <w:szCs w:val="32"/>
        </w:rPr>
        <w:t xml:space="preserve">, </w:t>
      </w:r>
      <w:r>
        <w:rPr>
          <w:rFonts w:eastAsia="Cambria" w:cs="Cambria" w:ascii="Cambria" w:hAnsi="Cambria"/>
          <w:b/>
          <w:bCs/>
          <w:color w:val="000000"/>
          <w:sz w:val="32"/>
          <w:szCs w:val="32"/>
        </w:rPr>
        <w:t>Distinction 1,595</w:t>
      </w:r>
      <w:r>
        <w:rPr>
          <w:rFonts w:eastAsia="Cambria" w:cs="Cambria" w:ascii="Cambria" w:hAnsi="Cambria"/>
          <w:color w:val="000000"/>
          <w:sz w:val="32"/>
          <w:szCs w:val="32"/>
        </w:rPr>
        <w:t xml:space="preserve">, </w:t>
      </w:r>
      <w:r>
        <w:rPr>
          <w:rFonts w:eastAsia="Cambria" w:cs="Cambria" w:ascii="Cambria" w:hAnsi="Cambria"/>
          <w:b/>
          <w:bCs/>
          <w:color w:val="000000"/>
          <w:sz w:val="32"/>
          <w:szCs w:val="32"/>
        </w:rPr>
        <w:t>Withdrawn 967</w:t>
      </w:r>
      <w:r>
        <w:rPr>
          <w:rFonts w:eastAsia="Cambria" w:cs="Cambria" w:ascii="Cambria" w:hAnsi="Cambria"/>
          <w:color w:val="000000"/>
          <w:sz w:val="32"/>
          <w:szCs w:val="32"/>
        </w:rPr>
        <w:t xml:space="preserve"> and </w:t>
      </w:r>
      <w:r>
        <w:rPr>
          <w:rFonts w:eastAsia="Cambria" w:cs="Cambria" w:ascii="Cambria" w:hAnsi="Cambria"/>
          <w:b/>
          <w:bCs/>
          <w:color w:val="000000"/>
          <w:sz w:val="32"/>
          <w:szCs w:val="32"/>
        </w:rPr>
        <w:t>Fail 915</w:t>
      </w:r>
      <w:r>
        <w:rPr>
          <w:rFonts w:eastAsia="Cambria" w:cs="Cambria" w:ascii="Cambria" w:hAnsi="Cambria"/>
          <w:color w:val="000000"/>
          <w:sz w:val="32"/>
          <w:szCs w:val="32"/>
        </w:rPr>
        <w:t xml:space="preserve">. About </w:t>
      </w:r>
      <w:r>
        <w:rPr>
          <w:rFonts w:eastAsia="Cambria" w:cs="Cambria" w:ascii="Cambria" w:hAnsi="Cambria"/>
          <w:b/>
          <w:bCs/>
          <w:color w:val="000000"/>
          <w:sz w:val="32"/>
          <w:szCs w:val="32"/>
        </w:rPr>
        <w:t>78%</w:t>
      </w:r>
      <w:r>
        <w:rPr>
          <w:rFonts w:eastAsia="Cambria" w:cs="Cambria" w:ascii="Cambria" w:hAnsi="Cambria"/>
          <w:color w:val="000000"/>
          <w:sz w:val="32"/>
          <w:szCs w:val="32"/>
        </w:rPr>
        <w:t xml:space="preserve"> of these students finish with a Pass or Distinction and only about </w:t>
      </w:r>
      <w:r>
        <w:rPr>
          <w:rFonts w:eastAsia="Cambria" w:cs="Cambria" w:ascii="Cambria" w:hAnsi="Cambria"/>
          <w:b/>
          <w:bCs/>
          <w:color w:val="000000"/>
          <w:sz w:val="32"/>
          <w:szCs w:val="32"/>
        </w:rPr>
        <w:t>22%</w:t>
      </w:r>
      <w:r>
        <w:rPr>
          <w:rFonts w:eastAsia="Cambria" w:cs="Cambria" w:ascii="Cambria" w:hAnsi="Cambria"/>
          <w:color w:val="000000"/>
          <w:sz w:val="32"/>
          <w:szCs w:val="32"/>
        </w:rPr>
        <w:t xml:space="preserve"> fail or withdraw, compared with roughly </w:t>
      </w:r>
      <w:r>
        <w:rPr>
          <w:rFonts w:eastAsia="Cambria" w:cs="Cambria" w:ascii="Cambria" w:hAnsi="Cambria"/>
          <w:b/>
          <w:bCs/>
          <w:color w:val="000000"/>
          <w:sz w:val="32"/>
          <w:szCs w:val="32"/>
        </w:rPr>
        <w:t>40%</w:t>
      </w:r>
      <w:r>
        <w:rPr>
          <w:rFonts w:eastAsia="Cambria" w:cs="Cambria" w:ascii="Cambria" w:hAnsi="Cambria"/>
          <w:color w:val="000000"/>
          <w:sz w:val="32"/>
          <w:szCs w:val="32"/>
        </w:rPr>
        <w:t xml:space="preserve"> across all students in Question 3. The tree can be re-rooted on Medium (8,400) or Low (6,410) engagement to compare the same outcomes.</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Business value</w:t>
      </w:r>
      <w:r>
        <w:rPr>
          <w:rFonts w:eastAsia="Cambria" w:cs="Cambria" w:ascii="Cambria" w:hAnsi="Cambria"/>
          <w:color w:val="000000"/>
          <w:sz w:val="32"/>
          <w:szCs w:val="32"/>
        </w:rPr>
        <w:t>: Higher engagement is associated with roughly half the rate of failure or withdrawal, which supports prioritising measures that raise engagement.</w:t>
      </w:r>
    </w:p>
    <w:p>
      <w:pPr>
        <w:pStyle w:val="Normal"/>
        <w:keepNext w:val="true"/>
        <w:numPr>
          <w:ilvl w:val="0"/>
          <w:numId w:val="1"/>
        </w:numPr>
        <w:spacing w:before="280" w:after="80"/>
        <w:rPr>
          <w:rFonts w:ascii="Cambria" w:hAnsi="Cambria" w:eastAsia="Cambria" w:cs="Cambria"/>
          <w:sz w:val="32"/>
          <w:szCs w:val="32"/>
        </w:rPr>
      </w:pPr>
      <w:r>
        <w:rPr>
          <w:rFonts w:eastAsia="Cambria" w:cs="Cambria" w:ascii="Cambria" w:hAnsi="Cambria"/>
          <w:b/>
          <w:bCs/>
          <w:color w:val="000000"/>
          <w:sz w:val="32"/>
          <w:szCs w:val="32"/>
        </w:rPr>
        <w:t>How does the average student score vary across regions?</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Visualization</w:t>
      </w:r>
      <w:r>
        <w:rPr>
          <w:rFonts w:eastAsia="Cambria" w:cs="Cambria" w:ascii="Cambria" w:hAnsi="Cambria"/>
          <w:color w:val="000000"/>
          <w:sz w:val="32"/>
          <w:szCs w:val="32"/>
        </w:rPr>
        <w:t>: Clustered column chart showing Average Score by region (Dashboard 1: Student Performance &amp; Engagement Overview).</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Fields used</w:t>
      </w:r>
      <w:r>
        <w:rPr>
          <w:rFonts w:eastAsia="Cambria" w:cs="Cambria" w:ascii="Cambria" w:hAnsi="Cambria"/>
          <w:color w:val="000000"/>
          <w:sz w:val="32"/>
          <w:szCs w:val="32"/>
        </w:rPr>
        <w:t>: Axis – region (13 regions); Values – Average Score.</w:t>
      </w:r>
    </w:p>
    <w:p>
      <w:pPr>
        <w:pStyle w:val="Normal"/>
        <w:keepNext w:val="true"/>
        <w:numPr>
          <w:ilvl w:val="1"/>
          <w:numId w:val="1"/>
        </w:numPr>
        <w:spacing w:before="0" w:after="60"/>
        <w:rPr>
          <w:rFonts w:ascii="Cambria" w:hAnsi="Cambria" w:eastAsia="Cambria" w:cs="Cambria"/>
          <w:sz w:val="32"/>
          <w:szCs w:val="32"/>
        </w:rPr>
      </w:pPr>
      <w:r>
        <w:rPr>
          <w:rFonts w:eastAsia="Cambria" w:cs="Cambria" w:ascii="Cambria" w:hAnsi="Cambria"/>
          <w:i/>
          <w:iCs/>
          <w:color w:val="000000"/>
          <w:sz w:val="32"/>
          <w:szCs w:val="32"/>
        </w:rPr>
        <w:t>Screenshot of visualisation</w:t>
      </w:r>
    </w:p>
    <w:p>
      <w:pPr>
        <w:pStyle w:val="Normal"/>
        <w:keepLines/>
        <w:ind w:left="1440"/>
        <w:rPr>
          <w:sz w:val="32"/>
          <w:szCs w:val="32"/>
        </w:rPr>
      </w:pPr>
      <w:r>
        <w:rPr/>
        <w:drawing>
          <wp:inline distT="0" distB="0" distL="0" distR="0">
            <wp:extent cx="3676650" cy="2733675"/>
            <wp:effectExtent l="0" t="0" r="0" b="0"/>
            <wp:docPr id="5" name="q5.png" descr="How does the average student score vary across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5.png" descr="How does the average student score vary across regions?"/>
                    <pic:cNvPicPr>
                      <a:picLocks noChangeAspect="1" noChangeArrowheads="1"/>
                    </pic:cNvPicPr>
                  </pic:nvPicPr>
                  <pic:blipFill>
                    <a:blip r:embed="rId6"/>
                    <a:stretch>
                      <a:fillRect/>
                    </a:stretch>
                  </pic:blipFill>
                  <pic:spPr bwMode="auto">
                    <a:xfrm>
                      <a:off x="0" y="0"/>
                      <a:ext cx="3676650" cy="2733675"/>
                    </a:xfrm>
                    <a:prstGeom prst="rect">
                      <a:avLst/>
                    </a:prstGeom>
                    <a:ln w="9525">
                      <a:solidFill>
                        <a:srgbClr val="BFBFBF"/>
                      </a:solidFill>
                    </a:ln>
                  </pic:spPr>
                </pic:pic>
              </a:graphicData>
            </a:graphic>
          </wp:inline>
        </w:drawing>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Insights</w:t>
      </w:r>
      <w:r>
        <w:rPr>
          <w:rFonts w:eastAsia="Cambria" w:cs="Cambria" w:ascii="Cambria" w:hAnsi="Cambria"/>
          <w:color w:val="000000"/>
          <w:sz w:val="32"/>
          <w:szCs w:val="32"/>
        </w:rPr>
        <w:t xml:space="preserve">: Average scores are high and tightly grouped at roughly </w:t>
      </w:r>
      <w:r>
        <w:rPr>
          <w:rFonts w:eastAsia="Cambria" w:cs="Cambria" w:ascii="Cambria" w:hAnsi="Cambria"/>
          <w:b/>
          <w:bCs/>
          <w:color w:val="000000"/>
          <w:sz w:val="32"/>
          <w:szCs w:val="32"/>
        </w:rPr>
        <w:t>71–75</w:t>
      </w:r>
      <w:r>
        <w:rPr>
          <w:rFonts w:eastAsia="Cambria" w:cs="Cambria" w:ascii="Cambria" w:hAnsi="Cambria"/>
          <w:color w:val="000000"/>
          <w:sz w:val="32"/>
          <w:szCs w:val="32"/>
        </w:rPr>
        <w:t xml:space="preserve"> in all </w:t>
      </w:r>
      <w:r>
        <w:rPr>
          <w:rFonts w:eastAsia="Cambria" w:cs="Cambria" w:ascii="Cambria" w:hAnsi="Cambria"/>
          <w:b/>
          <w:bCs/>
          <w:color w:val="000000"/>
          <w:sz w:val="32"/>
          <w:szCs w:val="32"/>
        </w:rPr>
        <w:t>13 regions</w:t>
      </w:r>
      <w:r>
        <w:rPr>
          <w:rFonts w:eastAsia="Cambria" w:cs="Cambria" w:ascii="Cambria" w:hAnsi="Cambria"/>
          <w:color w:val="000000"/>
          <w:sz w:val="32"/>
          <w:szCs w:val="32"/>
        </w:rPr>
        <w:t xml:space="preserve">. The </w:t>
      </w:r>
      <w:r>
        <w:rPr>
          <w:rFonts w:eastAsia="Cambria" w:cs="Cambria" w:ascii="Cambria" w:hAnsi="Cambria"/>
          <w:b/>
          <w:bCs/>
          <w:color w:val="000000"/>
          <w:sz w:val="32"/>
          <w:szCs w:val="32"/>
        </w:rPr>
        <w:t>South East Region</w:t>
      </w:r>
      <w:r>
        <w:rPr>
          <w:rFonts w:eastAsia="Cambria" w:cs="Cambria" w:ascii="Cambria" w:hAnsi="Cambria"/>
          <w:color w:val="000000"/>
          <w:sz w:val="32"/>
          <w:szCs w:val="32"/>
        </w:rPr>
        <w:t xml:space="preserve"> and </w:t>
      </w:r>
      <w:r>
        <w:rPr>
          <w:rFonts w:eastAsia="Cambria" w:cs="Cambria" w:ascii="Cambria" w:hAnsi="Cambria"/>
          <w:b/>
          <w:bCs/>
          <w:color w:val="000000"/>
          <w:sz w:val="32"/>
          <w:szCs w:val="32"/>
        </w:rPr>
        <w:t>Scotland</w:t>
      </w:r>
      <w:r>
        <w:rPr>
          <w:rFonts w:eastAsia="Cambria" w:cs="Cambria" w:ascii="Cambria" w:hAnsi="Cambria"/>
          <w:color w:val="000000"/>
          <w:sz w:val="32"/>
          <w:szCs w:val="32"/>
        </w:rPr>
        <w:t xml:space="preserve"> are at the top and the </w:t>
      </w:r>
      <w:r>
        <w:rPr>
          <w:rFonts w:eastAsia="Cambria" w:cs="Cambria" w:ascii="Cambria" w:hAnsi="Cambria"/>
          <w:b/>
          <w:bCs/>
          <w:color w:val="000000"/>
          <w:sz w:val="32"/>
          <w:szCs w:val="32"/>
        </w:rPr>
        <w:t>North Region</w:t>
      </w:r>
      <w:r>
        <w:rPr>
          <w:rFonts w:eastAsia="Cambria" w:cs="Cambria" w:ascii="Cambria" w:hAnsi="Cambria"/>
          <w:color w:val="000000"/>
          <w:sz w:val="32"/>
          <w:szCs w:val="32"/>
        </w:rPr>
        <w:t xml:space="preserve"> is lowest, a spread of only about four points.</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Business value</w:t>
      </w:r>
      <w:r>
        <w:rPr>
          <w:rFonts w:eastAsia="Cambria" w:cs="Cambria" w:ascii="Cambria" w:hAnsi="Cambria"/>
          <w:color w:val="000000"/>
          <w:sz w:val="32"/>
          <w:szCs w:val="32"/>
        </w:rPr>
        <w:t>: Because regional differences are small, support should be targeted using engagement, risk and education level rather than region.</w:t>
      </w:r>
    </w:p>
    <w:p>
      <w:pPr>
        <w:pStyle w:val="Normal"/>
        <w:keepNext w:val="true"/>
        <w:numPr>
          <w:ilvl w:val="0"/>
          <w:numId w:val="1"/>
        </w:numPr>
        <w:spacing w:before="280" w:after="80"/>
        <w:rPr>
          <w:rFonts w:ascii="Cambria" w:hAnsi="Cambria" w:eastAsia="Cambria" w:cs="Cambria"/>
          <w:sz w:val="32"/>
          <w:szCs w:val="32"/>
        </w:rPr>
      </w:pPr>
      <w:r>
        <w:rPr>
          <w:rFonts w:eastAsia="Cambria" w:cs="Cambria" w:ascii="Cambria" w:hAnsi="Cambria"/>
          <w:b/>
          <w:bCs/>
          <w:color w:val="000000"/>
          <w:sz w:val="32"/>
          <w:szCs w:val="32"/>
        </w:rPr>
        <w:t>What share of students falls into each risk level?</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Visualization</w:t>
      </w:r>
      <w:r>
        <w:rPr>
          <w:rFonts w:eastAsia="Cambria" w:cs="Cambria" w:ascii="Cambria" w:hAnsi="Cambria"/>
          <w:color w:val="000000"/>
          <w:sz w:val="32"/>
          <w:szCs w:val="32"/>
        </w:rPr>
        <w:t>: Pie chart showing Total Students by risk level (Dashboard 2: Risk, Dropout &amp; Demographic Analysis).</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Fields used</w:t>
      </w:r>
      <w:r>
        <w:rPr>
          <w:rFonts w:eastAsia="Cambria" w:cs="Cambria" w:ascii="Cambria" w:hAnsi="Cambria"/>
          <w:color w:val="000000"/>
          <w:sz w:val="32"/>
          <w:szCs w:val="32"/>
        </w:rPr>
        <w:t>: Legend – risk level; Values – Total Students.</w:t>
      </w:r>
    </w:p>
    <w:p>
      <w:pPr>
        <w:pStyle w:val="Normal"/>
        <w:keepNext w:val="true"/>
        <w:numPr>
          <w:ilvl w:val="1"/>
          <w:numId w:val="1"/>
        </w:numPr>
        <w:spacing w:before="0" w:after="60"/>
        <w:rPr>
          <w:rFonts w:ascii="Cambria" w:hAnsi="Cambria" w:eastAsia="Cambria" w:cs="Cambria"/>
          <w:sz w:val="32"/>
          <w:szCs w:val="32"/>
        </w:rPr>
      </w:pPr>
      <w:r>
        <w:rPr>
          <w:rFonts w:eastAsia="Cambria" w:cs="Cambria" w:ascii="Cambria" w:hAnsi="Cambria"/>
          <w:i/>
          <w:iCs/>
          <w:color w:val="000000"/>
          <w:sz w:val="32"/>
          <w:szCs w:val="32"/>
        </w:rPr>
        <w:t>Screenshot of visualisation</w:t>
      </w:r>
    </w:p>
    <w:p>
      <w:pPr>
        <w:pStyle w:val="Normal"/>
        <w:keepLines/>
        <w:ind w:left="1440"/>
        <w:rPr>
          <w:sz w:val="32"/>
          <w:szCs w:val="32"/>
        </w:rPr>
      </w:pPr>
      <w:r>
        <w:rPr/>
        <w:drawing>
          <wp:inline distT="0" distB="0" distL="0" distR="0">
            <wp:extent cx="4446905" cy="2618105"/>
            <wp:effectExtent l="0" t="0" r="0" b="0"/>
            <wp:docPr id="6" name="q6.png" descr="What share of students falls into each risk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6.png" descr="What share of students falls into each risk level?"/>
                    <pic:cNvPicPr>
                      <a:picLocks noChangeAspect="1" noChangeArrowheads="1"/>
                    </pic:cNvPicPr>
                  </pic:nvPicPr>
                  <pic:blipFill>
                    <a:blip r:embed="rId7"/>
                    <a:stretch>
                      <a:fillRect/>
                    </a:stretch>
                  </pic:blipFill>
                  <pic:spPr bwMode="auto">
                    <a:xfrm>
                      <a:off x="0" y="0"/>
                      <a:ext cx="4446905" cy="2618105"/>
                    </a:xfrm>
                    <a:prstGeom prst="rect">
                      <a:avLst/>
                    </a:prstGeom>
                    <a:ln w="9525">
                      <a:solidFill>
                        <a:srgbClr val="BFBFBF"/>
                      </a:solidFill>
                    </a:ln>
                  </pic:spPr>
                </pic:pic>
              </a:graphicData>
            </a:graphic>
          </wp:inline>
        </w:drawing>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Insights</w:t>
      </w:r>
      <w:r>
        <w:rPr>
          <w:rFonts w:eastAsia="Cambria" w:cs="Cambria" w:ascii="Cambria" w:hAnsi="Cambria"/>
          <w:color w:val="000000"/>
          <w:sz w:val="32"/>
          <w:szCs w:val="32"/>
        </w:rPr>
        <w:t xml:space="preserve">: </w:t>
      </w:r>
      <w:r>
        <w:rPr>
          <w:rFonts w:eastAsia="Cambria" w:cs="Cambria" w:ascii="Cambria" w:hAnsi="Cambria"/>
          <w:b/>
          <w:bCs/>
          <w:color w:val="000000"/>
          <w:sz w:val="32"/>
          <w:szCs w:val="32"/>
        </w:rPr>
        <w:t>High Risk</w:t>
      </w:r>
      <w:r>
        <w:rPr>
          <w:rFonts w:eastAsia="Cambria" w:cs="Cambria" w:ascii="Cambria" w:hAnsi="Cambria"/>
          <w:color w:val="000000"/>
          <w:sz w:val="32"/>
          <w:szCs w:val="32"/>
        </w:rPr>
        <w:t xml:space="preserve"> has </w:t>
      </w:r>
      <w:r>
        <w:rPr>
          <w:rFonts w:eastAsia="Cambria" w:cs="Cambria" w:ascii="Cambria" w:hAnsi="Cambria"/>
          <w:b/>
          <w:bCs/>
          <w:color w:val="000000"/>
          <w:sz w:val="32"/>
          <w:szCs w:val="32"/>
        </w:rPr>
        <w:t>6,391 students (28.5%)</w:t>
      </w:r>
      <w:r>
        <w:rPr>
          <w:rFonts w:eastAsia="Cambria" w:cs="Cambria" w:ascii="Cambria" w:hAnsi="Cambria"/>
          <w:color w:val="000000"/>
          <w:sz w:val="32"/>
          <w:szCs w:val="32"/>
        </w:rPr>
        <w:t xml:space="preserve">, </w:t>
      </w:r>
      <w:r>
        <w:rPr>
          <w:rFonts w:eastAsia="Cambria" w:cs="Cambria" w:ascii="Cambria" w:hAnsi="Cambria"/>
          <w:b/>
          <w:bCs/>
          <w:color w:val="000000"/>
          <w:sz w:val="32"/>
          <w:szCs w:val="32"/>
        </w:rPr>
        <w:t>Low Risk</w:t>
      </w:r>
      <w:r>
        <w:rPr>
          <w:rFonts w:eastAsia="Cambria" w:cs="Cambria" w:ascii="Cambria" w:hAnsi="Cambria"/>
          <w:color w:val="000000"/>
          <w:sz w:val="32"/>
          <w:szCs w:val="32"/>
        </w:rPr>
        <w:t xml:space="preserve"> 6,099 (27.2%), </w:t>
      </w:r>
      <w:r>
        <w:rPr>
          <w:rFonts w:eastAsia="Cambria" w:cs="Cambria" w:ascii="Cambria" w:hAnsi="Cambria"/>
          <w:b/>
          <w:bCs/>
          <w:color w:val="000000"/>
          <w:sz w:val="32"/>
          <w:szCs w:val="32"/>
        </w:rPr>
        <w:t>Safe</w:t>
      </w:r>
      <w:r>
        <w:rPr>
          <w:rFonts w:eastAsia="Cambria" w:cs="Cambria" w:ascii="Cambria" w:hAnsi="Cambria"/>
          <w:color w:val="000000"/>
          <w:sz w:val="32"/>
          <w:szCs w:val="32"/>
        </w:rPr>
        <w:t xml:space="preserve"> 5,632 (25.12%) and </w:t>
      </w:r>
      <w:r>
        <w:rPr>
          <w:rFonts w:eastAsia="Cambria" w:cs="Cambria" w:ascii="Cambria" w:hAnsi="Cambria"/>
          <w:b/>
          <w:bCs/>
          <w:color w:val="000000"/>
          <w:sz w:val="32"/>
          <w:szCs w:val="32"/>
        </w:rPr>
        <w:t>Very High Risk</w:t>
      </w:r>
      <w:r>
        <w:rPr>
          <w:rFonts w:eastAsia="Cambria" w:cs="Cambria" w:ascii="Cambria" w:hAnsi="Cambria"/>
          <w:color w:val="000000"/>
          <w:sz w:val="32"/>
          <w:szCs w:val="32"/>
        </w:rPr>
        <w:t xml:space="preserve"> 4,300 (19.18%). High Risk and Very High Risk together account for </w:t>
      </w:r>
      <w:r>
        <w:rPr>
          <w:rFonts w:eastAsia="Cambria" w:cs="Cambria" w:ascii="Cambria" w:hAnsi="Cambria"/>
          <w:b/>
          <w:bCs/>
          <w:color w:val="000000"/>
          <w:sz w:val="32"/>
          <w:szCs w:val="32"/>
        </w:rPr>
        <w:t>10,691 students, about 48%</w:t>
      </w:r>
      <w:r>
        <w:rPr>
          <w:rFonts w:eastAsia="Cambria" w:cs="Cambria" w:ascii="Cambria" w:hAnsi="Cambria"/>
          <w:color w:val="000000"/>
          <w:sz w:val="32"/>
          <w:szCs w:val="32"/>
        </w:rPr>
        <w:t xml:space="preserve"> of all learners.</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Business value</w:t>
      </w:r>
      <w:r>
        <w:rPr>
          <w:rFonts w:eastAsia="Cambria" w:cs="Cambria" w:ascii="Cambria" w:hAnsi="Cambria"/>
          <w:color w:val="000000"/>
          <w:sz w:val="32"/>
          <w:szCs w:val="32"/>
        </w:rPr>
        <w:t>: This sizes the intervention workload for advisers and helps them decide which at-risk groups to contact first.</w:t>
      </w:r>
    </w:p>
    <w:p>
      <w:pPr>
        <w:pStyle w:val="Normal"/>
        <w:keepNext w:val="true"/>
        <w:numPr>
          <w:ilvl w:val="0"/>
          <w:numId w:val="1"/>
        </w:numPr>
        <w:spacing w:before="280" w:after="80"/>
        <w:rPr>
          <w:rFonts w:ascii="Cambria" w:hAnsi="Cambria" w:eastAsia="Cambria" w:cs="Cambria"/>
          <w:sz w:val="32"/>
          <w:szCs w:val="32"/>
        </w:rPr>
      </w:pPr>
      <w:r>
        <w:rPr>
          <w:rFonts w:eastAsia="Cambria" w:cs="Cambria" w:ascii="Cambria" w:hAnsi="Cambria"/>
          <w:b/>
          <w:bCs/>
          <w:color w:val="000000"/>
          <w:sz w:val="32"/>
          <w:szCs w:val="32"/>
        </w:rPr>
        <w:t>Which types of students make up a risk level (by education, gender and region)?</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Visualization</w:t>
      </w:r>
      <w:r>
        <w:rPr>
          <w:rFonts w:eastAsia="Cambria" w:cs="Cambria" w:ascii="Cambria" w:hAnsi="Cambria"/>
          <w:color w:val="000000"/>
          <w:sz w:val="32"/>
          <w:szCs w:val="32"/>
        </w:rPr>
        <w:t>: Decomposition tree showing Total Students by risk level, then highest education, gender and region (Dashboard 1: Student Performance &amp; Engagement Overview).</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Fields used</w:t>
      </w:r>
      <w:r>
        <w:rPr>
          <w:rFonts w:eastAsia="Cambria" w:cs="Cambria" w:ascii="Cambria" w:hAnsi="Cambria"/>
          <w:color w:val="000000"/>
          <w:sz w:val="32"/>
          <w:szCs w:val="32"/>
        </w:rPr>
        <w:t>: Analyze – Total Students; Explain by – risk level, highest education, gender, region.</w:t>
      </w:r>
    </w:p>
    <w:p>
      <w:pPr>
        <w:pStyle w:val="Normal"/>
        <w:keepNext w:val="true"/>
        <w:numPr>
          <w:ilvl w:val="1"/>
          <w:numId w:val="1"/>
        </w:numPr>
        <w:spacing w:before="0" w:after="60"/>
        <w:rPr>
          <w:rFonts w:ascii="Cambria" w:hAnsi="Cambria" w:eastAsia="Cambria" w:cs="Cambria"/>
          <w:sz w:val="32"/>
          <w:szCs w:val="32"/>
        </w:rPr>
      </w:pPr>
      <w:r>
        <w:rPr>
          <w:rFonts w:eastAsia="Cambria" w:cs="Cambria" w:ascii="Cambria" w:hAnsi="Cambria"/>
          <w:i/>
          <w:iCs/>
          <w:color w:val="000000"/>
          <w:sz w:val="32"/>
          <w:szCs w:val="32"/>
        </w:rPr>
        <w:t>Screenshot of visualisation</w:t>
      </w:r>
    </w:p>
    <w:p>
      <w:pPr>
        <w:pStyle w:val="Normal"/>
        <w:keepLines/>
        <w:ind w:left="1440"/>
        <w:rPr>
          <w:sz w:val="32"/>
          <w:szCs w:val="32"/>
        </w:rPr>
      </w:pPr>
      <w:r>
        <w:rPr/>
        <w:drawing>
          <wp:inline distT="0" distB="0" distL="0" distR="0">
            <wp:extent cx="4937760" cy="2272030"/>
            <wp:effectExtent l="0" t="0" r="0" b="0"/>
            <wp:docPr id="7" name="q7.png" descr="Which types of students make up a risk level (by education, gender an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7.png" descr="Which types of students make up a risk level (by education, gender and region)?"/>
                    <pic:cNvPicPr>
                      <a:picLocks noChangeAspect="1" noChangeArrowheads="1"/>
                    </pic:cNvPicPr>
                  </pic:nvPicPr>
                  <pic:blipFill>
                    <a:blip r:embed="rId8"/>
                    <a:stretch>
                      <a:fillRect/>
                    </a:stretch>
                  </pic:blipFill>
                  <pic:spPr bwMode="auto">
                    <a:xfrm>
                      <a:off x="0" y="0"/>
                      <a:ext cx="4937760" cy="2272030"/>
                    </a:xfrm>
                    <a:prstGeom prst="rect">
                      <a:avLst/>
                    </a:prstGeom>
                    <a:ln w="9525">
                      <a:solidFill>
                        <a:srgbClr val="BFBFBF"/>
                      </a:solidFill>
                    </a:ln>
                  </pic:spPr>
                </pic:pic>
              </a:graphicData>
            </a:graphic>
          </wp:inline>
        </w:drawing>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Insights</w:t>
      </w:r>
      <w:r>
        <w:rPr>
          <w:rFonts w:eastAsia="Cambria" w:cs="Cambria" w:ascii="Cambria" w:hAnsi="Cambria"/>
          <w:color w:val="000000"/>
          <w:sz w:val="32"/>
          <w:szCs w:val="32"/>
        </w:rPr>
        <w:t xml:space="preserve">: Drilling into </w:t>
      </w:r>
      <w:r>
        <w:rPr>
          <w:rFonts w:eastAsia="Cambria" w:cs="Cambria" w:ascii="Cambria" w:hAnsi="Cambria"/>
          <w:b/>
          <w:bCs/>
          <w:color w:val="000000"/>
          <w:sz w:val="32"/>
          <w:szCs w:val="32"/>
        </w:rPr>
        <w:t>Low Risk</w:t>
      </w:r>
      <w:r>
        <w:rPr>
          <w:rFonts w:eastAsia="Cambria" w:cs="Cambria" w:ascii="Cambria" w:hAnsi="Cambria"/>
          <w:color w:val="000000"/>
          <w:sz w:val="32"/>
          <w:szCs w:val="32"/>
        </w:rPr>
        <w:t xml:space="preserve"> (6,099 students) shows education groups of </w:t>
      </w:r>
      <w:r>
        <w:rPr>
          <w:rFonts w:eastAsia="Cambria" w:cs="Cambria" w:ascii="Cambria" w:hAnsi="Cambria"/>
          <w:b/>
          <w:bCs/>
          <w:color w:val="000000"/>
          <w:sz w:val="32"/>
          <w:szCs w:val="32"/>
        </w:rPr>
        <w:t>A Level or Equivalent (2,834)</w:t>
      </w:r>
      <w:r>
        <w:rPr>
          <w:rFonts w:eastAsia="Cambria" w:cs="Cambria" w:ascii="Cambria" w:hAnsi="Cambria"/>
          <w:color w:val="000000"/>
          <w:sz w:val="32"/>
          <w:szCs w:val="32"/>
        </w:rPr>
        <w:t xml:space="preserve">, </w:t>
      </w:r>
      <w:r>
        <w:rPr>
          <w:rFonts w:eastAsia="Cambria" w:cs="Cambria" w:ascii="Cambria" w:hAnsi="Cambria"/>
          <w:b/>
          <w:bCs/>
          <w:color w:val="000000"/>
          <w:sz w:val="32"/>
          <w:szCs w:val="32"/>
        </w:rPr>
        <w:t>Lower Than A Level (2,172)</w:t>
      </w:r>
      <w:r>
        <w:rPr>
          <w:rFonts w:eastAsia="Cambria" w:cs="Cambria" w:ascii="Cambria" w:hAnsi="Cambria"/>
          <w:color w:val="000000"/>
          <w:sz w:val="32"/>
          <w:szCs w:val="32"/>
        </w:rPr>
        <w:t xml:space="preserve"> and </w:t>
      </w:r>
      <w:r>
        <w:rPr>
          <w:rFonts w:eastAsia="Cambria" w:cs="Cambria" w:ascii="Cambria" w:hAnsi="Cambria"/>
          <w:b/>
          <w:bCs/>
          <w:color w:val="000000"/>
          <w:sz w:val="32"/>
          <w:szCs w:val="32"/>
        </w:rPr>
        <w:t>HE Qualification (1,016)</w:t>
      </w:r>
      <w:r>
        <w:rPr>
          <w:rFonts w:eastAsia="Cambria" w:cs="Cambria" w:ascii="Cambria" w:hAnsi="Cambria"/>
          <w:color w:val="000000"/>
          <w:sz w:val="32"/>
          <w:szCs w:val="32"/>
        </w:rPr>
        <w:t xml:space="preserve">, with only </w:t>
      </w:r>
      <w:r>
        <w:rPr>
          <w:rFonts w:eastAsia="Cambria" w:cs="Cambria" w:ascii="Cambria" w:hAnsi="Cambria"/>
          <w:b/>
          <w:bCs/>
          <w:color w:val="000000"/>
          <w:sz w:val="32"/>
          <w:szCs w:val="32"/>
        </w:rPr>
        <w:t>39</w:t>
      </w:r>
      <w:r>
        <w:rPr>
          <w:rFonts w:eastAsia="Cambria" w:cs="Cambria" w:ascii="Cambria" w:hAnsi="Cambria"/>
          <w:color w:val="000000"/>
          <w:sz w:val="32"/>
          <w:szCs w:val="32"/>
        </w:rPr>
        <w:t xml:space="preserve"> students holding No Formal quals. Within HE Qualification, </w:t>
      </w:r>
      <w:r>
        <w:rPr>
          <w:rFonts w:eastAsia="Cambria" w:cs="Cambria" w:ascii="Cambria" w:hAnsi="Cambria"/>
          <w:b/>
          <w:bCs/>
          <w:color w:val="000000"/>
          <w:sz w:val="32"/>
          <w:szCs w:val="32"/>
        </w:rPr>
        <w:t>612</w:t>
      </w:r>
      <w:r>
        <w:rPr>
          <w:rFonts w:eastAsia="Cambria" w:cs="Cambria" w:ascii="Cambria" w:hAnsi="Cambria"/>
          <w:color w:val="000000"/>
          <w:sz w:val="32"/>
          <w:szCs w:val="32"/>
        </w:rPr>
        <w:t xml:space="preserve"> are male and </w:t>
      </w:r>
      <w:r>
        <w:rPr>
          <w:rFonts w:eastAsia="Cambria" w:cs="Cambria" w:ascii="Cambria" w:hAnsi="Cambria"/>
          <w:b/>
          <w:bCs/>
          <w:color w:val="000000"/>
          <w:sz w:val="32"/>
          <w:szCs w:val="32"/>
        </w:rPr>
        <w:t>404</w:t>
      </w:r>
      <w:r>
        <w:rPr>
          <w:rFonts w:eastAsia="Cambria" w:cs="Cambria" w:ascii="Cambria" w:hAnsi="Cambria"/>
          <w:color w:val="000000"/>
          <w:sz w:val="32"/>
          <w:szCs w:val="32"/>
        </w:rPr>
        <w:t xml:space="preserve"> are female; among the women, </w:t>
      </w:r>
      <w:r>
        <w:rPr>
          <w:rFonts w:eastAsia="Cambria" w:cs="Cambria" w:ascii="Cambria" w:hAnsi="Cambria"/>
          <w:b/>
          <w:bCs/>
          <w:color w:val="000000"/>
          <w:sz w:val="32"/>
          <w:szCs w:val="32"/>
        </w:rPr>
        <w:t>Scotland (116)</w:t>
      </w:r>
      <w:r>
        <w:rPr>
          <w:rFonts w:eastAsia="Cambria" w:cs="Cambria" w:ascii="Cambria" w:hAnsi="Cambria"/>
          <w:color w:val="000000"/>
          <w:sz w:val="32"/>
          <w:szCs w:val="32"/>
        </w:rPr>
        <w:t xml:space="preserve"> has the most, followed by </w:t>
      </w:r>
      <w:r>
        <w:rPr>
          <w:rFonts w:eastAsia="Cambria" w:cs="Cambria" w:ascii="Cambria" w:hAnsi="Cambria"/>
          <w:b/>
          <w:bCs/>
          <w:color w:val="000000"/>
          <w:sz w:val="32"/>
          <w:szCs w:val="32"/>
        </w:rPr>
        <w:t>Wales (45)</w:t>
      </w:r>
      <w:r>
        <w:rPr>
          <w:rFonts w:eastAsia="Cambria" w:cs="Cambria" w:ascii="Cambria" w:hAnsi="Cambria"/>
          <w:color w:val="000000"/>
          <w:sz w:val="32"/>
          <w:szCs w:val="32"/>
        </w:rPr>
        <w:t xml:space="preserve">, </w:t>
      </w:r>
      <w:r>
        <w:rPr>
          <w:rFonts w:eastAsia="Cambria" w:cs="Cambria" w:ascii="Cambria" w:hAnsi="Cambria"/>
          <w:b/>
          <w:bCs/>
          <w:color w:val="000000"/>
          <w:sz w:val="32"/>
          <w:szCs w:val="32"/>
        </w:rPr>
        <w:t>London Region (43)</w:t>
      </w:r>
      <w:r>
        <w:rPr>
          <w:rFonts w:eastAsia="Cambria" w:cs="Cambria" w:ascii="Cambria" w:hAnsi="Cambria"/>
          <w:color w:val="000000"/>
          <w:sz w:val="32"/>
          <w:szCs w:val="32"/>
        </w:rPr>
        <w:t xml:space="preserve"> and </w:t>
      </w:r>
      <w:r>
        <w:rPr>
          <w:rFonts w:eastAsia="Cambria" w:cs="Cambria" w:ascii="Cambria" w:hAnsi="Cambria"/>
          <w:b/>
          <w:bCs/>
          <w:color w:val="000000"/>
          <w:sz w:val="32"/>
          <w:szCs w:val="32"/>
        </w:rPr>
        <w:t>East Anglian Region (31)</w:t>
      </w:r>
      <w:r>
        <w:rPr>
          <w:rFonts w:eastAsia="Cambria" w:cs="Cambria" w:ascii="Cambria" w:hAnsi="Cambria"/>
          <w:color w:val="000000"/>
          <w:sz w:val="32"/>
          <w:szCs w:val="32"/>
        </w:rPr>
        <w:t>.</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Business value</w:t>
      </w:r>
      <w:r>
        <w:rPr>
          <w:rFonts w:eastAsia="Cambria" w:cs="Cambria" w:ascii="Cambria" w:hAnsi="Cambria"/>
          <w:color w:val="000000"/>
          <w:sz w:val="32"/>
          <w:szCs w:val="32"/>
        </w:rPr>
        <w:t>: Advisers can drill into any risk segment and see exactly who is in it, so support can be aimed at the right group and region.</w:t>
      </w:r>
    </w:p>
    <w:p>
      <w:pPr>
        <w:pStyle w:val="Normal"/>
        <w:keepNext w:val="true"/>
        <w:numPr>
          <w:ilvl w:val="0"/>
          <w:numId w:val="1"/>
        </w:numPr>
        <w:spacing w:before="280" w:after="80"/>
        <w:rPr>
          <w:rFonts w:ascii="Cambria" w:hAnsi="Cambria" w:eastAsia="Cambria" w:cs="Cambria"/>
          <w:sz w:val="32"/>
          <w:szCs w:val="32"/>
        </w:rPr>
      </w:pPr>
      <w:r>
        <w:rPr>
          <w:rFonts w:eastAsia="Cambria" w:cs="Cambria" w:ascii="Cambria" w:hAnsi="Cambria"/>
          <w:b/>
          <w:bCs/>
          <w:color w:val="000000"/>
          <w:sz w:val="32"/>
          <w:szCs w:val="32"/>
        </w:rPr>
        <w:t>How does the dropout rate vary with students’ highest education?</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Visualization</w:t>
      </w:r>
      <w:r>
        <w:rPr>
          <w:rFonts w:eastAsia="Cambria" w:cs="Cambria" w:ascii="Cambria" w:hAnsi="Cambria"/>
          <w:color w:val="000000"/>
          <w:sz w:val="32"/>
          <w:szCs w:val="32"/>
        </w:rPr>
        <w:t>: Clustered column chart showing Dropout Rate by highest education (Dashboard 2: Risk, Dropout &amp; Demographic Analysis).</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Fields used</w:t>
      </w:r>
      <w:r>
        <w:rPr>
          <w:rFonts w:eastAsia="Cambria" w:cs="Cambria" w:ascii="Cambria" w:hAnsi="Cambria"/>
          <w:color w:val="000000"/>
          <w:sz w:val="32"/>
          <w:szCs w:val="32"/>
        </w:rPr>
        <w:t>: Axis – highest education; Values – Dropout Rate.</w:t>
      </w:r>
    </w:p>
    <w:p>
      <w:pPr>
        <w:pStyle w:val="Normal"/>
        <w:keepNext w:val="true"/>
        <w:numPr>
          <w:ilvl w:val="1"/>
          <w:numId w:val="1"/>
        </w:numPr>
        <w:spacing w:before="0" w:after="60"/>
        <w:rPr>
          <w:rFonts w:ascii="Cambria" w:hAnsi="Cambria" w:eastAsia="Cambria" w:cs="Cambria"/>
          <w:sz w:val="32"/>
          <w:szCs w:val="32"/>
        </w:rPr>
      </w:pPr>
      <w:r>
        <w:rPr>
          <w:rFonts w:eastAsia="Cambria" w:cs="Cambria" w:ascii="Cambria" w:hAnsi="Cambria"/>
          <w:i/>
          <w:iCs/>
          <w:color w:val="000000"/>
          <w:sz w:val="32"/>
          <w:szCs w:val="32"/>
        </w:rPr>
        <w:t>Screenshot of visualisation</w:t>
      </w:r>
    </w:p>
    <w:p>
      <w:pPr>
        <w:pStyle w:val="Normal"/>
        <w:keepLines/>
        <w:ind w:left="1440"/>
        <w:rPr>
          <w:sz w:val="32"/>
          <w:szCs w:val="32"/>
        </w:rPr>
      </w:pPr>
      <w:r>
        <w:rPr/>
        <w:drawing>
          <wp:inline distT="0" distB="0" distL="0" distR="0">
            <wp:extent cx="3455670" cy="2618105"/>
            <wp:effectExtent l="0" t="0" r="0" b="0"/>
            <wp:docPr id="8" name="q8.png" descr="How does the dropout rate vary with students’ highest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8.png" descr="How does the dropout rate vary with students’ highest education?"/>
                    <pic:cNvPicPr>
                      <a:picLocks noChangeAspect="1" noChangeArrowheads="1"/>
                    </pic:cNvPicPr>
                  </pic:nvPicPr>
                  <pic:blipFill>
                    <a:blip r:embed="rId9"/>
                    <a:stretch>
                      <a:fillRect/>
                    </a:stretch>
                  </pic:blipFill>
                  <pic:spPr bwMode="auto">
                    <a:xfrm>
                      <a:off x="0" y="0"/>
                      <a:ext cx="3455670" cy="2618105"/>
                    </a:xfrm>
                    <a:prstGeom prst="rect">
                      <a:avLst/>
                    </a:prstGeom>
                    <a:ln w="9525">
                      <a:solidFill>
                        <a:srgbClr val="BFBFBF"/>
                      </a:solidFill>
                    </a:ln>
                  </pic:spPr>
                </pic:pic>
              </a:graphicData>
            </a:graphic>
          </wp:inline>
        </w:drawing>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Insights</w:t>
      </w:r>
      <w:r>
        <w:rPr>
          <w:rFonts w:eastAsia="Cambria" w:cs="Cambria" w:ascii="Cambria" w:hAnsi="Cambria"/>
          <w:color w:val="000000"/>
          <w:sz w:val="32"/>
          <w:szCs w:val="32"/>
        </w:rPr>
        <w:t xml:space="preserve">: Dropout falls steadily as prior education rises: about </w:t>
      </w:r>
      <w:r>
        <w:rPr>
          <w:rFonts w:eastAsia="Cambria" w:cs="Cambria" w:ascii="Cambria" w:hAnsi="Cambria"/>
          <w:b/>
          <w:bCs/>
          <w:color w:val="000000"/>
          <w:sz w:val="32"/>
          <w:szCs w:val="32"/>
        </w:rPr>
        <w:t>28%</w:t>
      </w:r>
      <w:r>
        <w:rPr>
          <w:rFonts w:eastAsia="Cambria" w:cs="Cambria" w:ascii="Cambria" w:hAnsi="Cambria"/>
          <w:color w:val="000000"/>
          <w:sz w:val="32"/>
          <w:szCs w:val="32"/>
        </w:rPr>
        <w:t xml:space="preserve"> for </w:t>
      </w:r>
      <w:r>
        <w:rPr>
          <w:rFonts w:eastAsia="Cambria" w:cs="Cambria" w:ascii="Cambria" w:hAnsi="Cambria"/>
          <w:b/>
          <w:bCs/>
          <w:color w:val="000000"/>
          <w:sz w:val="32"/>
          <w:szCs w:val="32"/>
        </w:rPr>
        <w:t>No Formal quals</w:t>
      </w:r>
      <w:r>
        <w:rPr>
          <w:rFonts w:eastAsia="Cambria" w:cs="Cambria" w:ascii="Cambria" w:hAnsi="Cambria"/>
          <w:color w:val="000000"/>
          <w:sz w:val="32"/>
          <w:szCs w:val="32"/>
        </w:rPr>
        <w:t xml:space="preserve">, about </w:t>
      </w:r>
      <w:r>
        <w:rPr>
          <w:rFonts w:eastAsia="Cambria" w:cs="Cambria" w:ascii="Cambria" w:hAnsi="Cambria"/>
          <w:b/>
          <w:bCs/>
          <w:color w:val="000000"/>
          <w:sz w:val="32"/>
          <w:szCs w:val="32"/>
        </w:rPr>
        <w:t>24%</w:t>
      </w:r>
      <w:r>
        <w:rPr>
          <w:rFonts w:eastAsia="Cambria" w:cs="Cambria" w:ascii="Cambria" w:hAnsi="Cambria"/>
          <w:color w:val="000000"/>
          <w:sz w:val="32"/>
          <w:szCs w:val="32"/>
        </w:rPr>
        <w:t xml:space="preserve"> for Lower Than A Level, about </w:t>
      </w:r>
      <w:r>
        <w:rPr>
          <w:rFonts w:eastAsia="Cambria" w:cs="Cambria" w:ascii="Cambria" w:hAnsi="Cambria"/>
          <w:b/>
          <w:bCs/>
          <w:color w:val="000000"/>
          <w:sz w:val="32"/>
          <w:szCs w:val="32"/>
        </w:rPr>
        <w:t>20%</w:t>
      </w:r>
      <w:r>
        <w:rPr>
          <w:rFonts w:eastAsia="Cambria" w:cs="Cambria" w:ascii="Cambria" w:hAnsi="Cambria"/>
          <w:color w:val="000000"/>
          <w:sz w:val="32"/>
          <w:szCs w:val="32"/>
        </w:rPr>
        <w:t xml:space="preserve"> for both A Level or Equivalent and HE Qualification, and about </w:t>
      </w:r>
      <w:r>
        <w:rPr>
          <w:rFonts w:eastAsia="Cambria" w:cs="Cambria" w:ascii="Cambria" w:hAnsi="Cambria"/>
          <w:b/>
          <w:bCs/>
          <w:color w:val="000000"/>
          <w:sz w:val="32"/>
          <w:szCs w:val="32"/>
        </w:rPr>
        <w:t>18%</w:t>
      </w:r>
      <w:r>
        <w:rPr>
          <w:rFonts w:eastAsia="Cambria" w:cs="Cambria" w:ascii="Cambria" w:hAnsi="Cambria"/>
          <w:color w:val="000000"/>
          <w:sz w:val="32"/>
          <w:szCs w:val="32"/>
        </w:rPr>
        <w:t xml:space="preserve"> for Post Graduate. Learners with no formal qualifications drop out about </w:t>
      </w:r>
      <w:r>
        <w:rPr>
          <w:rFonts w:eastAsia="Cambria" w:cs="Cambria" w:ascii="Cambria" w:hAnsi="Cambria"/>
          <w:b/>
          <w:bCs/>
          <w:color w:val="000000"/>
          <w:sz w:val="32"/>
          <w:szCs w:val="32"/>
        </w:rPr>
        <w:t>1.5 times</w:t>
      </w:r>
      <w:r>
        <w:rPr>
          <w:rFonts w:eastAsia="Cambria" w:cs="Cambria" w:ascii="Cambria" w:hAnsi="Cambria"/>
          <w:color w:val="000000"/>
          <w:sz w:val="32"/>
          <w:szCs w:val="32"/>
        </w:rPr>
        <w:t xml:space="preserve"> as often as post-graduates.</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Business value</w:t>
      </w:r>
      <w:r>
        <w:rPr>
          <w:rFonts w:eastAsia="Cambria" w:cs="Cambria" w:ascii="Cambria" w:hAnsi="Cambria"/>
          <w:color w:val="000000"/>
          <w:sz w:val="32"/>
          <w:szCs w:val="32"/>
        </w:rPr>
        <w:t>: Learners with weaker educational backgrounds are the group most in need of bridging modules, mentoring and study-skills support.</w:t>
      </w:r>
    </w:p>
    <w:p>
      <w:pPr>
        <w:pStyle w:val="Normal"/>
        <w:keepNext w:val="true"/>
        <w:numPr>
          <w:ilvl w:val="0"/>
          <w:numId w:val="1"/>
        </w:numPr>
        <w:spacing w:before="280" w:after="80"/>
        <w:rPr>
          <w:rFonts w:ascii="Cambria" w:hAnsi="Cambria" w:eastAsia="Cambria" w:cs="Cambria"/>
          <w:sz w:val="32"/>
          <w:szCs w:val="32"/>
        </w:rPr>
      </w:pPr>
      <w:r>
        <w:rPr>
          <w:rFonts w:eastAsia="Cambria" w:cs="Cambria" w:ascii="Cambria" w:hAnsi="Cambria"/>
          <w:b/>
          <w:bCs/>
          <w:color w:val="000000"/>
          <w:sz w:val="32"/>
          <w:szCs w:val="32"/>
        </w:rPr>
        <w:t>How does the pass rate vary with students’ highest education?</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Visualization</w:t>
      </w:r>
      <w:r>
        <w:rPr>
          <w:rFonts w:eastAsia="Cambria" w:cs="Cambria" w:ascii="Cambria" w:hAnsi="Cambria"/>
          <w:color w:val="000000"/>
          <w:sz w:val="32"/>
          <w:szCs w:val="32"/>
        </w:rPr>
        <w:t>: Clustered column chart showing Pass Rate by highest education (Dashboard 2: Risk, Dropout &amp; Demographic Analysis).</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Fields used</w:t>
      </w:r>
      <w:r>
        <w:rPr>
          <w:rFonts w:eastAsia="Cambria" w:cs="Cambria" w:ascii="Cambria" w:hAnsi="Cambria"/>
          <w:color w:val="000000"/>
          <w:sz w:val="32"/>
          <w:szCs w:val="32"/>
        </w:rPr>
        <w:t>: Axis – highest education; Values – Pass Rate.</w:t>
      </w:r>
    </w:p>
    <w:p>
      <w:pPr>
        <w:pStyle w:val="Normal"/>
        <w:keepNext w:val="true"/>
        <w:numPr>
          <w:ilvl w:val="1"/>
          <w:numId w:val="1"/>
        </w:numPr>
        <w:spacing w:before="0" w:after="60"/>
        <w:rPr>
          <w:rFonts w:ascii="Cambria" w:hAnsi="Cambria" w:eastAsia="Cambria" w:cs="Cambria"/>
          <w:sz w:val="32"/>
          <w:szCs w:val="32"/>
        </w:rPr>
      </w:pPr>
      <w:r>
        <w:rPr>
          <w:rFonts w:eastAsia="Cambria" w:cs="Cambria" w:ascii="Cambria" w:hAnsi="Cambria"/>
          <w:i/>
          <w:iCs/>
          <w:color w:val="000000"/>
          <w:sz w:val="32"/>
          <w:szCs w:val="32"/>
        </w:rPr>
        <w:t>Screenshot of visualisation</w:t>
      </w:r>
    </w:p>
    <w:p>
      <w:pPr>
        <w:pStyle w:val="Normal"/>
        <w:keepLines/>
        <w:ind w:left="1440"/>
        <w:rPr>
          <w:sz w:val="32"/>
          <w:szCs w:val="32"/>
        </w:rPr>
      </w:pPr>
      <w:r>
        <w:rPr/>
        <w:drawing>
          <wp:inline distT="0" distB="0" distL="0" distR="0">
            <wp:extent cx="3744595" cy="2849245"/>
            <wp:effectExtent l="0" t="0" r="0" b="0"/>
            <wp:docPr id="9" name="q9.png" descr="How does the pass rate vary with students’ highest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9.png" descr="How does the pass rate vary with students’ highest education?"/>
                    <pic:cNvPicPr>
                      <a:picLocks noChangeAspect="1" noChangeArrowheads="1"/>
                    </pic:cNvPicPr>
                  </pic:nvPicPr>
                  <pic:blipFill>
                    <a:blip r:embed="rId10"/>
                    <a:stretch>
                      <a:fillRect/>
                    </a:stretch>
                  </pic:blipFill>
                  <pic:spPr bwMode="auto">
                    <a:xfrm>
                      <a:off x="0" y="0"/>
                      <a:ext cx="3744595" cy="2849245"/>
                    </a:xfrm>
                    <a:prstGeom prst="rect">
                      <a:avLst/>
                    </a:prstGeom>
                    <a:ln w="9525">
                      <a:solidFill>
                        <a:srgbClr val="BFBFBF"/>
                      </a:solidFill>
                    </a:ln>
                  </pic:spPr>
                </pic:pic>
              </a:graphicData>
            </a:graphic>
          </wp:inline>
        </w:drawing>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Insights</w:t>
      </w:r>
      <w:r>
        <w:rPr>
          <w:rFonts w:eastAsia="Cambria" w:cs="Cambria" w:ascii="Cambria" w:hAnsi="Cambria"/>
          <w:color w:val="000000"/>
          <w:sz w:val="32"/>
          <w:szCs w:val="32"/>
        </w:rPr>
        <w:t xml:space="preserve">: The pass rate rises with prior education: about </w:t>
      </w:r>
      <w:r>
        <w:rPr>
          <w:rFonts w:eastAsia="Cambria" w:cs="Cambria" w:ascii="Cambria" w:hAnsi="Cambria"/>
          <w:b/>
          <w:bCs/>
          <w:color w:val="000000"/>
          <w:sz w:val="32"/>
          <w:szCs w:val="32"/>
        </w:rPr>
        <w:t>67%</w:t>
      </w:r>
      <w:r>
        <w:rPr>
          <w:rFonts w:eastAsia="Cambria" w:cs="Cambria" w:ascii="Cambria" w:hAnsi="Cambria"/>
          <w:color w:val="000000"/>
          <w:sz w:val="32"/>
          <w:szCs w:val="32"/>
        </w:rPr>
        <w:t xml:space="preserve"> for Post Graduate, </w:t>
      </w:r>
      <w:r>
        <w:rPr>
          <w:rFonts w:eastAsia="Cambria" w:cs="Cambria" w:ascii="Cambria" w:hAnsi="Cambria"/>
          <w:b/>
          <w:bCs/>
          <w:color w:val="000000"/>
          <w:sz w:val="32"/>
          <w:szCs w:val="32"/>
        </w:rPr>
        <w:t>65%</w:t>
      </w:r>
      <w:r>
        <w:rPr>
          <w:rFonts w:eastAsia="Cambria" w:cs="Cambria" w:ascii="Cambria" w:hAnsi="Cambria"/>
          <w:color w:val="000000"/>
          <w:sz w:val="32"/>
          <w:szCs w:val="32"/>
        </w:rPr>
        <w:t xml:space="preserve"> for HE Qualification, </w:t>
      </w:r>
      <w:r>
        <w:rPr>
          <w:rFonts w:eastAsia="Cambria" w:cs="Cambria" w:ascii="Cambria" w:hAnsi="Cambria"/>
          <w:b/>
          <w:bCs/>
          <w:color w:val="000000"/>
          <w:sz w:val="32"/>
          <w:szCs w:val="32"/>
        </w:rPr>
        <w:t>62%</w:t>
      </w:r>
      <w:r>
        <w:rPr>
          <w:rFonts w:eastAsia="Cambria" w:cs="Cambria" w:ascii="Cambria" w:hAnsi="Cambria"/>
          <w:color w:val="000000"/>
          <w:sz w:val="32"/>
          <w:szCs w:val="32"/>
        </w:rPr>
        <w:t xml:space="preserve"> for A Level or Equivalent, </w:t>
      </w:r>
      <w:r>
        <w:rPr>
          <w:rFonts w:eastAsia="Cambria" w:cs="Cambria" w:ascii="Cambria" w:hAnsi="Cambria"/>
          <w:b/>
          <w:bCs/>
          <w:color w:val="000000"/>
          <w:sz w:val="32"/>
          <w:szCs w:val="32"/>
        </w:rPr>
        <w:t>50%</w:t>
      </w:r>
      <w:r>
        <w:rPr>
          <w:rFonts w:eastAsia="Cambria" w:cs="Cambria" w:ascii="Cambria" w:hAnsi="Cambria"/>
          <w:color w:val="000000"/>
          <w:sz w:val="32"/>
          <w:szCs w:val="32"/>
        </w:rPr>
        <w:t xml:space="preserve"> for Lower Than A Level and only about </w:t>
      </w:r>
      <w:r>
        <w:rPr>
          <w:rFonts w:eastAsia="Cambria" w:cs="Cambria" w:ascii="Cambria" w:hAnsi="Cambria"/>
          <w:b/>
          <w:bCs/>
          <w:color w:val="000000"/>
          <w:sz w:val="32"/>
          <w:szCs w:val="32"/>
        </w:rPr>
        <w:t>42%</w:t>
      </w:r>
      <w:r>
        <w:rPr>
          <w:rFonts w:eastAsia="Cambria" w:cs="Cambria" w:ascii="Cambria" w:hAnsi="Cambria"/>
          <w:color w:val="000000"/>
          <w:sz w:val="32"/>
          <w:szCs w:val="32"/>
        </w:rPr>
        <w:t xml:space="preserve"> for No Formal quals, a gap of roughly </w:t>
      </w:r>
      <w:r>
        <w:rPr>
          <w:rFonts w:eastAsia="Cambria" w:cs="Cambria" w:ascii="Cambria" w:hAnsi="Cambria"/>
          <w:b/>
          <w:bCs/>
          <w:color w:val="000000"/>
          <w:sz w:val="32"/>
          <w:szCs w:val="32"/>
        </w:rPr>
        <w:t>25 percentage points</w:t>
      </w:r>
      <w:r>
        <w:rPr>
          <w:rFonts w:eastAsia="Cambria" w:cs="Cambria" w:ascii="Cambria" w:hAnsi="Cambria"/>
          <w:color w:val="000000"/>
          <w:sz w:val="32"/>
          <w:szCs w:val="32"/>
        </w:rPr>
        <w:t>. This mirrors the dropout pattern in Question 8.</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Business value</w:t>
      </w:r>
      <w:r>
        <w:rPr>
          <w:rFonts w:eastAsia="Cambria" w:cs="Cambria" w:ascii="Cambria" w:hAnsi="Cambria"/>
          <w:color w:val="000000"/>
          <w:sz w:val="32"/>
          <w:szCs w:val="32"/>
        </w:rPr>
        <w:t>: Together with Question 8, this confirms prior education as a key driver of success and supports targeted academic support.</w:t>
      </w:r>
    </w:p>
    <w:p>
      <w:pPr>
        <w:pStyle w:val="Normal"/>
        <w:keepNext w:val="true"/>
        <w:numPr>
          <w:ilvl w:val="0"/>
          <w:numId w:val="1"/>
        </w:numPr>
        <w:spacing w:before="280" w:after="80"/>
        <w:rPr>
          <w:rFonts w:ascii="Cambria" w:hAnsi="Cambria" w:eastAsia="Cambria" w:cs="Cambria"/>
          <w:sz w:val="32"/>
          <w:szCs w:val="32"/>
        </w:rPr>
      </w:pPr>
      <w:r>
        <w:rPr>
          <w:rFonts w:eastAsia="Cambria" w:cs="Cambria" w:ascii="Cambria" w:hAnsi="Cambria"/>
          <w:b/>
          <w:bCs/>
          <w:color w:val="000000"/>
          <w:sz w:val="32"/>
          <w:szCs w:val="32"/>
        </w:rPr>
        <w:t>Do final results differ between male and female students?</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Visualization</w:t>
      </w:r>
      <w:r>
        <w:rPr>
          <w:rFonts w:eastAsia="Cambria" w:cs="Cambria" w:ascii="Cambria" w:hAnsi="Cambria"/>
          <w:color w:val="000000"/>
          <w:sz w:val="32"/>
          <w:szCs w:val="32"/>
        </w:rPr>
        <w:t>: 100% stacked bar chart showing Total Students by gender and final result (Dashboard 2: Risk, Dropout &amp; Demographic Analysis).</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Fields used</w:t>
      </w:r>
      <w:r>
        <w:rPr>
          <w:rFonts w:eastAsia="Cambria" w:cs="Cambria" w:ascii="Cambria" w:hAnsi="Cambria"/>
          <w:color w:val="000000"/>
          <w:sz w:val="32"/>
          <w:szCs w:val="32"/>
        </w:rPr>
        <w:t>: Axis – gender; Legend – final result; Values – Total Students.</w:t>
      </w:r>
    </w:p>
    <w:p>
      <w:pPr>
        <w:pStyle w:val="Normal"/>
        <w:keepNext w:val="true"/>
        <w:numPr>
          <w:ilvl w:val="1"/>
          <w:numId w:val="1"/>
        </w:numPr>
        <w:spacing w:before="0" w:after="60"/>
        <w:rPr>
          <w:rFonts w:ascii="Cambria" w:hAnsi="Cambria" w:eastAsia="Cambria" w:cs="Cambria"/>
          <w:sz w:val="32"/>
          <w:szCs w:val="32"/>
        </w:rPr>
      </w:pPr>
      <w:r>
        <w:rPr>
          <w:rFonts w:eastAsia="Cambria" w:cs="Cambria" w:ascii="Cambria" w:hAnsi="Cambria"/>
          <w:i/>
          <w:iCs/>
          <w:color w:val="000000"/>
          <w:sz w:val="32"/>
          <w:szCs w:val="32"/>
        </w:rPr>
        <w:t>Screenshot of visualisation</w:t>
      </w:r>
    </w:p>
    <w:p>
      <w:pPr>
        <w:pStyle w:val="Normal"/>
        <w:keepLines/>
        <w:ind w:left="1440"/>
        <w:rPr>
          <w:sz w:val="32"/>
          <w:szCs w:val="32"/>
        </w:rPr>
      </w:pPr>
      <w:r>
        <w:rPr/>
        <w:drawing>
          <wp:inline distT="0" distB="0" distL="0" distR="0">
            <wp:extent cx="3715385" cy="2618105"/>
            <wp:effectExtent l="0" t="0" r="0" b="0"/>
            <wp:docPr id="10" name="q10.png" descr="Do final results differ between male and female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10.png" descr="Do final results differ between male and female students?"/>
                    <pic:cNvPicPr>
                      <a:picLocks noChangeAspect="1" noChangeArrowheads="1"/>
                    </pic:cNvPicPr>
                  </pic:nvPicPr>
                  <pic:blipFill>
                    <a:blip r:embed="rId11"/>
                    <a:stretch>
                      <a:fillRect/>
                    </a:stretch>
                  </pic:blipFill>
                  <pic:spPr bwMode="auto">
                    <a:xfrm>
                      <a:off x="0" y="0"/>
                      <a:ext cx="3715385" cy="2618105"/>
                    </a:xfrm>
                    <a:prstGeom prst="rect">
                      <a:avLst/>
                    </a:prstGeom>
                    <a:ln w="9525">
                      <a:solidFill>
                        <a:srgbClr val="BFBFBF"/>
                      </a:solidFill>
                    </a:ln>
                  </pic:spPr>
                </pic:pic>
              </a:graphicData>
            </a:graphic>
          </wp:inline>
        </w:drawing>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Insights</w:t>
      </w:r>
      <w:r>
        <w:rPr>
          <w:rFonts w:eastAsia="Cambria" w:cs="Cambria" w:ascii="Cambria" w:hAnsi="Cambria"/>
          <w:color w:val="000000"/>
          <w:sz w:val="32"/>
          <w:szCs w:val="32"/>
        </w:rPr>
        <w:t xml:space="preserve">: Outcome patterns are broadly similar, but female students do slightly better: about </w:t>
      </w:r>
      <w:r>
        <w:rPr>
          <w:rFonts w:eastAsia="Cambria" w:cs="Cambria" w:ascii="Cambria" w:hAnsi="Cambria"/>
          <w:b/>
          <w:bCs/>
          <w:color w:val="000000"/>
          <w:sz w:val="32"/>
          <w:szCs w:val="32"/>
        </w:rPr>
        <w:t>49%</w:t>
      </w:r>
      <w:r>
        <w:rPr>
          <w:rFonts w:eastAsia="Cambria" w:cs="Cambria" w:ascii="Cambria" w:hAnsi="Cambria"/>
          <w:color w:val="000000"/>
          <w:sz w:val="32"/>
          <w:szCs w:val="32"/>
        </w:rPr>
        <w:t xml:space="preserve"> of women Pass compared with about </w:t>
      </w:r>
      <w:r>
        <w:rPr>
          <w:rFonts w:eastAsia="Cambria" w:cs="Cambria" w:ascii="Cambria" w:hAnsi="Cambria"/>
          <w:b/>
          <w:bCs/>
          <w:color w:val="000000"/>
          <w:sz w:val="32"/>
          <w:szCs w:val="32"/>
        </w:rPr>
        <w:t>45%</w:t>
      </w:r>
      <w:r>
        <w:rPr>
          <w:rFonts w:eastAsia="Cambria" w:cs="Cambria" w:ascii="Cambria" w:hAnsi="Cambria"/>
          <w:color w:val="000000"/>
          <w:sz w:val="32"/>
          <w:szCs w:val="32"/>
        </w:rPr>
        <w:t xml:space="preserve"> of men, and about </w:t>
      </w:r>
      <w:r>
        <w:rPr>
          <w:rFonts w:eastAsia="Cambria" w:cs="Cambria" w:ascii="Cambria" w:hAnsi="Cambria"/>
          <w:b/>
          <w:bCs/>
          <w:color w:val="000000"/>
          <w:sz w:val="32"/>
          <w:szCs w:val="32"/>
        </w:rPr>
        <w:t>17%</w:t>
      </w:r>
      <w:r>
        <w:rPr>
          <w:rFonts w:eastAsia="Cambria" w:cs="Cambria" w:ascii="Cambria" w:hAnsi="Cambria"/>
          <w:color w:val="000000"/>
          <w:sz w:val="32"/>
          <w:szCs w:val="32"/>
        </w:rPr>
        <w:t xml:space="preserve"> of women Withdraw compared with about </w:t>
      </w:r>
      <w:r>
        <w:rPr>
          <w:rFonts w:eastAsia="Cambria" w:cs="Cambria" w:ascii="Cambria" w:hAnsi="Cambria"/>
          <w:b/>
          <w:bCs/>
          <w:color w:val="000000"/>
          <w:sz w:val="32"/>
          <w:szCs w:val="32"/>
        </w:rPr>
        <w:t>21%</w:t>
      </w:r>
      <w:r>
        <w:rPr>
          <w:rFonts w:eastAsia="Cambria" w:cs="Cambria" w:ascii="Cambria" w:hAnsi="Cambria"/>
          <w:color w:val="000000"/>
          <w:sz w:val="32"/>
          <w:szCs w:val="32"/>
        </w:rPr>
        <w:t xml:space="preserve"> of men. Distinction (about 11–12%) and Fail (about 22–23%) are close for both genders.</w:t>
      </w:r>
    </w:p>
    <w:p>
      <w:pPr>
        <w:pStyle w:val="Normal"/>
        <w:numPr>
          <w:ilvl w:val="1"/>
          <w:numId w:val="1"/>
        </w:numPr>
        <w:spacing w:before="0" w:after="80"/>
        <w:rPr>
          <w:rFonts w:ascii="Cambria" w:hAnsi="Cambria" w:eastAsia="Cambria" w:cs="Cambria"/>
          <w:sz w:val="32"/>
          <w:szCs w:val="32"/>
        </w:rPr>
      </w:pPr>
      <w:r>
        <w:rPr>
          <w:rFonts w:eastAsia="Cambria" w:cs="Cambria" w:ascii="Cambria" w:hAnsi="Cambria"/>
          <w:i/>
          <w:iCs/>
          <w:color w:val="000000"/>
          <w:sz w:val="32"/>
          <w:szCs w:val="32"/>
        </w:rPr>
        <w:t>Business value</w:t>
      </w:r>
      <w:r>
        <w:rPr>
          <w:rFonts w:eastAsia="Cambria" w:cs="Cambria" w:ascii="Cambria" w:hAnsi="Cambria"/>
          <w:color w:val="000000"/>
          <w:sz w:val="32"/>
          <w:szCs w:val="32"/>
        </w:rPr>
        <w:t>: There is no large gender gap in results, but the higher withdrawal rate among men suggests retention efforts for male learners deserve attention.</w:t>
      </w:r>
    </w:p>
    <w:p>
      <w:pPr>
        <w:pStyle w:val="Normal"/>
        <w:keepNext w:val="true"/>
        <w:spacing w:before="240" w:after="120"/>
        <w:ind w:left="720"/>
        <w:rPr>
          <w:rFonts w:ascii="Cambria" w:hAnsi="Cambria" w:eastAsia="Cambria" w:cs="Cambria"/>
          <w:sz w:val="32"/>
          <w:szCs w:val="32"/>
        </w:rPr>
      </w:pPr>
      <w:r>
        <w:rPr>
          <w:rFonts w:eastAsia="Cambria" w:cs="Cambria" w:ascii="Cambria" w:hAnsi="Cambria"/>
          <w:b/>
          <w:bCs/>
          <w:color w:val="000000"/>
          <w:sz w:val="32"/>
          <w:szCs w:val="32"/>
        </w:rPr>
        <w:t>Summary of Visualisations</w:t>
      </w:r>
    </w:p>
    <w:tbl>
      <w:tblPr>
        <w:tblW w:w="9026" w:type="dxa"/>
        <w:jc w:val="left"/>
        <w:tblInd w:w="105" w:type="dxa"/>
        <w:tblLayout w:type="fixed"/>
        <w:tblCellMar>
          <w:top w:w="60" w:type="dxa"/>
          <w:left w:w="100" w:type="dxa"/>
          <w:bottom w:w="60" w:type="dxa"/>
          <w:right w:w="100" w:type="dxa"/>
        </w:tblCellMar>
        <w:tblLook w:val="04a0"/>
      </w:tblPr>
      <w:tblGrid>
        <w:gridCol w:w="600"/>
        <w:gridCol w:w="3900"/>
        <w:gridCol w:w="2925"/>
        <w:gridCol w:w="1600"/>
      </w:tblGrid>
      <w:tr>
        <w:trPr>
          <w:tblHeader w:val="true"/>
          <w:cantSplit w:val="true"/>
        </w:trPr>
        <w:tc>
          <w:tcPr>
            <w:tcW w:w="600"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40" w:before="0" w:after="0"/>
              <w:rPr>
                <w:rFonts w:ascii="Cambria" w:hAnsi="Cambria" w:eastAsia="Cambria" w:cs="Cambria"/>
                <w:sz w:val="32"/>
                <w:szCs w:val="32"/>
              </w:rPr>
            </w:pPr>
            <w:r>
              <w:rPr>
                <w:rFonts w:eastAsia="Cambria" w:cs="Cambria" w:ascii="Cambria" w:hAnsi="Cambria"/>
                <w:b/>
                <w:bCs/>
                <w:color w:val="000000"/>
                <w:sz w:val="32"/>
                <w:szCs w:val="32"/>
              </w:rPr>
              <w:t>No.</w:t>
            </w:r>
          </w:p>
        </w:tc>
        <w:tc>
          <w:tcPr>
            <w:tcW w:w="3900"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40" w:before="0" w:after="0"/>
              <w:rPr>
                <w:rFonts w:ascii="Cambria" w:hAnsi="Cambria" w:eastAsia="Cambria" w:cs="Cambria"/>
                <w:sz w:val="32"/>
                <w:szCs w:val="32"/>
              </w:rPr>
            </w:pPr>
            <w:r>
              <w:rPr>
                <w:rFonts w:eastAsia="Cambria" w:cs="Cambria" w:ascii="Cambria" w:hAnsi="Cambria"/>
                <w:b/>
                <w:bCs/>
                <w:color w:val="000000"/>
                <w:sz w:val="32"/>
                <w:szCs w:val="32"/>
              </w:rPr>
              <w:t>Business question</w:t>
            </w:r>
          </w:p>
        </w:tc>
        <w:tc>
          <w:tcPr>
            <w:tcW w:w="2925"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40" w:before="0" w:after="0"/>
              <w:rPr>
                <w:rFonts w:ascii="Cambria" w:hAnsi="Cambria" w:eastAsia="Cambria" w:cs="Cambria"/>
                <w:sz w:val="32"/>
                <w:szCs w:val="32"/>
              </w:rPr>
            </w:pPr>
            <w:r>
              <w:rPr>
                <w:rFonts w:eastAsia="Cambria" w:cs="Cambria" w:ascii="Cambria" w:hAnsi="Cambria"/>
                <w:b/>
                <w:bCs/>
                <w:color w:val="000000"/>
                <w:sz w:val="32"/>
                <w:szCs w:val="32"/>
              </w:rPr>
              <w:t>Visualization</w:t>
            </w:r>
          </w:p>
        </w:tc>
        <w:tc>
          <w:tcPr>
            <w:tcW w:w="1600"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40" w:before="0" w:after="0"/>
              <w:rPr>
                <w:rFonts w:ascii="Cambria" w:hAnsi="Cambria" w:eastAsia="Cambria" w:cs="Cambria"/>
                <w:sz w:val="32"/>
                <w:szCs w:val="32"/>
              </w:rPr>
            </w:pPr>
            <w:r>
              <w:rPr>
                <w:rFonts w:eastAsia="Cambria" w:cs="Cambria" w:ascii="Cambria" w:hAnsi="Cambria"/>
                <w:b/>
                <w:bCs/>
                <w:color w:val="000000"/>
                <w:sz w:val="32"/>
                <w:szCs w:val="32"/>
              </w:rPr>
              <w:t>Dashboard</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1</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How are students distributed across engagement levels?</w:t>
            </w:r>
          </w:p>
        </w:tc>
        <w:tc>
          <w:tcPr>
            <w:tcW w:w="2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Pie chart</w:t>
            </w:r>
          </w:p>
        </w:tc>
        <w:tc>
          <w:tcPr>
            <w:tcW w:w="1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Dashboard 1</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2</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How much learning activity (clicks) does each engagement level generate?</w:t>
            </w:r>
          </w:p>
        </w:tc>
        <w:tc>
          <w:tcPr>
            <w:tcW w:w="2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Clustered column chart</w:t>
            </w:r>
          </w:p>
        </w:tc>
        <w:tc>
          <w:tcPr>
            <w:tcW w:w="1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Dashboard 1</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3</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What is the distribution of final results (Pass, Fail, Withdrawn and Distinction)?</w:t>
            </w:r>
          </w:p>
        </w:tc>
        <w:tc>
          <w:tcPr>
            <w:tcW w:w="2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Clustered column chart</w:t>
            </w:r>
          </w:p>
        </w:tc>
        <w:tc>
          <w:tcPr>
            <w:tcW w:w="1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Dashboard 1</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4</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How does engagement level affect final results?</w:t>
            </w:r>
          </w:p>
        </w:tc>
        <w:tc>
          <w:tcPr>
            <w:tcW w:w="2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Decomposition tree</w:t>
            </w:r>
          </w:p>
        </w:tc>
        <w:tc>
          <w:tcPr>
            <w:tcW w:w="1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Dashboard 2</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5</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How does the average student score vary across regions?</w:t>
            </w:r>
          </w:p>
        </w:tc>
        <w:tc>
          <w:tcPr>
            <w:tcW w:w="2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Clustered column chart</w:t>
            </w:r>
          </w:p>
        </w:tc>
        <w:tc>
          <w:tcPr>
            <w:tcW w:w="1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Dashboard 1</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6</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What share of students falls into each risk level?</w:t>
            </w:r>
          </w:p>
        </w:tc>
        <w:tc>
          <w:tcPr>
            <w:tcW w:w="2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Pie chart</w:t>
            </w:r>
          </w:p>
        </w:tc>
        <w:tc>
          <w:tcPr>
            <w:tcW w:w="1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Dashboard 2</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7</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Which types of students make up a risk level (by education, gender and region)?</w:t>
            </w:r>
          </w:p>
        </w:tc>
        <w:tc>
          <w:tcPr>
            <w:tcW w:w="2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Decomposition tree</w:t>
            </w:r>
          </w:p>
        </w:tc>
        <w:tc>
          <w:tcPr>
            <w:tcW w:w="1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Dashboard 1</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8</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How does the dropout rate vary with students’ highest education?</w:t>
            </w:r>
          </w:p>
        </w:tc>
        <w:tc>
          <w:tcPr>
            <w:tcW w:w="2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Clustered column chart</w:t>
            </w:r>
          </w:p>
        </w:tc>
        <w:tc>
          <w:tcPr>
            <w:tcW w:w="1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Dashboard 2</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9</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How does the pass rate vary with students’ highest education?</w:t>
            </w:r>
          </w:p>
        </w:tc>
        <w:tc>
          <w:tcPr>
            <w:tcW w:w="2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Clustered column chart</w:t>
            </w:r>
          </w:p>
        </w:tc>
        <w:tc>
          <w:tcPr>
            <w:tcW w:w="1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Dashboard 2</w:t>
            </w:r>
          </w:p>
        </w:tc>
      </w:tr>
      <w:tr>
        <w:trPr>
          <w:cantSplit w:val="true"/>
        </w:trPr>
        <w:tc>
          <w:tcPr>
            <w:tcW w:w="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10</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Do final results differ between male and female students?</w:t>
            </w:r>
          </w:p>
        </w:tc>
        <w:tc>
          <w:tcPr>
            <w:tcW w:w="29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100% stacked bar chart</w:t>
            </w:r>
          </w:p>
        </w:tc>
        <w:tc>
          <w:tcPr>
            <w:tcW w:w="16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mbria" w:hAnsi="Cambria" w:eastAsia="Cambria" w:cs="Cambria"/>
                <w:sz w:val="32"/>
                <w:szCs w:val="32"/>
              </w:rPr>
            </w:pPr>
            <w:r>
              <w:rPr>
                <w:rFonts w:eastAsia="Cambria" w:cs="Cambria" w:ascii="Cambria" w:hAnsi="Cambria"/>
                <w:color w:val="000000"/>
                <w:sz w:val="32"/>
                <w:szCs w:val="32"/>
              </w:rPr>
              <w:t>Dashboard 2</w:t>
            </w:r>
          </w:p>
        </w:tc>
      </w:tr>
    </w:tbl>
    <w:p>
      <w:pPr>
        <w:pStyle w:val="Normal"/>
        <w:keepNext w:val="true"/>
        <w:spacing w:before="240" w:after="120"/>
        <w:ind w:left="720"/>
        <w:rPr>
          <w:rFonts w:ascii="Cambria" w:hAnsi="Cambria" w:eastAsia="Cambria" w:cs="Cambria"/>
          <w:sz w:val="24"/>
          <w:szCs w:val="24"/>
        </w:rPr>
      </w:pPr>
      <w:r>
        <w:rPr>
          <w:rFonts w:eastAsia="Cambria" w:cs="Cambria" w:ascii="Cambria" w:hAnsi="Cambria"/>
          <w:b/>
          <w:bCs/>
          <w:color w:val="000000"/>
          <w:sz w:val="24"/>
          <w:szCs w:val="24"/>
        </w:rPr>
        <w:t>Conclusion</w:t>
      </w:r>
    </w:p>
    <w:p>
      <w:pPr>
        <w:pStyle w:val="Normal"/>
        <w:ind w:left="720"/>
        <w:jc w:val="both"/>
        <w:rPr>
          <w:rFonts w:ascii="Cambria" w:hAnsi="Cambria" w:eastAsia="Cambria" w:cs="Cambria"/>
          <w:sz w:val="24"/>
          <w:szCs w:val="24"/>
        </w:rPr>
      </w:pPr>
      <w:r>
        <w:rPr>
          <w:rFonts w:eastAsia="Cambria" w:cs="Cambria" w:ascii="Cambria" w:hAnsi="Cambria"/>
          <w:color w:val="000000"/>
          <w:sz w:val="24"/>
          <w:szCs w:val="24"/>
        </w:rPr>
        <w:t>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monitoring and targeted support for learners with lower prior qualifications as the most effective ways to improve completion and success.</w:t>
      </w:r>
    </w:p>
    <w:p>
      <w:pPr>
        <w:pStyle w:val="Normal"/>
        <w:spacing w:before="200" w:after="160"/>
        <w:rPr>
          <w:rFonts w:ascii="Cambria" w:hAnsi="Cambria" w:eastAsia="Cambria" w:cs="Cambria"/>
          <w:sz w:val="20"/>
          <w:szCs w:val="20"/>
        </w:rPr>
      </w:pPr>
      <w:r>
        <w:rPr>
          <w:rFonts w:eastAsia="Cambria" w:cs="Cambria" w:ascii="Cambria" w:hAnsi="Cambria"/>
          <w:sz w:val="20"/>
          <w:szCs w:val="20"/>
        </w:rPr>
      </w:r>
    </w:p>
    <w:sectPr>
      <w:type w:val="nextPage"/>
      <w:pgSz w:w="11906" w:h="16838"/>
      <w:pgMar w:left="1440" w:right="1440" w:gutter="0" w:header="0" w:top="1440" w:footer="0" w:bottom="1440"/>
      <w:pgNumType w:start="1"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Liberation Sans">
    <w:altName w:val="Arial"/>
    <w:charset w:val="00"/>
    <w:family w:val="swiss"/>
    <w:pitch w:val="variable"/>
  </w:font>
  <w:font w:name="Georgia">
    <w:charset w:val="00"/>
    <w:family w:val="roman"/>
    <w:pitch w:val="variable"/>
  </w:font>
  <w:font w:name="Cambria">
    <w:charset w:val="00"/>
    <w:family w:val="roman"/>
    <w:pitch w:val="variable"/>
  </w:font>
  <w:font w:name="Arial">
    <w:charset w:val="00"/>
    <w:family w:val="roman"/>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6"/>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738b3"/>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rsid w:val="00451910"/>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val="true"/>
      <w:keepLines/>
      <w:spacing w:before="220" w:after="40"/>
      <w:outlineLvl w:val="4"/>
    </w:pPr>
    <w:rPr>
      <w:b/>
    </w:rPr>
  </w:style>
  <w:style w:type="paragraph" w:styleId="Heading6">
    <w:name w:val="Heading 6"/>
    <w:basedOn w:val="Normal"/>
    <w:next w:val="Normal"/>
    <w:uiPriority w:val="9"/>
    <w:semiHidden/>
    <w:unhideWhenUsed/>
    <w:qFormat/>
    <w:rsid w:val="00451910"/>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7738b3"/>
    <w:rPr>
      <w:color w:themeColor="hyperlink" w:val="0563C1"/>
      <w:u w:val="single"/>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character" w:styleId="BalloonTextChar" w:customStyle="1">
    <w:name w:val="Balloon Text Char"/>
    <w:basedOn w:val="DefaultParagraphFont"/>
    <w:link w:val="BalloonText"/>
    <w:uiPriority w:val="99"/>
    <w:semiHidden/>
    <w:qFormat/>
    <w:rsid w:val="00a21181"/>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rsid w:val="00451910"/>
    <w:pPr>
      <w:keepNext w:val="true"/>
      <w:keepLines/>
      <w:spacing w:before="480" w:after="120"/>
    </w:pPr>
    <w:rPr>
      <w:b/>
      <w:sz w:val="72"/>
      <w:szCs w:val="72"/>
    </w:rPr>
  </w:style>
  <w:style w:type="paragraph" w:styleId="Subtitle">
    <w:name w:val="Subtitle"/>
    <w:basedOn w:val="Normal"/>
    <w:next w:val="Normal"/>
    <w:uiPriority w:val="11"/>
    <w:qFormat/>
    <w:rsid w:val="00451910"/>
    <w:pPr>
      <w:keepNext w:val="true"/>
      <w:keepLines/>
      <w:spacing w:before="360" w:after="80"/>
    </w:pPr>
    <w:rPr>
      <w:rFonts w:ascii="Georgia" w:hAnsi="Georgia" w:eastAsia="Georgia" w:cs="Georgia"/>
      <w:i/>
      <w:color w:val="666666"/>
      <w:sz w:val="48"/>
      <w:szCs w:val="48"/>
    </w:rPr>
  </w:style>
  <w:style w:type="paragraph" w:styleId="NormalWeb">
    <w:name w:val="Normal (Web)"/>
    <w:basedOn w:val="Normal"/>
    <w:uiPriority w:val="99"/>
    <w:semiHidden/>
    <w:unhideWhenUsed/>
    <w:qFormat/>
    <w:rsid w:val="00f15253"/>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f15253"/>
    <w:pPr>
      <w:spacing w:before="0" w:after="160"/>
      <w:ind w:left="720"/>
      <w:contextualSpacing/>
    </w:pPr>
    <w:rPr/>
  </w:style>
  <w:style w:type="paragraph" w:styleId="BalloonText">
    <w:name w:val="Balloon Text"/>
    <w:basedOn w:val="Normal"/>
    <w:link w:val="BalloonTextChar"/>
    <w:uiPriority w:val="99"/>
    <w:semiHidden/>
    <w:unhideWhenUsed/>
    <w:qFormat/>
    <w:rsid w:val="00a21181"/>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Application>PPT_Plus/1.0.0.0$Windows_X86_64 LibreOffice_project/</Application>
  <AppVersion>15.0000</AppVersion>
  <Pages>13</Pages>
  <Words>1668</Words>
  <Characters>9151</Characters>
  <CharactersWithSpaces>10660</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2026-09-19T06:00:00Z</dcterms:created>
  <dc:creator>SmarBridge ML</dc:creator>
  <dc:description/>
  <dc:language>en-IN</dc:language>
  <cp:lastModifiedBy/>
  <dcterms:modified xsi:type="dcterms:W3CDTF">2026-09-19T15:22:08Z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