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4C5" w:rsidRDefault="004C24C5" w:rsidP="00DE03B4">
      <w:pPr>
        <w:pStyle w:val="Title"/>
      </w:pPr>
      <w:r>
        <w:t>Understanding the Housing Crisis in Nova Scotia (with comparisons to the rest of Canada)</w:t>
      </w:r>
    </w:p>
    <w:p w:rsidR="00246B41" w:rsidRDefault="00246B41" w:rsidP="00DE03B4">
      <w:pPr>
        <w:pStyle w:val="Heading1"/>
      </w:pPr>
      <w:r>
        <w:t>Objective</w:t>
      </w:r>
    </w:p>
    <w:p w:rsidR="00CE16D9" w:rsidRDefault="00246B41" w:rsidP="00DE03B4">
      <w:r>
        <w:t xml:space="preserve">The growing housing crisis in Canada has been making news headlines for almost a year. The cost of buying a house has skyrocketed, rental rates are soaring, and there is low availability of both, leading to increasing numbers of </w:t>
      </w:r>
      <w:proofErr w:type="spellStart"/>
      <w:r>
        <w:t>unhoused</w:t>
      </w:r>
      <w:proofErr w:type="spellEnd"/>
      <w:r>
        <w:t xml:space="preserve"> people. As governments attempt to address the crisis, the question of what Canadians can afford to pay for housing becomes very important, especially in Nova Scotia, where income taxes are among the highest in the country while minimum wage is the lowest. </w:t>
      </w:r>
    </w:p>
    <w:p w:rsidR="00246B41" w:rsidRPr="00246B41" w:rsidRDefault="00246B41" w:rsidP="00DE03B4">
      <w:r>
        <w:t>This project will examine the housing crisis, comparing incomes to housing costs across the country, and then diving deeper by comparing this to the housing market (i.e. housing supply) in Nova Scotia in particular.</w:t>
      </w:r>
    </w:p>
    <w:p w:rsidR="005167F1" w:rsidRDefault="005167F1" w:rsidP="00DE03B4">
      <w:pPr>
        <w:pStyle w:val="Heading1"/>
      </w:pPr>
      <w:r>
        <w:t>Data Source</w:t>
      </w:r>
      <w:r w:rsidR="00C13A04">
        <w:t>s</w:t>
      </w:r>
    </w:p>
    <w:p w:rsidR="005167F1" w:rsidRPr="00DE03B4" w:rsidRDefault="005167F1" w:rsidP="00DE03B4">
      <w:r w:rsidRPr="00DE03B4">
        <w:t>The data sourced for this project comes from two</w:t>
      </w:r>
      <w:r w:rsidR="000F6EFC" w:rsidRPr="00DE03B4">
        <w:t xml:space="preserve"> (external)</w:t>
      </w:r>
      <w:r w:rsidRPr="00DE03B4">
        <w:t xml:space="preserve"> open sources: Statistics Canada and the Canada Mortgage and Housing Corporation (CMHC). Statistics Canada is the</w:t>
      </w:r>
      <w:r w:rsidR="009B1A40" w:rsidRPr="00DE03B4">
        <w:t xml:space="preserve"> Canadian</w:t>
      </w:r>
      <w:r w:rsidRPr="00DE03B4">
        <w:t xml:space="preserve"> federal government</w:t>
      </w:r>
      <w:r w:rsidR="009B1A40" w:rsidRPr="00DE03B4">
        <w:t>'s</w:t>
      </w:r>
      <w:r w:rsidR="00246B41" w:rsidRPr="00DE03B4">
        <w:t xml:space="preserve"> statistical office. The</w:t>
      </w:r>
      <w:r w:rsidRPr="00DE03B4">
        <w:t xml:space="preserve"> Canadian Income Survey</w:t>
      </w:r>
      <w:r w:rsidR="00246B41" w:rsidRPr="00DE03B4">
        <w:t xml:space="preserve"> (CIS) is conducted by Statistics Canada</w:t>
      </w:r>
      <w:r w:rsidRPr="00DE03B4">
        <w:t xml:space="preserve">. CMHC is a crown corporation (a government organization structured like an independent company). CMHC is the national housing agency. More information can be found at the organizations' websites: </w:t>
      </w:r>
      <w:hyperlink r:id="rId5" w:history="1">
        <w:r w:rsidRPr="00DE03B4">
          <w:rPr>
            <w:rStyle w:val="Hyperlink"/>
            <w:color w:val="auto"/>
            <w:u w:val="none"/>
          </w:rPr>
          <w:t>https://www.statcan.gc.ca/en/start</w:t>
        </w:r>
      </w:hyperlink>
      <w:r w:rsidRPr="00DE03B4">
        <w:t xml:space="preserve"> and </w:t>
      </w:r>
      <w:hyperlink r:id="rId6" w:history="1">
        <w:r w:rsidRPr="00DE03B4">
          <w:rPr>
            <w:rStyle w:val="Hyperlink"/>
            <w:color w:val="auto"/>
            <w:u w:val="none"/>
          </w:rPr>
          <w:t>https://www.cmhc-schl.gc.ca/en/about-us</w:t>
        </w:r>
      </w:hyperlink>
      <w:r w:rsidRPr="00DE03B4">
        <w:t xml:space="preserve">. </w:t>
      </w:r>
      <w:r w:rsidR="007E3D7E" w:rsidRPr="00DE03B4">
        <w:t>Two</w:t>
      </w:r>
      <w:r w:rsidRPr="00DE03B4">
        <w:t xml:space="preserve"> datasets will be used for the analysis. These dat</w:t>
      </w:r>
      <w:r w:rsidR="003E0D9E" w:rsidRPr="00DE03B4">
        <w:t>asets are summarized in Table 1 and more detailed data profiles are found in the following section.</w:t>
      </w:r>
    </w:p>
    <w:p w:rsidR="00EB1133" w:rsidRDefault="00EB1133" w:rsidP="009641E1">
      <w:pPr>
        <w:pStyle w:val="Caption"/>
        <w:spacing w:after="0"/>
      </w:pPr>
      <w:r>
        <w:t xml:space="preserve">Table </w:t>
      </w:r>
      <w:fldSimple w:instr=" SEQ Table \* ARABIC ">
        <w:r w:rsidR="00EF7C07">
          <w:rPr>
            <w:noProof/>
          </w:rPr>
          <w:t>1</w:t>
        </w:r>
      </w:fldSimple>
      <w:r>
        <w:t>: DataSet Overview</w:t>
      </w:r>
    </w:p>
    <w:tbl>
      <w:tblPr>
        <w:tblStyle w:val="LightShading1"/>
        <w:tblW w:w="9576" w:type="dxa"/>
        <w:tblLayout w:type="fixed"/>
        <w:tblLook w:val="04A0"/>
      </w:tblPr>
      <w:tblGrid>
        <w:gridCol w:w="3292"/>
        <w:gridCol w:w="2613"/>
        <w:gridCol w:w="3671"/>
      </w:tblGrid>
      <w:tr w:rsidR="00EB1133" w:rsidTr="003D5769">
        <w:trPr>
          <w:cnfStyle w:val="100000000000"/>
        </w:trPr>
        <w:tc>
          <w:tcPr>
            <w:cnfStyle w:val="001000000000"/>
            <w:tcW w:w="3292" w:type="dxa"/>
          </w:tcPr>
          <w:p w:rsidR="00EB1133" w:rsidRDefault="00EB1133" w:rsidP="00DE03B4">
            <w:r>
              <w:t>Original Table Name</w:t>
            </w:r>
          </w:p>
        </w:tc>
        <w:tc>
          <w:tcPr>
            <w:tcW w:w="2613" w:type="dxa"/>
          </w:tcPr>
          <w:p w:rsidR="00EB1133" w:rsidRDefault="00EB1133" w:rsidP="00DE03B4">
            <w:pPr>
              <w:cnfStyle w:val="100000000000"/>
            </w:pPr>
            <w:r>
              <w:t>CIS2018</w:t>
            </w:r>
          </w:p>
        </w:tc>
        <w:tc>
          <w:tcPr>
            <w:tcW w:w="3671" w:type="dxa"/>
          </w:tcPr>
          <w:p w:rsidR="00EB1133" w:rsidRDefault="00EB1133" w:rsidP="00DE03B4">
            <w:pPr>
              <w:cnfStyle w:val="100000000000"/>
            </w:pPr>
            <w:r>
              <w:t>Housing-market-indicators-nova-scotia-1990-2016</w:t>
            </w:r>
          </w:p>
        </w:tc>
      </w:tr>
      <w:tr w:rsidR="00EB1133" w:rsidTr="003D5769">
        <w:trPr>
          <w:cnfStyle w:val="000000100000"/>
        </w:trPr>
        <w:tc>
          <w:tcPr>
            <w:cnfStyle w:val="001000000000"/>
            <w:tcW w:w="3292" w:type="dxa"/>
          </w:tcPr>
          <w:p w:rsidR="00EB1133" w:rsidRDefault="003D5769" w:rsidP="00DE03B4">
            <w:r>
              <w:t>Simple Description</w:t>
            </w:r>
          </w:p>
        </w:tc>
        <w:tc>
          <w:tcPr>
            <w:tcW w:w="2613" w:type="dxa"/>
          </w:tcPr>
          <w:p w:rsidR="00EB1133" w:rsidRDefault="00EB1133" w:rsidP="00DE03B4">
            <w:pPr>
              <w:cnfStyle w:val="000000100000"/>
            </w:pPr>
            <w:r>
              <w:t>Canada Income Survey 2018</w:t>
            </w:r>
          </w:p>
        </w:tc>
        <w:tc>
          <w:tcPr>
            <w:tcW w:w="3671" w:type="dxa"/>
          </w:tcPr>
          <w:p w:rsidR="00EB1133" w:rsidRDefault="003D5769" w:rsidP="00DE03B4">
            <w:pPr>
              <w:cnfStyle w:val="000000100000"/>
            </w:pPr>
            <w:r>
              <w:t>Nova Scotia housing market overview</w:t>
            </w:r>
          </w:p>
        </w:tc>
      </w:tr>
      <w:tr w:rsidR="00EB1133" w:rsidTr="003D5769">
        <w:tc>
          <w:tcPr>
            <w:cnfStyle w:val="001000000000"/>
            <w:tcW w:w="3292" w:type="dxa"/>
          </w:tcPr>
          <w:p w:rsidR="00EB1133" w:rsidRDefault="00EB1133" w:rsidP="00DE03B4">
            <w:r>
              <w:t>Data Source</w:t>
            </w:r>
          </w:p>
        </w:tc>
        <w:tc>
          <w:tcPr>
            <w:tcW w:w="2613" w:type="dxa"/>
          </w:tcPr>
          <w:p w:rsidR="00EB1133" w:rsidRDefault="00EB1133" w:rsidP="00DE03B4">
            <w:pPr>
              <w:cnfStyle w:val="000000000000"/>
            </w:pPr>
            <w:r>
              <w:t>Stats Can</w:t>
            </w:r>
          </w:p>
        </w:tc>
        <w:tc>
          <w:tcPr>
            <w:tcW w:w="3671" w:type="dxa"/>
          </w:tcPr>
          <w:p w:rsidR="00EB1133" w:rsidRDefault="00EB1133" w:rsidP="00DE03B4">
            <w:pPr>
              <w:cnfStyle w:val="000000000000"/>
            </w:pPr>
            <w:r>
              <w:t>CMHC</w:t>
            </w:r>
          </w:p>
        </w:tc>
      </w:tr>
      <w:tr w:rsidR="00EB1133" w:rsidTr="003D5769">
        <w:trPr>
          <w:cnfStyle w:val="000000100000"/>
        </w:trPr>
        <w:tc>
          <w:tcPr>
            <w:cnfStyle w:val="001000000000"/>
            <w:tcW w:w="3292" w:type="dxa"/>
          </w:tcPr>
          <w:p w:rsidR="00EB1133" w:rsidRDefault="00EB1133" w:rsidP="00DE03B4">
            <w:r>
              <w:t>Data Scope</w:t>
            </w:r>
          </w:p>
        </w:tc>
        <w:tc>
          <w:tcPr>
            <w:tcW w:w="2613" w:type="dxa"/>
          </w:tcPr>
          <w:p w:rsidR="00EB1133" w:rsidRDefault="00EB1133" w:rsidP="00DE03B4">
            <w:pPr>
              <w:cnfStyle w:val="000000100000"/>
            </w:pPr>
            <w:r>
              <w:t>Canada</w:t>
            </w:r>
          </w:p>
        </w:tc>
        <w:tc>
          <w:tcPr>
            <w:tcW w:w="3671" w:type="dxa"/>
          </w:tcPr>
          <w:p w:rsidR="00EB1133" w:rsidRDefault="00EB1133" w:rsidP="00DE03B4">
            <w:pPr>
              <w:cnfStyle w:val="000000100000"/>
            </w:pPr>
            <w:r>
              <w:t>Nova Scotia</w:t>
            </w:r>
          </w:p>
        </w:tc>
      </w:tr>
      <w:tr w:rsidR="00EB1133" w:rsidTr="003D5769">
        <w:tc>
          <w:tcPr>
            <w:cnfStyle w:val="001000000000"/>
            <w:tcW w:w="3292" w:type="dxa"/>
          </w:tcPr>
          <w:p w:rsidR="00EB1133" w:rsidRDefault="00EB1133" w:rsidP="00DE03B4">
            <w:r>
              <w:t>Time Range</w:t>
            </w:r>
          </w:p>
        </w:tc>
        <w:tc>
          <w:tcPr>
            <w:tcW w:w="2613" w:type="dxa"/>
          </w:tcPr>
          <w:p w:rsidR="00EB1133" w:rsidRDefault="00EB1133" w:rsidP="00DE03B4">
            <w:pPr>
              <w:cnfStyle w:val="000000000000"/>
            </w:pPr>
            <w:r>
              <w:t>2018</w:t>
            </w:r>
          </w:p>
        </w:tc>
        <w:tc>
          <w:tcPr>
            <w:tcW w:w="3671" w:type="dxa"/>
          </w:tcPr>
          <w:p w:rsidR="00EB1133" w:rsidRDefault="00EB1133" w:rsidP="00DE03B4">
            <w:pPr>
              <w:cnfStyle w:val="000000000000"/>
            </w:pPr>
            <w:r>
              <w:t>1990-2016</w:t>
            </w:r>
          </w:p>
        </w:tc>
      </w:tr>
      <w:tr w:rsidR="00EB1133" w:rsidTr="003D5769">
        <w:trPr>
          <w:cnfStyle w:val="000000100000"/>
        </w:trPr>
        <w:tc>
          <w:tcPr>
            <w:cnfStyle w:val="001000000000"/>
            <w:tcW w:w="3292" w:type="dxa"/>
          </w:tcPr>
          <w:p w:rsidR="00EB1133" w:rsidRDefault="00EB1133" w:rsidP="00DE03B4">
            <w:r>
              <w:t>Geographic Categories</w:t>
            </w:r>
          </w:p>
        </w:tc>
        <w:tc>
          <w:tcPr>
            <w:tcW w:w="2613" w:type="dxa"/>
          </w:tcPr>
          <w:p w:rsidR="00EB1133" w:rsidRDefault="00EB1133" w:rsidP="00DE03B4">
            <w:pPr>
              <w:cnfStyle w:val="000000100000"/>
            </w:pPr>
            <w:r>
              <w:t>provinces</w:t>
            </w:r>
          </w:p>
        </w:tc>
        <w:tc>
          <w:tcPr>
            <w:tcW w:w="3671" w:type="dxa"/>
          </w:tcPr>
          <w:p w:rsidR="00EB1133" w:rsidRDefault="00EB1133" w:rsidP="00DE03B4">
            <w:pPr>
              <w:cnfStyle w:val="000000100000"/>
            </w:pPr>
            <w:r>
              <w:t>None</w:t>
            </w:r>
          </w:p>
        </w:tc>
      </w:tr>
      <w:tr w:rsidR="00EB1133" w:rsidTr="003D5769">
        <w:tc>
          <w:tcPr>
            <w:cnfStyle w:val="001000000000"/>
            <w:tcW w:w="3292" w:type="dxa"/>
          </w:tcPr>
          <w:p w:rsidR="00EB1133" w:rsidRDefault="00EB1133" w:rsidP="00DE03B4">
            <w:r>
              <w:t>Number of Rows in cleaned data</w:t>
            </w:r>
          </w:p>
        </w:tc>
        <w:tc>
          <w:tcPr>
            <w:tcW w:w="2613" w:type="dxa"/>
          </w:tcPr>
          <w:p w:rsidR="00EB1133" w:rsidRDefault="00EB1133" w:rsidP="00DE03B4">
            <w:pPr>
              <w:cnfStyle w:val="000000000000"/>
            </w:pPr>
            <w:r>
              <w:t>94336</w:t>
            </w:r>
          </w:p>
        </w:tc>
        <w:tc>
          <w:tcPr>
            <w:tcW w:w="3671" w:type="dxa"/>
          </w:tcPr>
          <w:p w:rsidR="00EB1133" w:rsidRDefault="009D1DA5" w:rsidP="00DE03B4">
            <w:pPr>
              <w:cnfStyle w:val="000000000000"/>
            </w:pPr>
            <w:r>
              <w:t>27</w:t>
            </w:r>
          </w:p>
        </w:tc>
      </w:tr>
      <w:tr w:rsidR="00EB1133" w:rsidTr="003D5769">
        <w:trPr>
          <w:cnfStyle w:val="000000100000"/>
        </w:trPr>
        <w:tc>
          <w:tcPr>
            <w:cnfStyle w:val="001000000000"/>
            <w:tcW w:w="3292" w:type="dxa"/>
          </w:tcPr>
          <w:p w:rsidR="00EB1133" w:rsidRDefault="00EB1133" w:rsidP="00DE03B4">
            <w:r>
              <w:t>Number of Columns in cleaned data</w:t>
            </w:r>
          </w:p>
        </w:tc>
        <w:tc>
          <w:tcPr>
            <w:tcW w:w="2613" w:type="dxa"/>
          </w:tcPr>
          <w:p w:rsidR="00EB1133" w:rsidRDefault="00EB1133" w:rsidP="00DE03B4">
            <w:pPr>
              <w:cnfStyle w:val="000000100000"/>
            </w:pPr>
            <w:r>
              <w:t>19</w:t>
            </w:r>
          </w:p>
        </w:tc>
        <w:tc>
          <w:tcPr>
            <w:tcW w:w="3671" w:type="dxa"/>
          </w:tcPr>
          <w:p w:rsidR="00EB1133" w:rsidRDefault="009D1DA5" w:rsidP="00DE03B4">
            <w:pPr>
              <w:cnfStyle w:val="000000100000"/>
            </w:pPr>
            <w:r>
              <w:t>35</w:t>
            </w:r>
          </w:p>
        </w:tc>
      </w:tr>
      <w:tr w:rsidR="00EB1133" w:rsidTr="003D5769">
        <w:tc>
          <w:tcPr>
            <w:cnfStyle w:val="001000000000"/>
            <w:tcW w:w="3292" w:type="dxa"/>
          </w:tcPr>
          <w:p w:rsidR="00EB1133" w:rsidRDefault="00EB1133" w:rsidP="00DE03B4">
            <w:r>
              <w:t>Number of Continuous Variables</w:t>
            </w:r>
          </w:p>
        </w:tc>
        <w:tc>
          <w:tcPr>
            <w:tcW w:w="2613" w:type="dxa"/>
          </w:tcPr>
          <w:p w:rsidR="00EB1133" w:rsidRDefault="00EB1133" w:rsidP="00DE03B4">
            <w:pPr>
              <w:cnfStyle w:val="000000000000"/>
            </w:pPr>
            <w:r>
              <w:t>5</w:t>
            </w:r>
          </w:p>
        </w:tc>
        <w:tc>
          <w:tcPr>
            <w:tcW w:w="3671" w:type="dxa"/>
          </w:tcPr>
          <w:p w:rsidR="00EB1133" w:rsidRDefault="009D1DA5" w:rsidP="00DE03B4">
            <w:pPr>
              <w:cnfStyle w:val="000000000000"/>
            </w:pPr>
            <w:r>
              <w:t>35</w:t>
            </w:r>
          </w:p>
        </w:tc>
      </w:tr>
      <w:tr w:rsidR="00EB1133" w:rsidTr="003D5769">
        <w:trPr>
          <w:cnfStyle w:val="000000100000"/>
        </w:trPr>
        <w:tc>
          <w:tcPr>
            <w:cnfStyle w:val="001000000000"/>
            <w:tcW w:w="3292" w:type="dxa"/>
          </w:tcPr>
          <w:p w:rsidR="00EB1133" w:rsidRDefault="00EB1133" w:rsidP="00DE03B4">
            <w:r>
              <w:t>Number of Categorical Variables</w:t>
            </w:r>
          </w:p>
        </w:tc>
        <w:tc>
          <w:tcPr>
            <w:tcW w:w="2613" w:type="dxa"/>
          </w:tcPr>
          <w:p w:rsidR="00EB1133" w:rsidRDefault="00EB1133" w:rsidP="00DE03B4">
            <w:pPr>
              <w:cnfStyle w:val="000000100000"/>
            </w:pPr>
            <w:r>
              <w:t>28</w:t>
            </w:r>
          </w:p>
        </w:tc>
        <w:tc>
          <w:tcPr>
            <w:tcW w:w="3671" w:type="dxa"/>
          </w:tcPr>
          <w:p w:rsidR="00EB1133" w:rsidRDefault="009D1DA5" w:rsidP="00DE03B4">
            <w:pPr>
              <w:cnfStyle w:val="000000100000"/>
            </w:pPr>
            <w:r>
              <w:t>0</w:t>
            </w:r>
          </w:p>
        </w:tc>
      </w:tr>
    </w:tbl>
    <w:p w:rsidR="00DE03B4" w:rsidRDefault="00DE03B4" w:rsidP="00DE03B4">
      <w:pPr>
        <w:pStyle w:val="Heading1"/>
      </w:pPr>
    </w:p>
    <w:p w:rsidR="00017F76" w:rsidRDefault="00017F76" w:rsidP="00DE03B4">
      <w:pPr>
        <w:pStyle w:val="Heading1"/>
      </w:pPr>
      <w:r>
        <w:lastRenderedPageBreak/>
        <w:t>Data Cleaning</w:t>
      </w:r>
    </w:p>
    <w:p w:rsidR="00DE03B4" w:rsidRPr="00DE03B4" w:rsidRDefault="00DE03B4" w:rsidP="00DE03B4">
      <w:pPr>
        <w:pStyle w:val="Heading5"/>
      </w:pPr>
      <w:r>
        <w:t>Canadian Income Survey 2018</w:t>
      </w:r>
    </w:p>
    <w:p w:rsidR="00DE03B4" w:rsidRDefault="00DE03B4" w:rsidP="00DE03B4">
      <w:r>
        <w:t>The original CIS 2018 data file had 94,336 rows and 192 columns. "Valid Skip" was used to indicate entries where the survey question was not applicable to the respondent, based on their answer to a previous question. Cleaning included the following steps:</w:t>
      </w:r>
    </w:p>
    <w:p w:rsidR="00DE03B4" w:rsidRDefault="00DE03B4" w:rsidP="00DE03B4">
      <w:pPr>
        <w:pStyle w:val="ListParagraph"/>
        <w:numPr>
          <w:ilvl w:val="0"/>
          <w:numId w:val="8"/>
        </w:numPr>
      </w:pPr>
      <w:r>
        <w:t>removing the year column, since this dataset is for a single year</w:t>
      </w:r>
    </w:p>
    <w:p w:rsidR="00DE03B4" w:rsidRDefault="00DE03B4" w:rsidP="00DE03B4">
      <w:pPr>
        <w:pStyle w:val="ListParagraph"/>
        <w:numPr>
          <w:ilvl w:val="0"/>
          <w:numId w:val="8"/>
        </w:numPr>
      </w:pPr>
      <w:r>
        <w:t>creating a subset with only the relevant columns</w:t>
      </w:r>
    </w:p>
    <w:p w:rsidR="00DE03B4" w:rsidRDefault="00DE03B4" w:rsidP="00DE03B4">
      <w:pPr>
        <w:pStyle w:val="ListParagraph"/>
        <w:numPr>
          <w:ilvl w:val="0"/>
          <w:numId w:val="8"/>
        </w:numPr>
      </w:pPr>
      <w:r>
        <w:t>renaming columns for clarity and consistent formatting</w:t>
      </w:r>
    </w:p>
    <w:p w:rsidR="00DE03B4" w:rsidRDefault="00DE03B4" w:rsidP="00DE03B4">
      <w:pPr>
        <w:pStyle w:val="ListParagraph"/>
        <w:numPr>
          <w:ilvl w:val="0"/>
          <w:numId w:val="8"/>
        </w:numPr>
      </w:pPr>
      <w:r>
        <w:t xml:space="preserve">replacing "Valid Skip" with </w:t>
      </w:r>
      <w:proofErr w:type="spellStart"/>
      <w:r>
        <w:t>NaN</w:t>
      </w:r>
      <w:proofErr w:type="spellEnd"/>
      <w:r>
        <w:t xml:space="preserve"> and converting the following object columns to numerical</w:t>
      </w:r>
    </w:p>
    <w:p w:rsidR="00DE03B4" w:rsidRDefault="00DE03B4" w:rsidP="00DE03B4">
      <w:pPr>
        <w:pStyle w:val="ListParagraph"/>
        <w:numPr>
          <w:ilvl w:val="1"/>
          <w:numId w:val="8"/>
        </w:numPr>
      </w:pPr>
      <w:r>
        <w:t>after-tax income</w:t>
      </w:r>
    </w:p>
    <w:p w:rsidR="00DE03B4" w:rsidRDefault="00DE03B4" w:rsidP="00DE03B4">
      <w:pPr>
        <w:pStyle w:val="ListParagraph"/>
        <w:numPr>
          <w:ilvl w:val="1"/>
          <w:numId w:val="8"/>
        </w:numPr>
      </w:pPr>
      <w:r>
        <w:t>monthly mortgage payment</w:t>
      </w:r>
    </w:p>
    <w:p w:rsidR="00DE03B4" w:rsidRDefault="00DE03B4" w:rsidP="00DE03B4">
      <w:pPr>
        <w:pStyle w:val="ListParagraph"/>
        <w:numPr>
          <w:ilvl w:val="1"/>
          <w:numId w:val="8"/>
        </w:numPr>
      </w:pPr>
      <w:r>
        <w:t>monthly condo fee</w:t>
      </w:r>
    </w:p>
    <w:p w:rsidR="00DE03B4" w:rsidRDefault="00DE03B4" w:rsidP="00DE03B4">
      <w:pPr>
        <w:pStyle w:val="ListParagraph"/>
        <w:numPr>
          <w:ilvl w:val="1"/>
          <w:numId w:val="8"/>
        </w:numPr>
      </w:pPr>
      <w:proofErr w:type="gramStart"/>
      <w:r>
        <w:t>monthly</w:t>
      </w:r>
      <w:proofErr w:type="gramEnd"/>
      <w:r>
        <w:t xml:space="preserve"> rent</w:t>
      </w:r>
      <w:r w:rsidR="00A9074F">
        <w:t>.</w:t>
      </w:r>
    </w:p>
    <w:p w:rsidR="00DE03B4" w:rsidRDefault="00DE03B4" w:rsidP="00DE03B4">
      <w:r>
        <w:t xml:space="preserve">No mixed-type columns were identified in the </w:t>
      </w:r>
      <w:proofErr w:type="spellStart"/>
      <w:r>
        <w:t>dataframe</w:t>
      </w:r>
      <w:proofErr w:type="spellEnd"/>
      <w:r>
        <w:t xml:space="preserve">. The only missing values identified in the data set were the responses that were a "valid skip." The only action taken for these was to replace 'valid skip' with </w:t>
      </w:r>
      <w:proofErr w:type="spellStart"/>
      <w:r>
        <w:t>NaN</w:t>
      </w:r>
      <w:proofErr w:type="spellEnd"/>
      <w:r>
        <w:t xml:space="preserve">. The final subset contains </w:t>
      </w:r>
      <w:r w:rsidR="00A9074F">
        <w:t>94336 rows and 24 columns.</w:t>
      </w:r>
    </w:p>
    <w:p w:rsidR="00DE03B4" w:rsidRDefault="00DE03B4" w:rsidP="00DE03B4">
      <w:pPr>
        <w:pStyle w:val="Heading5"/>
      </w:pPr>
      <w:r>
        <w:t>Nova Scotia Housing Market Indicators 1990-2016</w:t>
      </w:r>
    </w:p>
    <w:p w:rsidR="00DE03B4" w:rsidRDefault="00A9074F" w:rsidP="00DE03B4">
      <w:r>
        <w:t xml:space="preserve">The original data file was a formatted Excel spreadsheet. Some formatting was required in Excel to convert it to a </w:t>
      </w:r>
      <w:proofErr w:type="spellStart"/>
      <w:r>
        <w:t>csv</w:t>
      </w:r>
      <w:proofErr w:type="spellEnd"/>
      <w:r>
        <w:t xml:space="preserve"> file, namely consolidating headings and removing footnote rows. The import shape of the file was 35 rows and 28 columns. Cleaning involved the following steps:</w:t>
      </w:r>
    </w:p>
    <w:p w:rsidR="00A9074F" w:rsidRDefault="00A9074F" w:rsidP="00A9074F">
      <w:pPr>
        <w:pStyle w:val="ListParagraph"/>
        <w:numPr>
          <w:ilvl w:val="0"/>
          <w:numId w:val="9"/>
        </w:numPr>
      </w:pPr>
      <w:r>
        <w:t>transposing the data</w:t>
      </w:r>
    </w:p>
    <w:p w:rsidR="00A9074F" w:rsidRDefault="00A9074F" w:rsidP="00A9074F">
      <w:pPr>
        <w:pStyle w:val="ListParagraph"/>
        <w:numPr>
          <w:ilvl w:val="0"/>
          <w:numId w:val="9"/>
        </w:numPr>
      </w:pPr>
      <w:r>
        <w:t>renaming columns for clarity and consistent formatting</w:t>
      </w:r>
    </w:p>
    <w:p w:rsidR="00A9074F" w:rsidRDefault="00A9074F" w:rsidP="00A9074F">
      <w:pPr>
        <w:pStyle w:val="ListParagraph"/>
        <w:numPr>
          <w:ilvl w:val="0"/>
          <w:numId w:val="9"/>
        </w:numPr>
      </w:pPr>
      <w:proofErr w:type="gramStart"/>
      <w:r>
        <w:t>changing</w:t>
      </w:r>
      <w:proofErr w:type="gramEnd"/>
      <w:r>
        <w:t xml:space="preserve"> the data types for all columns from object to float.</w:t>
      </w:r>
    </w:p>
    <w:p w:rsidR="005435C6" w:rsidRDefault="00A9074F" w:rsidP="005435C6">
      <w:r>
        <w:t xml:space="preserve">Some columns contained missing </w:t>
      </w:r>
      <w:proofErr w:type="gramStart"/>
      <w:r>
        <w:t>data,</w:t>
      </w:r>
      <w:proofErr w:type="gramEnd"/>
      <w:r>
        <w:t xml:space="preserve"> however preliminary examination of the file in Excel indicated that not all variables were measured every year. Since this accounts for the missing values, no action was taken.</w:t>
      </w:r>
    </w:p>
    <w:p w:rsidR="002271CB" w:rsidRDefault="00C13A04" w:rsidP="00DE03B4">
      <w:pPr>
        <w:pStyle w:val="Heading1"/>
      </w:pPr>
      <w:r>
        <w:t>Data Profiles</w:t>
      </w:r>
    </w:p>
    <w:p w:rsidR="00015CA9" w:rsidRDefault="00015CA9" w:rsidP="00DE03B4">
      <w:pPr>
        <w:pStyle w:val="Heading5"/>
      </w:pPr>
      <w:r>
        <w:t>Canada Income Survey 2018</w:t>
      </w:r>
    </w:p>
    <w:p w:rsidR="00796E44" w:rsidRDefault="00E21F93" w:rsidP="00DE03B4">
      <w:r>
        <w:t xml:space="preserve">The </w:t>
      </w:r>
      <w:r w:rsidR="00246B41">
        <w:t>CIS</w:t>
      </w:r>
      <w:r>
        <w:t xml:space="preserve"> is collected by the Centre for Income and Socioeconomic Well-being Stati</w:t>
      </w:r>
      <w:r w:rsidR="000F6EFC">
        <w:t>stics within Statistics Canada</w:t>
      </w:r>
      <w:r>
        <w:t xml:space="preserve">. </w:t>
      </w:r>
      <w:r w:rsidR="000F6EFC">
        <w:t>It is</w:t>
      </w:r>
      <w:r>
        <w:t xml:space="preserve"> distributed </w:t>
      </w:r>
      <w:r w:rsidR="006D147F">
        <w:t xml:space="preserve">to a subset of respondents </w:t>
      </w:r>
      <w:r>
        <w:t xml:space="preserve">at the same time as the </w:t>
      </w:r>
      <w:proofErr w:type="spellStart"/>
      <w:r>
        <w:t>Labour</w:t>
      </w:r>
      <w:proofErr w:type="spellEnd"/>
      <w:r>
        <w:t xml:space="preserve"> Force Survey</w:t>
      </w:r>
      <w:r w:rsidR="006D147F">
        <w:t xml:space="preserve"> (LFS)</w:t>
      </w:r>
      <w:r>
        <w:t xml:space="preserve">. Data from the </w:t>
      </w:r>
      <w:r w:rsidR="006D147F">
        <w:t>LFS</w:t>
      </w:r>
      <w:r>
        <w:t xml:space="preserve"> is used to supplement the CIS questions</w:t>
      </w:r>
      <w:r w:rsidR="00796E44">
        <w:t>, and tax returns are used to complete many of the quantitative fields</w:t>
      </w:r>
      <w:r>
        <w:t>.</w:t>
      </w:r>
      <w:r w:rsidR="005353AC" w:rsidRPr="005353AC">
        <w:t xml:space="preserve"> </w:t>
      </w:r>
      <w:r w:rsidR="005353AC">
        <w:t xml:space="preserve">The </w:t>
      </w:r>
      <w:r w:rsidR="000F6EFC">
        <w:t xml:space="preserve">CIS </w:t>
      </w:r>
      <w:r w:rsidR="005353AC">
        <w:t xml:space="preserve">data includes a weighting factor which must be applied for the data to be representative of the Canadian population and not just this sample. </w:t>
      </w:r>
      <w:r w:rsidR="006D147F">
        <w:t xml:space="preserve">The </w:t>
      </w:r>
      <w:r w:rsidR="000F6EFC">
        <w:t>survey provides</w:t>
      </w:r>
      <w:r w:rsidR="006D147F">
        <w:t xml:space="preserve"> detailed information about the </w:t>
      </w:r>
      <w:r w:rsidR="00EC6F70">
        <w:t>respondents'</w:t>
      </w:r>
      <w:r w:rsidR="006D147F">
        <w:t xml:space="preserve"> income sources, </w:t>
      </w:r>
      <w:r w:rsidR="000F6EFC">
        <w:t>government benefits, household and housing</w:t>
      </w:r>
      <w:r w:rsidR="006D147F">
        <w:t xml:space="preserve">, and poverty indicators (e.g. food security, core housing needs, low income). </w:t>
      </w:r>
      <w:r w:rsidR="000F6EFC">
        <w:t xml:space="preserve">A subset of </w:t>
      </w:r>
      <w:proofErr w:type="spellStart"/>
      <w:r w:rsidR="000F6EFC">
        <w:t>anonymized</w:t>
      </w:r>
      <w:proofErr w:type="spellEnd"/>
      <w:r w:rsidR="000F6EFC">
        <w:t xml:space="preserve"> data is </w:t>
      </w:r>
      <w:r w:rsidR="000F6EFC">
        <w:lastRenderedPageBreak/>
        <w:t xml:space="preserve">available as a PUMF (public use </w:t>
      </w:r>
      <w:proofErr w:type="spellStart"/>
      <w:r w:rsidR="000F6EFC">
        <w:t>microdata</w:t>
      </w:r>
      <w:proofErr w:type="spellEnd"/>
      <w:r w:rsidR="000F6EFC">
        <w:t xml:space="preserve"> file) with both a data dictionary and a user guide. </w:t>
      </w:r>
      <w:r w:rsidR="00796E44">
        <w:t>The user guide is the source of most of the information for this profile.</w:t>
      </w:r>
    </w:p>
    <w:p w:rsidR="000F6EFC" w:rsidRDefault="005E1DB0" w:rsidP="00DE03B4">
      <w:r>
        <w:t xml:space="preserve">The public use data for the 2020 Canadian Income Survey has not been released yet, but the public use data for the 2018 Canadian Income Survey was released January 5, 2022. </w:t>
      </w:r>
      <w:r w:rsidR="006D147F">
        <w:t xml:space="preserve">While there is a lag, this is the most </w:t>
      </w:r>
      <w:r w:rsidR="000F6EFC">
        <w:t>recent</w:t>
      </w:r>
      <w:r w:rsidR="006D147F">
        <w:t xml:space="preserve"> dataset available from Statistics Canada. </w:t>
      </w:r>
    </w:p>
    <w:p w:rsidR="000F6EFC" w:rsidRDefault="00CE16D9" w:rsidP="00DE03B4">
      <w:pPr>
        <w:rPr>
          <w:lang w:val="en-CA"/>
        </w:rPr>
      </w:pPr>
      <w:r>
        <w:t xml:space="preserve">The data is organized by survey respondents (people), but does contain flags to extract data for entire households. </w:t>
      </w:r>
      <w:r w:rsidR="007E3D7E">
        <w:t xml:space="preserve">This data was cleaned and imputed by Statistics Canada before being released. </w:t>
      </w:r>
      <w:r w:rsidR="000F6EFC">
        <w:rPr>
          <w:lang w:val="en-CA"/>
        </w:rPr>
        <w:t>All</w:t>
      </w:r>
      <w:r w:rsidR="000F6EFC" w:rsidRPr="00707519">
        <w:rPr>
          <w:lang w:val="en-CA"/>
        </w:rPr>
        <w:t xml:space="preserve"> personally identifying data was stripped before the data was released. </w:t>
      </w:r>
      <w:r w:rsidR="000F6EFC">
        <w:rPr>
          <w:lang w:val="en-CA"/>
        </w:rPr>
        <w:t xml:space="preserve">Statistics Canada's data security is legislated by the Statistics Act. </w:t>
      </w:r>
      <w:r w:rsidR="000F6EFC" w:rsidRPr="00707519">
        <w:rPr>
          <w:lang w:val="en-CA"/>
        </w:rPr>
        <w:t xml:space="preserve">Privacy concerns have been addressed by </w:t>
      </w:r>
      <w:r w:rsidR="000F6EFC">
        <w:rPr>
          <w:lang w:val="en-CA"/>
        </w:rPr>
        <w:t>Statistics Canada</w:t>
      </w:r>
      <w:r w:rsidR="000F6EFC" w:rsidRPr="00707519">
        <w:rPr>
          <w:lang w:val="en-CA"/>
        </w:rPr>
        <w:t xml:space="preserve"> to ensure that the data is in compliance with confidentiality requirements of the Statistics Act.</w:t>
      </w:r>
      <w:r w:rsidR="000F6EFC">
        <w:rPr>
          <w:lang w:val="en-CA"/>
        </w:rPr>
        <w:t xml:space="preserve"> </w:t>
      </w:r>
      <w:r w:rsidR="00EC6F70">
        <w:rPr>
          <w:lang w:val="en-CA"/>
        </w:rPr>
        <w:t>Among the measures taken, p</w:t>
      </w:r>
      <w:r w:rsidR="000F6EFC">
        <w:rPr>
          <w:lang w:val="en-CA"/>
        </w:rPr>
        <w:t xml:space="preserve">ersonally Identifiable Information (PII) has been removed, </w:t>
      </w:r>
      <w:r w:rsidR="00EC6F70">
        <w:rPr>
          <w:lang w:val="en-CA"/>
        </w:rPr>
        <w:t xml:space="preserve">some data has been aggregated, quantitative data outliers, which could be PII, have been replaced, noise has been added to the data, and some data has been swapped. </w:t>
      </w:r>
    </w:p>
    <w:p w:rsidR="007E3D7E" w:rsidRDefault="00EC6F70" w:rsidP="00DE03B4">
      <w:r>
        <w:t>T</w:t>
      </w:r>
      <w:r w:rsidR="007E3D7E">
        <w:t xml:space="preserve">he quality and trustworthiness </w:t>
      </w:r>
      <w:r>
        <w:t xml:space="preserve">of this data </w:t>
      </w:r>
      <w:r w:rsidR="007E3D7E">
        <w:t xml:space="preserve">are high. The original data was released in separate micro- and </w:t>
      </w:r>
      <w:proofErr w:type="spellStart"/>
      <w:r w:rsidR="007E3D7E">
        <w:t>macrodata</w:t>
      </w:r>
      <w:proofErr w:type="spellEnd"/>
      <w:r w:rsidR="007E3D7E">
        <w:t xml:space="preserve"> files, but a consolidated copy was available from the Abacus Data Network (a collaborative data repository maintained by four university libraries in British Columbia.</w:t>
      </w:r>
      <w:r w:rsidR="00B77F12">
        <w:t xml:space="preserve"> The data was downloaded in SPSS format, opened in SPSS software and exported to a </w:t>
      </w:r>
      <w:proofErr w:type="spellStart"/>
      <w:r w:rsidR="00B77F12">
        <w:t>csv</w:t>
      </w:r>
      <w:proofErr w:type="spellEnd"/>
      <w:r w:rsidR="00B77F12">
        <w:t xml:space="preserve"> for import to Python.</w:t>
      </w:r>
    </w:p>
    <w:p w:rsidR="00707519" w:rsidRPr="00707519" w:rsidRDefault="00EC6F70" w:rsidP="00DE03B4">
      <w:pPr>
        <w:rPr>
          <w:lang w:val="en-CA"/>
        </w:rPr>
      </w:pPr>
      <w:r>
        <w:rPr>
          <w:lang w:val="en-CA"/>
        </w:rPr>
        <w:t>The CIS was chosen as a</w:t>
      </w:r>
      <w:r w:rsidR="00707519" w:rsidRPr="00707519">
        <w:rPr>
          <w:lang w:val="en-CA"/>
        </w:rPr>
        <w:t xml:space="preserve"> dataset was chosen because it has continuous and categorical variables related to income and housing</w:t>
      </w:r>
      <w:r>
        <w:rPr>
          <w:lang w:val="en-CA"/>
        </w:rPr>
        <w:t xml:space="preserve"> for all of the provinces and territories in Canada. </w:t>
      </w:r>
      <w:r w:rsidR="001A3649">
        <w:rPr>
          <w:lang w:val="en-CA"/>
        </w:rPr>
        <w:t>A subset of the PUMF data has been selected for analysis, and a</w:t>
      </w:r>
      <w:r w:rsidR="00F12E59">
        <w:rPr>
          <w:lang w:val="en-CA"/>
        </w:rPr>
        <w:t xml:space="preserve"> data profile is found in Table 2.</w:t>
      </w:r>
    </w:p>
    <w:p w:rsidR="005353AC" w:rsidRDefault="007E3D7E" w:rsidP="00DE03B4">
      <w:r>
        <w:t xml:space="preserve">File Citation: </w:t>
      </w:r>
      <w:r w:rsidRPr="007E3D7E">
        <w:t>Statistics Canada, 2022, "CIS2018</w:t>
      </w:r>
      <w:r w:rsidR="00BA47AC">
        <w:t xml:space="preserve"> </w:t>
      </w:r>
      <w:r w:rsidRPr="007E3D7E">
        <w:t>SPSS</w:t>
      </w:r>
      <w:r w:rsidR="00BA47AC">
        <w:t xml:space="preserve"> </w:t>
      </w:r>
      <w:r w:rsidRPr="007E3D7E">
        <w:t>sav.zip", Canadian Income Survey, 2018, https://hdl.handle.net/11272.1/AB2/G6T0LC/RAD63D, Abacus Data Network, V1</w:t>
      </w:r>
    </w:p>
    <w:p w:rsidR="00425C7D" w:rsidRDefault="007E3D7E" w:rsidP="00DE03B4">
      <w:r>
        <w:t xml:space="preserve">Dataset Citation: </w:t>
      </w:r>
      <w:r w:rsidR="00336A75" w:rsidRPr="00336A75">
        <w:t>Statistics Canada, 2022, "Canadian Income Survey, 2018", https://hdl.handle.net/11272.1/AB2/G6T0LC, Abacus Data Network, V1, UNF</w:t>
      </w:r>
      <w:proofErr w:type="gramStart"/>
      <w:r w:rsidR="00336A75" w:rsidRPr="00336A75">
        <w:t>:6:RlzI4LxHQ</w:t>
      </w:r>
      <w:proofErr w:type="gramEnd"/>
      <w:r w:rsidR="00336A75" w:rsidRPr="00336A75">
        <w:t>+ZRmY8Hn85cuw== [</w:t>
      </w:r>
      <w:proofErr w:type="spellStart"/>
      <w:r w:rsidR="00336A75" w:rsidRPr="00336A75">
        <w:t>fileUNF</w:t>
      </w:r>
      <w:proofErr w:type="spellEnd"/>
      <w:r w:rsidR="00336A75" w:rsidRPr="00336A75">
        <w:t>]</w:t>
      </w:r>
    </w:p>
    <w:p w:rsidR="00BA47AC" w:rsidRDefault="00BA47AC" w:rsidP="00DE03B4"/>
    <w:p w:rsidR="006A3AA6" w:rsidRDefault="006A3AA6" w:rsidP="009641E1">
      <w:pPr>
        <w:pStyle w:val="Caption"/>
        <w:spacing w:after="0"/>
      </w:pPr>
      <w:r>
        <w:t xml:space="preserve">Table </w:t>
      </w:r>
      <w:fldSimple w:instr=" SEQ Table \* ARABIC ">
        <w:r w:rsidR="00EF7C07">
          <w:rPr>
            <w:noProof/>
          </w:rPr>
          <w:t>2</w:t>
        </w:r>
      </w:fldSimple>
      <w:r>
        <w:t>: Data Profile for CIS 2018 Data Selected for Analysis</w:t>
      </w:r>
    </w:p>
    <w:tbl>
      <w:tblPr>
        <w:tblStyle w:val="LightShading1"/>
        <w:tblW w:w="9195" w:type="dxa"/>
        <w:tblLook w:val="04A0"/>
      </w:tblPr>
      <w:tblGrid>
        <w:gridCol w:w="3441"/>
        <w:gridCol w:w="1305"/>
        <w:gridCol w:w="1267"/>
        <w:gridCol w:w="174"/>
        <w:gridCol w:w="1093"/>
        <w:gridCol w:w="93"/>
        <w:gridCol w:w="1605"/>
        <w:gridCol w:w="217"/>
      </w:tblGrid>
      <w:tr w:rsidR="006A3AA6" w:rsidTr="00BD01F1">
        <w:trPr>
          <w:gridAfter w:val="1"/>
          <w:cnfStyle w:val="100000000000"/>
          <w:wAfter w:w="217" w:type="dxa"/>
          <w:cantSplit/>
          <w:tblHeader/>
        </w:trPr>
        <w:tc>
          <w:tcPr>
            <w:cnfStyle w:val="001000000000"/>
            <w:tcW w:w="3441" w:type="dxa"/>
            <w:vAlign w:val="bottom"/>
          </w:tcPr>
          <w:p w:rsidR="00BD01F1" w:rsidRDefault="00017F76" w:rsidP="00BD01F1">
            <w:pPr>
              <w:jc w:val="center"/>
            </w:pPr>
            <w:r>
              <w:t>Column</w:t>
            </w:r>
          </w:p>
          <w:p w:rsidR="00017F76" w:rsidRDefault="00220F09" w:rsidP="00BD01F1">
            <w:pPr>
              <w:jc w:val="center"/>
            </w:pPr>
            <w:r>
              <w:t>(description for non-obvious columns)</w:t>
            </w:r>
          </w:p>
        </w:tc>
        <w:tc>
          <w:tcPr>
            <w:tcW w:w="2746" w:type="dxa"/>
            <w:gridSpan w:val="3"/>
            <w:vAlign w:val="bottom"/>
          </w:tcPr>
          <w:p w:rsidR="00017F76" w:rsidRDefault="00017F76" w:rsidP="00BD01F1">
            <w:pPr>
              <w:jc w:val="center"/>
              <w:cnfStyle w:val="100000000000"/>
            </w:pPr>
            <w:r>
              <w:t>Type</w:t>
            </w:r>
          </w:p>
        </w:tc>
        <w:tc>
          <w:tcPr>
            <w:tcW w:w="1186" w:type="dxa"/>
            <w:gridSpan w:val="2"/>
            <w:vAlign w:val="bottom"/>
          </w:tcPr>
          <w:p w:rsidR="00017F76" w:rsidRDefault="00017F76" w:rsidP="00BD01F1">
            <w:pPr>
              <w:jc w:val="center"/>
              <w:cnfStyle w:val="100000000000"/>
            </w:pPr>
            <w:r>
              <w:t>Structured</w:t>
            </w:r>
          </w:p>
        </w:tc>
        <w:tc>
          <w:tcPr>
            <w:tcW w:w="1605" w:type="dxa"/>
            <w:vAlign w:val="bottom"/>
          </w:tcPr>
          <w:p w:rsidR="006A3AA6" w:rsidRDefault="00017F76" w:rsidP="00BD01F1">
            <w:pPr>
              <w:jc w:val="center"/>
              <w:cnfStyle w:val="100000000000"/>
            </w:pPr>
            <w:r>
              <w:t>Time-variant</w:t>
            </w:r>
            <w:r w:rsidR="006A3AA6">
              <w:t xml:space="preserve"> (V)</w:t>
            </w:r>
          </w:p>
          <w:p w:rsidR="00017F76" w:rsidRDefault="00017F76" w:rsidP="00BD01F1">
            <w:pPr>
              <w:jc w:val="center"/>
              <w:cnfStyle w:val="100000000000"/>
            </w:pPr>
            <w:r>
              <w:t>or invariant (I)</w:t>
            </w:r>
          </w:p>
        </w:tc>
      </w:tr>
      <w:tr w:rsidR="006A3AA6" w:rsidTr="00BA47AC">
        <w:trPr>
          <w:cnfStyle w:val="000000100000"/>
        </w:trPr>
        <w:tc>
          <w:tcPr>
            <w:cnfStyle w:val="001000000000"/>
            <w:tcW w:w="3441" w:type="dxa"/>
          </w:tcPr>
          <w:p w:rsidR="00220F09" w:rsidRPr="005435C6" w:rsidRDefault="00017F76" w:rsidP="00BA47AC">
            <w:pPr>
              <w:jc w:val="left"/>
              <w:rPr>
                <w:b w:val="0"/>
              </w:rPr>
            </w:pPr>
            <w:r w:rsidRPr="005435C6">
              <w:rPr>
                <w:b w:val="0"/>
              </w:rPr>
              <w:t>household</w:t>
            </w:r>
            <w:r w:rsidR="00BA47AC">
              <w:rPr>
                <w:b w:val="0"/>
              </w:rPr>
              <w:t xml:space="preserve"> </w:t>
            </w:r>
            <w:r w:rsidRPr="005435C6">
              <w:rPr>
                <w:b w:val="0"/>
              </w:rPr>
              <w:t xml:space="preserve">id </w:t>
            </w:r>
          </w:p>
          <w:p w:rsidR="00017F76" w:rsidRPr="005435C6" w:rsidRDefault="00017F76" w:rsidP="00BA47AC">
            <w:pPr>
              <w:jc w:val="left"/>
              <w:rPr>
                <w:b w:val="0"/>
              </w:rPr>
            </w:pPr>
            <w:r w:rsidRPr="005435C6">
              <w:rPr>
                <w:b w:val="0"/>
              </w:rPr>
              <w:t>(identifier for the household respondent belongs to)</w:t>
            </w:r>
          </w:p>
        </w:tc>
        <w:tc>
          <w:tcPr>
            <w:tcW w:w="1305" w:type="dxa"/>
          </w:tcPr>
          <w:p w:rsidR="00017F76" w:rsidRDefault="00220F09" w:rsidP="00DE03B4">
            <w:pPr>
              <w:cnfStyle w:val="000000100000"/>
            </w:pPr>
            <w:r>
              <w:t>qualitative</w:t>
            </w:r>
          </w:p>
        </w:tc>
        <w:tc>
          <w:tcPr>
            <w:tcW w:w="1267" w:type="dxa"/>
          </w:tcPr>
          <w:p w:rsidR="00017F76" w:rsidRDefault="00220F09" w:rsidP="00DE03B4">
            <w:pPr>
              <w:cnfStyle w:val="000000100000"/>
            </w:pPr>
            <w:r>
              <w:t>ordinal</w:t>
            </w:r>
          </w:p>
        </w:tc>
        <w:tc>
          <w:tcPr>
            <w:tcW w:w="1267" w:type="dxa"/>
            <w:gridSpan w:val="2"/>
          </w:tcPr>
          <w:p w:rsidR="00017F76" w:rsidRDefault="00220F09" w:rsidP="00DE03B4">
            <w:pPr>
              <w:cnfStyle w:val="000000100000"/>
            </w:pPr>
            <w:r>
              <w:t>structured</w:t>
            </w:r>
          </w:p>
        </w:tc>
        <w:tc>
          <w:tcPr>
            <w:tcW w:w="1915" w:type="dxa"/>
            <w:gridSpan w:val="3"/>
          </w:tcPr>
          <w:p w:rsidR="00017F76" w:rsidRDefault="00017F76" w:rsidP="00BA47AC">
            <w:pPr>
              <w:jc w:val="center"/>
              <w:cnfStyle w:val="000000100000"/>
            </w:pPr>
            <w:r>
              <w:t>I</w:t>
            </w:r>
          </w:p>
        </w:tc>
      </w:tr>
      <w:tr w:rsidR="006A3AA6" w:rsidTr="00BA47AC">
        <w:tc>
          <w:tcPr>
            <w:cnfStyle w:val="001000000000"/>
            <w:tcW w:w="3441" w:type="dxa"/>
          </w:tcPr>
          <w:p w:rsidR="00220F09" w:rsidRPr="005435C6" w:rsidRDefault="00297E2E" w:rsidP="00BA47AC">
            <w:pPr>
              <w:jc w:val="left"/>
              <w:rPr>
                <w:b w:val="0"/>
              </w:rPr>
            </w:pPr>
            <w:r w:rsidRPr="005435C6">
              <w:rPr>
                <w:b w:val="0"/>
              </w:rPr>
              <w:t>person</w:t>
            </w:r>
            <w:r w:rsidR="00BA47AC">
              <w:rPr>
                <w:b w:val="0"/>
              </w:rPr>
              <w:t xml:space="preserve"> </w:t>
            </w:r>
            <w:r w:rsidRPr="005435C6">
              <w:rPr>
                <w:b w:val="0"/>
              </w:rPr>
              <w:t>id</w:t>
            </w:r>
          </w:p>
          <w:p w:rsidR="00297E2E" w:rsidRPr="005435C6" w:rsidRDefault="00297E2E" w:rsidP="00BA47AC">
            <w:pPr>
              <w:jc w:val="left"/>
              <w:rPr>
                <w:b w:val="0"/>
              </w:rPr>
            </w:pPr>
            <w:r w:rsidRPr="005435C6">
              <w:rPr>
                <w:b w:val="0"/>
              </w:rPr>
              <w:t>( identifier for the individual)</w:t>
            </w:r>
          </w:p>
        </w:tc>
        <w:tc>
          <w:tcPr>
            <w:tcW w:w="1305" w:type="dxa"/>
          </w:tcPr>
          <w:p w:rsidR="00297E2E" w:rsidRDefault="00220F09" w:rsidP="00DE03B4">
            <w:pPr>
              <w:cnfStyle w:val="000000000000"/>
            </w:pPr>
            <w:r>
              <w:t xml:space="preserve">qualitative </w:t>
            </w:r>
          </w:p>
        </w:tc>
        <w:tc>
          <w:tcPr>
            <w:tcW w:w="1267" w:type="dxa"/>
          </w:tcPr>
          <w:p w:rsidR="00297E2E" w:rsidRDefault="00220F09" w:rsidP="00DE03B4">
            <w:pPr>
              <w:cnfStyle w:val="000000000000"/>
            </w:pPr>
            <w:r>
              <w:t>ordinal</w:t>
            </w:r>
          </w:p>
        </w:tc>
        <w:tc>
          <w:tcPr>
            <w:tcW w:w="1267" w:type="dxa"/>
            <w:gridSpan w:val="2"/>
          </w:tcPr>
          <w:p w:rsidR="00297E2E" w:rsidRDefault="00220F09" w:rsidP="00DE03B4">
            <w:pPr>
              <w:cnfStyle w:val="000000000000"/>
            </w:pPr>
            <w:r>
              <w:t>structured</w:t>
            </w:r>
          </w:p>
        </w:tc>
        <w:tc>
          <w:tcPr>
            <w:tcW w:w="1915" w:type="dxa"/>
            <w:gridSpan w:val="3"/>
          </w:tcPr>
          <w:p w:rsidR="00297E2E" w:rsidRDefault="00297E2E" w:rsidP="00BA47AC">
            <w:pPr>
              <w:jc w:val="center"/>
              <w:cnfStyle w:val="000000000000"/>
            </w:pPr>
            <w:r>
              <w:t>I</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sample</w:t>
            </w:r>
            <w:r w:rsidR="00BA47AC">
              <w:rPr>
                <w:b w:val="0"/>
              </w:rPr>
              <w:t xml:space="preserve"> </w:t>
            </w:r>
            <w:r w:rsidRPr="005435C6">
              <w:rPr>
                <w:b w:val="0"/>
              </w:rPr>
              <w:t>weight</w:t>
            </w:r>
          </w:p>
          <w:p w:rsidR="00297E2E" w:rsidRPr="005435C6" w:rsidRDefault="00297E2E" w:rsidP="00BA47AC">
            <w:pPr>
              <w:jc w:val="left"/>
              <w:rPr>
                <w:b w:val="0"/>
              </w:rPr>
            </w:pPr>
            <w:r w:rsidRPr="005435C6">
              <w:rPr>
                <w:b w:val="0"/>
              </w:rPr>
              <w:t>(weight to apply sample value to entire population)</w:t>
            </w:r>
          </w:p>
        </w:tc>
        <w:tc>
          <w:tcPr>
            <w:tcW w:w="1305" w:type="dxa"/>
          </w:tcPr>
          <w:p w:rsidR="00297E2E" w:rsidRDefault="00220F09" w:rsidP="00DE03B4">
            <w:pPr>
              <w:cnfStyle w:val="000000100000"/>
            </w:pPr>
            <w:r>
              <w:t>quantitative</w:t>
            </w:r>
          </w:p>
          <w:p w:rsidR="00220F09" w:rsidRDefault="00220F09" w:rsidP="00DE03B4">
            <w:pPr>
              <w:cnfStyle w:val="000000100000"/>
            </w:pPr>
          </w:p>
        </w:tc>
        <w:tc>
          <w:tcPr>
            <w:tcW w:w="1267" w:type="dxa"/>
          </w:tcPr>
          <w:p w:rsidR="00297E2E" w:rsidRDefault="00220F09" w:rsidP="00DE03B4">
            <w:pPr>
              <w:cnfStyle w:val="000000100000"/>
            </w:pPr>
            <w:r>
              <w:t>continuous</w:t>
            </w:r>
          </w:p>
        </w:tc>
        <w:tc>
          <w:tcPr>
            <w:tcW w:w="1267" w:type="dxa"/>
            <w:gridSpan w:val="2"/>
          </w:tcPr>
          <w:p w:rsidR="00297E2E" w:rsidRDefault="00220F09" w:rsidP="00DE03B4">
            <w:pPr>
              <w:cnfStyle w:val="000000100000"/>
            </w:pPr>
            <w:r>
              <w:t>structured</w:t>
            </w:r>
          </w:p>
        </w:tc>
        <w:tc>
          <w:tcPr>
            <w:tcW w:w="1915" w:type="dxa"/>
            <w:gridSpan w:val="3"/>
          </w:tcPr>
          <w:p w:rsidR="00297E2E" w:rsidRDefault="00297E2E" w:rsidP="00BA47AC">
            <w:pPr>
              <w:jc w:val="center"/>
              <w:cnfStyle w:val="000000100000"/>
            </w:pPr>
            <w:r>
              <w:t>I</w:t>
            </w:r>
          </w:p>
        </w:tc>
      </w:tr>
      <w:tr w:rsidR="006A3AA6" w:rsidTr="00BD01F1">
        <w:tc>
          <w:tcPr>
            <w:cnfStyle w:val="001000000000"/>
            <w:tcW w:w="3441" w:type="dxa"/>
            <w:vAlign w:val="bottom"/>
          </w:tcPr>
          <w:p w:rsidR="00297E2E" w:rsidRPr="005435C6" w:rsidRDefault="00297E2E" w:rsidP="00BD01F1">
            <w:pPr>
              <w:jc w:val="center"/>
              <w:rPr>
                <w:b w:val="0"/>
              </w:rPr>
            </w:pPr>
            <w:r w:rsidRPr="005435C6">
              <w:rPr>
                <w:b w:val="0"/>
              </w:rPr>
              <w:lastRenderedPageBreak/>
              <w:t>Province</w:t>
            </w:r>
          </w:p>
        </w:tc>
        <w:tc>
          <w:tcPr>
            <w:tcW w:w="1305" w:type="dxa"/>
          </w:tcPr>
          <w:p w:rsidR="00297E2E" w:rsidRDefault="00220F09" w:rsidP="00DE03B4">
            <w:pPr>
              <w:cnfStyle w:val="000000000000"/>
            </w:pPr>
            <w:r>
              <w:t xml:space="preserve">qualitative </w:t>
            </w:r>
          </w:p>
        </w:tc>
        <w:tc>
          <w:tcPr>
            <w:tcW w:w="1267" w:type="dxa"/>
          </w:tcPr>
          <w:p w:rsidR="00297E2E" w:rsidRDefault="00220F09" w:rsidP="00DE03B4">
            <w:pPr>
              <w:cnfStyle w:val="000000000000"/>
            </w:pPr>
            <w:r>
              <w:t>nominal</w:t>
            </w:r>
          </w:p>
        </w:tc>
        <w:tc>
          <w:tcPr>
            <w:tcW w:w="1267" w:type="dxa"/>
            <w:gridSpan w:val="2"/>
          </w:tcPr>
          <w:p w:rsidR="00297E2E" w:rsidRDefault="00220F09" w:rsidP="00DE03B4">
            <w:pPr>
              <w:cnfStyle w:val="000000000000"/>
            </w:pPr>
            <w:r>
              <w:t>structured</w:t>
            </w:r>
          </w:p>
        </w:tc>
        <w:tc>
          <w:tcPr>
            <w:tcW w:w="1915" w:type="dxa"/>
            <w:gridSpan w:val="3"/>
          </w:tcPr>
          <w:p w:rsidR="00297E2E" w:rsidRDefault="00297E2E" w:rsidP="00BA47AC">
            <w:pPr>
              <w:jc w:val="center"/>
              <w:cnfStyle w:val="000000000000"/>
            </w:pPr>
            <w:r>
              <w:t>V</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age</w:t>
            </w:r>
            <w:r w:rsidR="00BA47AC">
              <w:rPr>
                <w:b w:val="0"/>
              </w:rPr>
              <w:t xml:space="preserve"> </w:t>
            </w:r>
            <w:r w:rsidRPr="005435C6">
              <w:rPr>
                <w:b w:val="0"/>
              </w:rPr>
              <w:t>group</w:t>
            </w:r>
          </w:p>
          <w:p w:rsidR="00297E2E" w:rsidRPr="005435C6" w:rsidRDefault="00297E2E" w:rsidP="00BA47AC">
            <w:pPr>
              <w:jc w:val="left"/>
              <w:rPr>
                <w:b w:val="0"/>
              </w:rPr>
            </w:pPr>
            <w:r w:rsidRPr="005435C6">
              <w:rPr>
                <w:b w:val="0"/>
              </w:rPr>
              <w:t>(as of December 31, 2018)</w:t>
            </w:r>
          </w:p>
        </w:tc>
        <w:tc>
          <w:tcPr>
            <w:tcW w:w="1305" w:type="dxa"/>
          </w:tcPr>
          <w:p w:rsidR="00297E2E" w:rsidRDefault="00220F09" w:rsidP="00DE03B4">
            <w:pPr>
              <w:cnfStyle w:val="000000100000"/>
            </w:pPr>
            <w:r>
              <w:t xml:space="preserve">qualitative </w:t>
            </w:r>
          </w:p>
        </w:tc>
        <w:tc>
          <w:tcPr>
            <w:tcW w:w="1267" w:type="dxa"/>
          </w:tcPr>
          <w:p w:rsidR="00297E2E" w:rsidRDefault="00220F09" w:rsidP="00DE03B4">
            <w:pPr>
              <w:cnfStyle w:val="000000100000"/>
            </w:pPr>
            <w:r>
              <w:t>ordinal</w:t>
            </w:r>
          </w:p>
        </w:tc>
        <w:tc>
          <w:tcPr>
            <w:tcW w:w="1267" w:type="dxa"/>
            <w:gridSpan w:val="2"/>
          </w:tcPr>
          <w:p w:rsidR="00297E2E" w:rsidRDefault="00220F09" w:rsidP="00DE03B4">
            <w:pPr>
              <w:cnfStyle w:val="000000100000"/>
            </w:pPr>
            <w:r>
              <w:t>structured</w:t>
            </w:r>
          </w:p>
        </w:tc>
        <w:tc>
          <w:tcPr>
            <w:tcW w:w="1915" w:type="dxa"/>
            <w:gridSpan w:val="3"/>
          </w:tcPr>
          <w:p w:rsidR="00297E2E" w:rsidRDefault="00297E2E"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Gender</w:t>
            </w:r>
          </w:p>
        </w:tc>
        <w:tc>
          <w:tcPr>
            <w:tcW w:w="1305" w:type="dxa"/>
          </w:tcPr>
          <w:p w:rsidR="00297E2E" w:rsidRDefault="00220F09" w:rsidP="00DE03B4">
            <w:pPr>
              <w:cnfStyle w:val="000000000000"/>
            </w:pPr>
            <w:r>
              <w:t xml:space="preserve">qualitative </w:t>
            </w:r>
          </w:p>
        </w:tc>
        <w:tc>
          <w:tcPr>
            <w:tcW w:w="1267" w:type="dxa"/>
          </w:tcPr>
          <w:p w:rsidR="00297E2E" w:rsidRDefault="00220F09" w:rsidP="00DE03B4">
            <w:pPr>
              <w:cnfStyle w:val="000000000000"/>
            </w:pPr>
            <w:r>
              <w:t>binary</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97E2E" w:rsidRPr="005435C6" w:rsidRDefault="00297E2E" w:rsidP="00BA47AC">
            <w:pPr>
              <w:jc w:val="left"/>
              <w:rPr>
                <w:b w:val="0"/>
              </w:rPr>
            </w:pPr>
            <w:r w:rsidRPr="005435C6">
              <w:rPr>
                <w:b w:val="0"/>
              </w:rPr>
              <w:t>marital</w:t>
            </w:r>
            <w:r w:rsidR="00BA47AC">
              <w:rPr>
                <w:b w:val="0"/>
              </w:rPr>
              <w:t xml:space="preserve"> </w:t>
            </w:r>
            <w:r w:rsidRPr="005435C6">
              <w:rPr>
                <w:b w:val="0"/>
              </w:rPr>
              <w:t>status</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nominal</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after</w:t>
            </w:r>
            <w:r w:rsidR="00BA47AC">
              <w:rPr>
                <w:b w:val="0"/>
              </w:rPr>
              <w:t xml:space="preserve"> </w:t>
            </w:r>
            <w:r w:rsidRPr="005435C6">
              <w:rPr>
                <w:b w:val="0"/>
              </w:rPr>
              <w:t>tax</w:t>
            </w:r>
            <w:r w:rsidR="00BA47AC">
              <w:rPr>
                <w:b w:val="0"/>
              </w:rPr>
              <w:t xml:space="preserve"> </w:t>
            </w:r>
            <w:r w:rsidRPr="005435C6">
              <w:rPr>
                <w:b w:val="0"/>
              </w:rPr>
              <w:t>income</w:t>
            </w:r>
          </w:p>
        </w:tc>
        <w:tc>
          <w:tcPr>
            <w:tcW w:w="1305" w:type="dxa"/>
          </w:tcPr>
          <w:p w:rsidR="00297E2E" w:rsidRDefault="00220F09" w:rsidP="00DE03B4">
            <w:pPr>
              <w:cnfStyle w:val="000000000000"/>
            </w:pPr>
            <w:r>
              <w:t>quantitative</w:t>
            </w:r>
          </w:p>
        </w:tc>
        <w:tc>
          <w:tcPr>
            <w:tcW w:w="1267" w:type="dxa"/>
          </w:tcPr>
          <w:p w:rsidR="00297E2E" w:rsidRDefault="00220F09" w:rsidP="00DE03B4">
            <w:pPr>
              <w:cnfStyle w:val="000000000000"/>
            </w:pPr>
            <w:r>
              <w:t>continuous</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97E2E" w:rsidRPr="005435C6" w:rsidRDefault="00297E2E" w:rsidP="00BA47AC">
            <w:pPr>
              <w:jc w:val="left"/>
              <w:rPr>
                <w:b w:val="0"/>
              </w:rPr>
            </w:pPr>
            <w:r w:rsidRPr="005435C6">
              <w:rPr>
                <w:b w:val="0"/>
              </w:rPr>
              <w:t>household</w:t>
            </w:r>
            <w:r w:rsidR="00BA47AC">
              <w:rPr>
                <w:b w:val="0"/>
              </w:rPr>
              <w:t xml:space="preserve"> </w:t>
            </w:r>
            <w:r w:rsidRPr="005435C6">
              <w:rPr>
                <w:b w:val="0"/>
              </w:rPr>
              <w:t>size</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nominal</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household</w:t>
            </w:r>
            <w:r w:rsidR="00BA47AC">
              <w:rPr>
                <w:b w:val="0"/>
              </w:rPr>
              <w:t xml:space="preserve"> </w:t>
            </w:r>
            <w:r w:rsidRPr="005435C6">
              <w:rPr>
                <w:b w:val="0"/>
              </w:rPr>
              <w:t>composition</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nominal</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household</w:t>
            </w:r>
            <w:r w:rsidR="00BA47AC">
              <w:rPr>
                <w:b w:val="0"/>
              </w:rPr>
              <w:t xml:space="preserve"> </w:t>
            </w:r>
            <w:r w:rsidRPr="005435C6">
              <w:rPr>
                <w:b w:val="0"/>
              </w:rPr>
              <w:t>maj</w:t>
            </w:r>
            <w:r w:rsidR="00BA47AC">
              <w:rPr>
                <w:b w:val="0"/>
              </w:rPr>
              <w:t xml:space="preserve">or </w:t>
            </w:r>
            <w:r w:rsidRPr="005435C6">
              <w:rPr>
                <w:b w:val="0"/>
              </w:rPr>
              <w:t>income</w:t>
            </w:r>
            <w:r w:rsidR="00BA47AC">
              <w:rPr>
                <w:b w:val="0"/>
              </w:rPr>
              <w:t xml:space="preserve"> </w:t>
            </w:r>
            <w:r w:rsidRPr="005435C6">
              <w:rPr>
                <w:b w:val="0"/>
              </w:rPr>
              <w:t>flag</w:t>
            </w:r>
          </w:p>
          <w:p w:rsidR="00297E2E" w:rsidRPr="005435C6" w:rsidRDefault="00297E2E" w:rsidP="00BA47AC">
            <w:pPr>
              <w:jc w:val="left"/>
              <w:rPr>
                <w:b w:val="0"/>
              </w:rPr>
            </w:pPr>
            <w:r w:rsidRPr="005435C6">
              <w:rPr>
                <w:b w:val="0"/>
              </w:rPr>
              <w:t>(flags the major income earner of the household)</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binary</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20F09" w:rsidRPr="005435C6" w:rsidRDefault="00297E2E" w:rsidP="00BA47AC">
            <w:pPr>
              <w:jc w:val="left"/>
              <w:rPr>
                <w:b w:val="0"/>
              </w:rPr>
            </w:pPr>
            <w:r w:rsidRPr="005435C6">
              <w:rPr>
                <w:b w:val="0"/>
              </w:rPr>
              <w:t>after</w:t>
            </w:r>
            <w:r w:rsidR="00BA47AC">
              <w:rPr>
                <w:b w:val="0"/>
              </w:rPr>
              <w:t xml:space="preserve"> </w:t>
            </w:r>
            <w:r w:rsidRPr="005435C6">
              <w:rPr>
                <w:b w:val="0"/>
              </w:rPr>
              <w:t>tax</w:t>
            </w:r>
            <w:r w:rsidR="00BA47AC">
              <w:rPr>
                <w:b w:val="0"/>
              </w:rPr>
              <w:t xml:space="preserve"> </w:t>
            </w:r>
            <w:r w:rsidRPr="005435C6">
              <w:rPr>
                <w:b w:val="0"/>
              </w:rPr>
              <w:t>low</w:t>
            </w:r>
            <w:r w:rsidR="00BA47AC">
              <w:rPr>
                <w:b w:val="0"/>
              </w:rPr>
              <w:t xml:space="preserve"> </w:t>
            </w:r>
            <w:r w:rsidRPr="005435C6">
              <w:rPr>
                <w:b w:val="0"/>
              </w:rPr>
              <w:t>income</w:t>
            </w:r>
            <w:r w:rsidR="00BA47AC">
              <w:rPr>
                <w:b w:val="0"/>
              </w:rPr>
              <w:t xml:space="preserve"> </w:t>
            </w:r>
            <w:r w:rsidRPr="005435C6">
              <w:rPr>
                <w:b w:val="0"/>
              </w:rPr>
              <w:t>flag</w:t>
            </w:r>
          </w:p>
          <w:p w:rsidR="00297E2E" w:rsidRPr="005435C6" w:rsidRDefault="00297E2E" w:rsidP="00BA47AC">
            <w:pPr>
              <w:jc w:val="left"/>
              <w:rPr>
                <w:b w:val="0"/>
              </w:rPr>
            </w:pPr>
            <w:r w:rsidRPr="005435C6">
              <w:rPr>
                <w:b w:val="0"/>
              </w:rPr>
              <w:t>(flags households earning less than low income cutoff)</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binary</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before</w:t>
            </w:r>
            <w:r w:rsidR="00BA47AC">
              <w:rPr>
                <w:b w:val="0"/>
              </w:rPr>
              <w:t xml:space="preserve"> </w:t>
            </w:r>
            <w:r w:rsidRPr="005435C6">
              <w:rPr>
                <w:b w:val="0"/>
              </w:rPr>
              <w:t>tax</w:t>
            </w:r>
            <w:r w:rsidR="00BA47AC">
              <w:rPr>
                <w:b w:val="0"/>
              </w:rPr>
              <w:t xml:space="preserve"> </w:t>
            </w:r>
            <w:r w:rsidRPr="005435C6">
              <w:rPr>
                <w:b w:val="0"/>
              </w:rPr>
              <w:t>low</w:t>
            </w:r>
            <w:r w:rsidR="00BA47AC">
              <w:rPr>
                <w:b w:val="0"/>
              </w:rPr>
              <w:t xml:space="preserve"> </w:t>
            </w:r>
            <w:r w:rsidRPr="005435C6">
              <w:rPr>
                <w:b w:val="0"/>
              </w:rPr>
              <w:t>income</w:t>
            </w:r>
            <w:r w:rsidR="00BA47AC">
              <w:rPr>
                <w:b w:val="0"/>
              </w:rPr>
              <w:t xml:space="preserve"> </w:t>
            </w:r>
            <w:r w:rsidRPr="005435C6">
              <w:rPr>
                <w:b w:val="0"/>
              </w:rPr>
              <w:t>flag</w:t>
            </w:r>
          </w:p>
          <w:p w:rsidR="00297E2E" w:rsidRPr="005435C6" w:rsidRDefault="00297E2E" w:rsidP="00BA47AC">
            <w:pPr>
              <w:jc w:val="left"/>
              <w:rPr>
                <w:b w:val="0"/>
              </w:rPr>
            </w:pPr>
            <w:r w:rsidRPr="005435C6">
              <w:rPr>
                <w:b w:val="0"/>
              </w:rPr>
              <w:t>(flags households earning less than low income cutoff)</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binary</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20F09" w:rsidRPr="005435C6" w:rsidRDefault="00297E2E" w:rsidP="00BA47AC">
            <w:pPr>
              <w:jc w:val="left"/>
              <w:rPr>
                <w:b w:val="0"/>
              </w:rPr>
            </w:pPr>
            <w:r w:rsidRPr="005435C6">
              <w:rPr>
                <w:b w:val="0"/>
              </w:rPr>
              <w:t>after</w:t>
            </w:r>
            <w:r w:rsidR="00BA47AC">
              <w:rPr>
                <w:b w:val="0"/>
              </w:rPr>
              <w:t xml:space="preserve"> </w:t>
            </w:r>
            <w:r w:rsidRPr="005435C6">
              <w:rPr>
                <w:b w:val="0"/>
              </w:rPr>
              <w:t>tax</w:t>
            </w:r>
            <w:r w:rsidR="00BA47AC">
              <w:rPr>
                <w:b w:val="0"/>
              </w:rPr>
              <w:t xml:space="preserve"> </w:t>
            </w:r>
            <w:r w:rsidRPr="005435C6">
              <w:rPr>
                <w:b w:val="0"/>
              </w:rPr>
              <w:t>below</w:t>
            </w:r>
            <w:r w:rsidR="00BA47AC">
              <w:rPr>
                <w:b w:val="0"/>
              </w:rPr>
              <w:t xml:space="preserve"> </w:t>
            </w:r>
            <w:proofErr w:type="spellStart"/>
            <w:r w:rsidRPr="005435C6">
              <w:rPr>
                <w:b w:val="0"/>
              </w:rPr>
              <w:t>lim</w:t>
            </w:r>
            <w:proofErr w:type="spellEnd"/>
            <w:r w:rsidR="00BA47AC">
              <w:rPr>
                <w:b w:val="0"/>
              </w:rPr>
              <w:t xml:space="preserve"> </w:t>
            </w:r>
            <w:r w:rsidRPr="005435C6">
              <w:rPr>
                <w:b w:val="0"/>
              </w:rPr>
              <w:t>flag</w:t>
            </w:r>
          </w:p>
          <w:p w:rsidR="00297E2E" w:rsidRPr="005435C6" w:rsidRDefault="00297E2E" w:rsidP="00BA47AC">
            <w:pPr>
              <w:jc w:val="left"/>
              <w:rPr>
                <w:b w:val="0"/>
              </w:rPr>
            </w:pPr>
            <w:r w:rsidRPr="005435C6">
              <w:rPr>
                <w:b w:val="0"/>
              </w:rPr>
              <w:t>(flags households below low-income measure threshold)</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binary</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disposable</w:t>
            </w:r>
            <w:r w:rsidR="00BA47AC">
              <w:rPr>
                <w:b w:val="0"/>
              </w:rPr>
              <w:t xml:space="preserve"> </w:t>
            </w:r>
            <w:r w:rsidRPr="005435C6">
              <w:rPr>
                <w:b w:val="0"/>
              </w:rPr>
              <w:t>income</w:t>
            </w:r>
            <w:r w:rsidR="00BA47AC">
              <w:rPr>
                <w:b w:val="0"/>
              </w:rPr>
              <w:t xml:space="preserve"> </w:t>
            </w:r>
            <w:r w:rsidRPr="005435C6">
              <w:rPr>
                <w:b w:val="0"/>
              </w:rPr>
              <w:t>below</w:t>
            </w:r>
            <w:r w:rsidR="00BA47AC">
              <w:rPr>
                <w:b w:val="0"/>
              </w:rPr>
              <w:t xml:space="preserve"> </w:t>
            </w:r>
            <w:proofErr w:type="spellStart"/>
            <w:r w:rsidRPr="005435C6">
              <w:rPr>
                <w:b w:val="0"/>
              </w:rPr>
              <w:t>mbm</w:t>
            </w:r>
            <w:proofErr w:type="spellEnd"/>
            <w:r w:rsidR="00BA47AC">
              <w:rPr>
                <w:b w:val="0"/>
              </w:rPr>
              <w:t xml:space="preserve"> </w:t>
            </w:r>
            <w:r w:rsidRPr="005435C6">
              <w:rPr>
                <w:b w:val="0"/>
              </w:rPr>
              <w:t>flag</w:t>
            </w:r>
          </w:p>
          <w:p w:rsidR="00297E2E" w:rsidRPr="005435C6" w:rsidRDefault="00297E2E" w:rsidP="00BA47AC">
            <w:pPr>
              <w:jc w:val="left"/>
              <w:rPr>
                <w:b w:val="0"/>
              </w:rPr>
            </w:pPr>
            <w:r w:rsidRPr="005435C6">
              <w:rPr>
                <w:b w:val="0"/>
              </w:rPr>
              <w:t>(flags households that can't afford market basket measure)</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binary</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20F09" w:rsidRPr="005435C6" w:rsidRDefault="00297E2E" w:rsidP="00BA47AC">
            <w:pPr>
              <w:jc w:val="left"/>
              <w:rPr>
                <w:b w:val="0"/>
              </w:rPr>
            </w:pPr>
            <w:r w:rsidRPr="005435C6">
              <w:rPr>
                <w:b w:val="0"/>
              </w:rPr>
              <w:t>ownership</w:t>
            </w:r>
            <w:r w:rsidR="00BA47AC">
              <w:rPr>
                <w:b w:val="0"/>
              </w:rPr>
              <w:t xml:space="preserve"> </w:t>
            </w:r>
            <w:r w:rsidRPr="005435C6">
              <w:rPr>
                <w:b w:val="0"/>
              </w:rPr>
              <w:t>of</w:t>
            </w:r>
            <w:r w:rsidR="00BA47AC">
              <w:rPr>
                <w:b w:val="0"/>
              </w:rPr>
              <w:t xml:space="preserve"> </w:t>
            </w:r>
            <w:r w:rsidRPr="005435C6">
              <w:rPr>
                <w:b w:val="0"/>
              </w:rPr>
              <w:t>dwelling</w:t>
            </w:r>
          </w:p>
          <w:p w:rsidR="00297E2E" w:rsidRPr="005435C6" w:rsidRDefault="00297E2E" w:rsidP="00BA47AC">
            <w:pPr>
              <w:jc w:val="left"/>
              <w:rPr>
                <w:b w:val="0"/>
              </w:rPr>
            </w:pPr>
            <w:r w:rsidRPr="005435C6">
              <w:rPr>
                <w:b w:val="0"/>
              </w:rPr>
              <w:t xml:space="preserve">(owner </w:t>
            </w:r>
            <w:proofErr w:type="spellStart"/>
            <w:r w:rsidRPr="005435C6">
              <w:rPr>
                <w:b w:val="0"/>
              </w:rPr>
              <w:t>vs</w:t>
            </w:r>
            <w:proofErr w:type="spellEnd"/>
            <w:r w:rsidRPr="005435C6">
              <w:rPr>
                <w:b w:val="0"/>
              </w:rPr>
              <w:t xml:space="preserve"> renter)</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binary</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6A3AA6" w:rsidRPr="005435C6" w:rsidRDefault="00297E2E" w:rsidP="00BA47AC">
            <w:pPr>
              <w:jc w:val="left"/>
              <w:rPr>
                <w:b w:val="0"/>
              </w:rPr>
            </w:pPr>
            <w:r w:rsidRPr="005435C6">
              <w:rPr>
                <w:b w:val="0"/>
              </w:rPr>
              <w:t>monthly</w:t>
            </w:r>
            <w:r w:rsidR="00BA47AC">
              <w:rPr>
                <w:b w:val="0"/>
              </w:rPr>
              <w:t xml:space="preserve"> </w:t>
            </w:r>
            <w:r w:rsidRPr="005435C6">
              <w:rPr>
                <w:b w:val="0"/>
              </w:rPr>
              <w:t>mortgage</w:t>
            </w:r>
            <w:r w:rsidR="00BA47AC">
              <w:rPr>
                <w:b w:val="0"/>
              </w:rPr>
              <w:t xml:space="preserve"> </w:t>
            </w:r>
            <w:r w:rsidRPr="005435C6">
              <w:rPr>
                <w:b w:val="0"/>
              </w:rPr>
              <w:t xml:space="preserve">payment </w:t>
            </w:r>
          </w:p>
          <w:p w:rsidR="00297E2E" w:rsidRPr="005435C6" w:rsidRDefault="00297E2E" w:rsidP="00BA47AC">
            <w:pPr>
              <w:jc w:val="left"/>
              <w:rPr>
                <w:b w:val="0"/>
              </w:rPr>
            </w:pPr>
            <w:r w:rsidRPr="005435C6">
              <w:rPr>
                <w:b w:val="0"/>
              </w:rPr>
              <w:t>(excludes property taxes)</w:t>
            </w:r>
          </w:p>
        </w:tc>
        <w:tc>
          <w:tcPr>
            <w:tcW w:w="1305" w:type="dxa"/>
          </w:tcPr>
          <w:p w:rsidR="00297E2E" w:rsidRDefault="00220F09" w:rsidP="00DE03B4">
            <w:pPr>
              <w:cnfStyle w:val="000000100000"/>
            </w:pPr>
            <w:r>
              <w:t>quantitative</w:t>
            </w:r>
          </w:p>
        </w:tc>
        <w:tc>
          <w:tcPr>
            <w:tcW w:w="1267" w:type="dxa"/>
          </w:tcPr>
          <w:p w:rsidR="00297E2E" w:rsidRDefault="00220F09" w:rsidP="00DE03B4">
            <w:pPr>
              <w:cnfStyle w:val="000000100000"/>
            </w:pPr>
            <w:r>
              <w:t>continuous</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monthly</w:t>
            </w:r>
            <w:r w:rsidR="00BA47AC">
              <w:rPr>
                <w:b w:val="0"/>
              </w:rPr>
              <w:t xml:space="preserve"> </w:t>
            </w:r>
            <w:r w:rsidRPr="005435C6">
              <w:rPr>
                <w:b w:val="0"/>
              </w:rPr>
              <w:t>condo</w:t>
            </w:r>
            <w:r w:rsidR="00BA47AC">
              <w:rPr>
                <w:b w:val="0"/>
              </w:rPr>
              <w:t xml:space="preserve"> </w:t>
            </w:r>
            <w:r w:rsidRPr="005435C6">
              <w:rPr>
                <w:b w:val="0"/>
              </w:rPr>
              <w:t xml:space="preserve">fee </w:t>
            </w:r>
          </w:p>
        </w:tc>
        <w:tc>
          <w:tcPr>
            <w:tcW w:w="1305" w:type="dxa"/>
          </w:tcPr>
          <w:p w:rsidR="00297E2E" w:rsidRDefault="00220F09" w:rsidP="00DE03B4">
            <w:pPr>
              <w:cnfStyle w:val="000000000000"/>
            </w:pPr>
            <w:r>
              <w:t>quantitative</w:t>
            </w:r>
          </w:p>
        </w:tc>
        <w:tc>
          <w:tcPr>
            <w:tcW w:w="1267" w:type="dxa"/>
          </w:tcPr>
          <w:p w:rsidR="00297E2E" w:rsidRDefault="00220F09" w:rsidP="00DE03B4">
            <w:pPr>
              <w:cnfStyle w:val="000000000000"/>
            </w:pPr>
            <w:r>
              <w:t>continuous</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97E2E" w:rsidRPr="005435C6" w:rsidRDefault="00297E2E" w:rsidP="00BA47AC">
            <w:pPr>
              <w:jc w:val="left"/>
              <w:rPr>
                <w:b w:val="0"/>
              </w:rPr>
            </w:pPr>
            <w:r w:rsidRPr="005435C6">
              <w:rPr>
                <w:b w:val="0"/>
              </w:rPr>
              <w:t>monthly</w:t>
            </w:r>
            <w:r w:rsidR="00BA47AC">
              <w:rPr>
                <w:b w:val="0"/>
              </w:rPr>
              <w:t xml:space="preserve"> </w:t>
            </w:r>
            <w:r w:rsidRPr="005435C6">
              <w:rPr>
                <w:b w:val="0"/>
              </w:rPr>
              <w:t>rent</w:t>
            </w:r>
          </w:p>
        </w:tc>
        <w:tc>
          <w:tcPr>
            <w:tcW w:w="1305" w:type="dxa"/>
          </w:tcPr>
          <w:p w:rsidR="00297E2E" w:rsidRDefault="00220F09" w:rsidP="00DE03B4">
            <w:pPr>
              <w:cnfStyle w:val="000000100000"/>
            </w:pPr>
            <w:r>
              <w:t>quantitative</w:t>
            </w:r>
          </w:p>
        </w:tc>
        <w:tc>
          <w:tcPr>
            <w:tcW w:w="1267" w:type="dxa"/>
          </w:tcPr>
          <w:p w:rsidR="00297E2E" w:rsidRDefault="00220F09" w:rsidP="00DE03B4">
            <w:pPr>
              <w:cnfStyle w:val="000000100000"/>
            </w:pPr>
            <w:r>
              <w:t>contin</w:t>
            </w:r>
            <w:r w:rsidR="00BA47AC">
              <w:t>u</w:t>
            </w:r>
            <w:r>
              <w:t>ous</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20F09" w:rsidRPr="005435C6" w:rsidRDefault="00297E2E" w:rsidP="00BA47AC">
            <w:pPr>
              <w:jc w:val="left"/>
              <w:rPr>
                <w:b w:val="0"/>
              </w:rPr>
            </w:pPr>
            <w:r w:rsidRPr="005435C6">
              <w:rPr>
                <w:b w:val="0"/>
              </w:rPr>
              <w:t>rent</w:t>
            </w:r>
            <w:r w:rsidR="00BA47AC">
              <w:rPr>
                <w:b w:val="0"/>
              </w:rPr>
              <w:t xml:space="preserve"> </w:t>
            </w:r>
            <w:r w:rsidRPr="005435C6">
              <w:rPr>
                <w:b w:val="0"/>
              </w:rPr>
              <w:t>subsidy</w:t>
            </w:r>
            <w:r w:rsidR="00BA47AC">
              <w:rPr>
                <w:b w:val="0"/>
              </w:rPr>
              <w:t xml:space="preserve"> </w:t>
            </w:r>
            <w:r w:rsidRPr="005435C6">
              <w:rPr>
                <w:b w:val="0"/>
              </w:rPr>
              <w:t xml:space="preserve">flag </w:t>
            </w:r>
          </w:p>
          <w:p w:rsidR="00297E2E" w:rsidRPr="005435C6" w:rsidRDefault="006A3AA6" w:rsidP="00BA47AC">
            <w:pPr>
              <w:jc w:val="left"/>
              <w:rPr>
                <w:b w:val="0"/>
              </w:rPr>
            </w:pPr>
            <w:r w:rsidRPr="005435C6">
              <w:rPr>
                <w:b w:val="0"/>
              </w:rPr>
              <w:t>(</w:t>
            </w:r>
            <w:r w:rsidR="00297E2E" w:rsidRPr="005435C6">
              <w:rPr>
                <w:b w:val="0"/>
              </w:rPr>
              <w:t>flags rent subsidized by government, employer, or relative)</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nominal</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20F09" w:rsidRPr="005435C6" w:rsidRDefault="00297E2E" w:rsidP="00BA47AC">
            <w:pPr>
              <w:jc w:val="left"/>
              <w:rPr>
                <w:b w:val="0"/>
              </w:rPr>
            </w:pPr>
            <w:r w:rsidRPr="005435C6">
              <w:rPr>
                <w:b w:val="0"/>
              </w:rPr>
              <w:t>core</w:t>
            </w:r>
            <w:r w:rsidR="00BA47AC">
              <w:rPr>
                <w:b w:val="0"/>
              </w:rPr>
              <w:t xml:space="preserve"> </w:t>
            </w:r>
            <w:r w:rsidRPr="005435C6">
              <w:rPr>
                <w:b w:val="0"/>
              </w:rPr>
              <w:t>housing</w:t>
            </w:r>
            <w:r w:rsidR="00BA47AC">
              <w:rPr>
                <w:b w:val="0"/>
              </w:rPr>
              <w:t xml:space="preserve"> </w:t>
            </w:r>
            <w:r w:rsidRPr="005435C6">
              <w:rPr>
                <w:b w:val="0"/>
              </w:rPr>
              <w:t>need</w:t>
            </w:r>
            <w:r w:rsidR="00BA47AC">
              <w:rPr>
                <w:b w:val="0"/>
              </w:rPr>
              <w:t xml:space="preserve"> </w:t>
            </w:r>
            <w:r w:rsidRPr="005435C6">
              <w:rPr>
                <w:b w:val="0"/>
              </w:rPr>
              <w:t xml:space="preserve">indicator </w:t>
            </w:r>
          </w:p>
          <w:p w:rsidR="00297E2E" w:rsidRPr="005435C6" w:rsidRDefault="00297E2E" w:rsidP="00BA47AC">
            <w:pPr>
              <w:jc w:val="left"/>
              <w:rPr>
                <w:b w:val="0"/>
              </w:rPr>
            </w:pPr>
            <w:r w:rsidRPr="005435C6">
              <w:rPr>
                <w:b w:val="0"/>
              </w:rPr>
              <w:t>(flags households with unsuitable, inadequate, or unaffordable housing)</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nominal</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adult</w:t>
            </w:r>
            <w:r w:rsidR="00BA47AC">
              <w:rPr>
                <w:b w:val="0"/>
              </w:rPr>
              <w:t xml:space="preserve"> </w:t>
            </w:r>
            <w:r w:rsidRPr="005435C6">
              <w:rPr>
                <w:b w:val="0"/>
              </w:rPr>
              <w:t>food</w:t>
            </w:r>
            <w:r w:rsidR="00BA47AC">
              <w:rPr>
                <w:b w:val="0"/>
              </w:rPr>
              <w:t xml:space="preserve"> </w:t>
            </w:r>
            <w:r w:rsidRPr="005435C6">
              <w:rPr>
                <w:b w:val="0"/>
              </w:rPr>
              <w:t>security</w:t>
            </w:r>
            <w:r w:rsidR="00BA47AC">
              <w:rPr>
                <w:b w:val="0"/>
              </w:rPr>
              <w:t xml:space="preserve"> </w:t>
            </w:r>
            <w:r w:rsidRPr="005435C6">
              <w:rPr>
                <w:b w:val="0"/>
              </w:rPr>
              <w:t>status</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nominal</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r w:rsidR="006A3AA6" w:rsidTr="00BA47AC">
        <w:trPr>
          <w:cnfStyle w:val="000000100000"/>
        </w:trPr>
        <w:tc>
          <w:tcPr>
            <w:cnfStyle w:val="001000000000"/>
            <w:tcW w:w="3441" w:type="dxa"/>
          </w:tcPr>
          <w:p w:rsidR="00297E2E" w:rsidRPr="005435C6" w:rsidRDefault="00297E2E" w:rsidP="00BA47AC">
            <w:pPr>
              <w:jc w:val="left"/>
              <w:rPr>
                <w:b w:val="0"/>
              </w:rPr>
            </w:pPr>
            <w:r w:rsidRPr="005435C6">
              <w:rPr>
                <w:b w:val="0"/>
              </w:rPr>
              <w:t>child</w:t>
            </w:r>
            <w:r w:rsidR="00BA47AC">
              <w:rPr>
                <w:b w:val="0"/>
              </w:rPr>
              <w:t xml:space="preserve"> </w:t>
            </w:r>
            <w:r w:rsidRPr="005435C6">
              <w:rPr>
                <w:b w:val="0"/>
              </w:rPr>
              <w:t>food</w:t>
            </w:r>
            <w:r w:rsidR="00BA47AC">
              <w:rPr>
                <w:b w:val="0"/>
              </w:rPr>
              <w:t xml:space="preserve"> </w:t>
            </w:r>
            <w:r w:rsidRPr="005435C6">
              <w:rPr>
                <w:b w:val="0"/>
              </w:rPr>
              <w:t>security</w:t>
            </w:r>
            <w:r w:rsidR="00BA47AC">
              <w:rPr>
                <w:b w:val="0"/>
              </w:rPr>
              <w:t xml:space="preserve"> </w:t>
            </w:r>
            <w:r w:rsidRPr="005435C6">
              <w:rPr>
                <w:b w:val="0"/>
              </w:rPr>
              <w:t>status</w:t>
            </w:r>
          </w:p>
        </w:tc>
        <w:tc>
          <w:tcPr>
            <w:tcW w:w="1305" w:type="dxa"/>
          </w:tcPr>
          <w:p w:rsidR="00297E2E" w:rsidRDefault="00220F09" w:rsidP="00DE03B4">
            <w:pPr>
              <w:cnfStyle w:val="000000100000"/>
            </w:pPr>
            <w:r>
              <w:t>qualitative</w:t>
            </w:r>
          </w:p>
        </w:tc>
        <w:tc>
          <w:tcPr>
            <w:tcW w:w="1267" w:type="dxa"/>
          </w:tcPr>
          <w:p w:rsidR="00297E2E" w:rsidRDefault="00220F09" w:rsidP="00DE03B4">
            <w:pPr>
              <w:cnfStyle w:val="000000100000"/>
            </w:pPr>
            <w:r>
              <w:t>nominal</w:t>
            </w:r>
          </w:p>
        </w:tc>
        <w:tc>
          <w:tcPr>
            <w:tcW w:w="1267" w:type="dxa"/>
            <w:gridSpan w:val="2"/>
          </w:tcPr>
          <w:p w:rsidR="00297E2E" w:rsidRDefault="00220F09" w:rsidP="00DE03B4">
            <w:pPr>
              <w:cnfStyle w:val="000000100000"/>
            </w:pPr>
            <w:r>
              <w:t>structured</w:t>
            </w:r>
          </w:p>
        </w:tc>
        <w:tc>
          <w:tcPr>
            <w:tcW w:w="1915" w:type="dxa"/>
            <w:gridSpan w:val="3"/>
          </w:tcPr>
          <w:p w:rsidR="00297E2E" w:rsidRDefault="000410D2" w:rsidP="00BA47AC">
            <w:pPr>
              <w:jc w:val="center"/>
              <w:cnfStyle w:val="000000100000"/>
            </w:pPr>
            <w:r>
              <w:t>V</w:t>
            </w:r>
          </w:p>
        </w:tc>
      </w:tr>
      <w:tr w:rsidR="006A3AA6" w:rsidTr="00BA47AC">
        <w:tc>
          <w:tcPr>
            <w:cnfStyle w:val="001000000000"/>
            <w:tcW w:w="3441" w:type="dxa"/>
          </w:tcPr>
          <w:p w:rsidR="00297E2E" w:rsidRPr="005435C6" w:rsidRDefault="00297E2E" w:rsidP="00BA47AC">
            <w:pPr>
              <w:jc w:val="left"/>
              <w:rPr>
                <w:b w:val="0"/>
              </w:rPr>
            </w:pPr>
            <w:r w:rsidRPr="005435C6">
              <w:rPr>
                <w:b w:val="0"/>
              </w:rPr>
              <w:t>household</w:t>
            </w:r>
            <w:r w:rsidR="00BA47AC">
              <w:rPr>
                <w:b w:val="0"/>
              </w:rPr>
              <w:t xml:space="preserve"> </w:t>
            </w:r>
            <w:r w:rsidRPr="005435C6">
              <w:rPr>
                <w:b w:val="0"/>
              </w:rPr>
              <w:t>food</w:t>
            </w:r>
            <w:r w:rsidR="00BA47AC">
              <w:rPr>
                <w:b w:val="0"/>
              </w:rPr>
              <w:t xml:space="preserve"> </w:t>
            </w:r>
            <w:r w:rsidRPr="005435C6">
              <w:rPr>
                <w:b w:val="0"/>
              </w:rPr>
              <w:t>security</w:t>
            </w:r>
            <w:r w:rsidR="00BA47AC">
              <w:rPr>
                <w:b w:val="0"/>
              </w:rPr>
              <w:t xml:space="preserve"> </w:t>
            </w:r>
            <w:r w:rsidRPr="005435C6">
              <w:rPr>
                <w:b w:val="0"/>
              </w:rPr>
              <w:t>status</w:t>
            </w:r>
          </w:p>
        </w:tc>
        <w:tc>
          <w:tcPr>
            <w:tcW w:w="1305" w:type="dxa"/>
          </w:tcPr>
          <w:p w:rsidR="00297E2E" w:rsidRDefault="00220F09" w:rsidP="00DE03B4">
            <w:pPr>
              <w:cnfStyle w:val="000000000000"/>
            </w:pPr>
            <w:r>
              <w:t>qualitative</w:t>
            </w:r>
          </w:p>
        </w:tc>
        <w:tc>
          <w:tcPr>
            <w:tcW w:w="1267" w:type="dxa"/>
          </w:tcPr>
          <w:p w:rsidR="00297E2E" w:rsidRDefault="00220F09" w:rsidP="00DE03B4">
            <w:pPr>
              <w:cnfStyle w:val="000000000000"/>
            </w:pPr>
            <w:r>
              <w:t>nominal</w:t>
            </w:r>
          </w:p>
        </w:tc>
        <w:tc>
          <w:tcPr>
            <w:tcW w:w="1267" w:type="dxa"/>
            <w:gridSpan w:val="2"/>
          </w:tcPr>
          <w:p w:rsidR="00297E2E" w:rsidRDefault="00220F09" w:rsidP="00DE03B4">
            <w:pPr>
              <w:cnfStyle w:val="000000000000"/>
            </w:pPr>
            <w:r>
              <w:t>structured</w:t>
            </w:r>
          </w:p>
        </w:tc>
        <w:tc>
          <w:tcPr>
            <w:tcW w:w="1915" w:type="dxa"/>
            <w:gridSpan w:val="3"/>
          </w:tcPr>
          <w:p w:rsidR="00297E2E" w:rsidRDefault="000410D2" w:rsidP="00BA47AC">
            <w:pPr>
              <w:jc w:val="center"/>
              <w:cnfStyle w:val="000000000000"/>
            </w:pPr>
            <w:r>
              <w:t>V</w:t>
            </w:r>
          </w:p>
        </w:tc>
      </w:tr>
    </w:tbl>
    <w:p w:rsidR="005435C6" w:rsidRDefault="005435C6" w:rsidP="00DE03B4">
      <w:pPr>
        <w:pStyle w:val="Heading5"/>
      </w:pPr>
    </w:p>
    <w:p w:rsidR="00EC6F70" w:rsidRDefault="00EC6F70" w:rsidP="00DE03B4">
      <w:pPr>
        <w:pStyle w:val="Heading5"/>
      </w:pPr>
      <w:r>
        <w:t>Nova Scotia Housing Market Indicators (1990-2016)</w:t>
      </w:r>
    </w:p>
    <w:p w:rsidR="00CE16D9" w:rsidRDefault="0070367D" w:rsidP="00DE03B4">
      <w:r>
        <w:t>The housing market indicators data is compiled by the CMHC using a combination of surveys they have conducted</w:t>
      </w:r>
      <w:r w:rsidR="00CE16D9">
        <w:t xml:space="preserve"> and </w:t>
      </w:r>
      <w:r>
        <w:t xml:space="preserve">data from </w:t>
      </w:r>
      <w:r w:rsidR="00CE16D9">
        <w:t xml:space="preserve">both </w:t>
      </w:r>
      <w:r>
        <w:t xml:space="preserve">the Bank of Canada, and Statistics Canada. The data table was last </w:t>
      </w:r>
      <w:r>
        <w:lastRenderedPageBreak/>
        <w:t>updated in July 2017, and contains historic data for every year between 1990 and 2016. While this data is two years behind the CIS data sourced for this analysis, time-series analysis and forecasting will be possible with the housing market indicators data.</w:t>
      </w:r>
      <w:r w:rsidR="00CE16D9">
        <w:t xml:space="preserve"> This data is considered trustworthy, since the CMHC is a crown corporation that represents the government. </w:t>
      </w:r>
    </w:p>
    <w:p w:rsidR="00CE16D9" w:rsidRDefault="00CE16D9" w:rsidP="00DE03B4">
      <w:r>
        <w:t>The housing market indicators table includes survey data from the CMHC's starts</w:t>
      </w:r>
      <w:r w:rsidRPr="0070367D">
        <w:t xml:space="preserve"> and completions survey, market absorption survey, rental market survey, seniors' housing survey</w:t>
      </w:r>
      <w:r>
        <w:t xml:space="preserve">. Mortgage data is from the Bank of Canada, and socioeconomic data is from Statistics Canada. </w:t>
      </w:r>
    </w:p>
    <w:p w:rsidR="006A3AA6" w:rsidRDefault="00CE16D9" w:rsidP="00DE03B4">
      <w:r>
        <w:t xml:space="preserve">This dataset was chosen to look specifically at housing supply and costs in Nova Scotia. </w:t>
      </w:r>
      <w:r w:rsidR="00B77F12">
        <w:t xml:space="preserve">By comparing the forecast from this data with the 2018 CIS data, we can look at what housing affordability looked like to Canadians in 2018.  </w:t>
      </w:r>
      <w:r w:rsidR="006A3AA6">
        <w:t xml:space="preserve">The first column contains the specific housing market indicator (e.g. housing starts, housing completed, housing supply) followed by columns for each year of data. The units for each row are included with the indicator description in the first column. </w:t>
      </w:r>
      <w:r w:rsidR="0023449F">
        <w:t>The data was transposed as part of cleaning.</w:t>
      </w:r>
    </w:p>
    <w:p w:rsidR="00BA47AC" w:rsidRDefault="00B77F12" w:rsidP="00DE03B4">
      <w:r>
        <w:t>Citation:</w:t>
      </w:r>
      <w:r w:rsidRPr="00B77F12">
        <w:t xml:space="preserve"> Canada Mortgage and Housing Corporation (CMHC), </w:t>
      </w:r>
      <w:r>
        <w:t>Housing Market Indicators for Nova Scotia</w:t>
      </w:r>
      <w:r w:rsidRPr="00B77F12">
        <w:t xml:space="preserve">, </w:t>
      </w:r>
      <w:r>
        <w:t>1990-2016, accessed on June 16, 2022</w:t>
      </w:r>
      <w:r w:rsidRPr="00B77F12">
        <w:t>. This information is reproduced and distributed on an “as is” basis with the permission of CMHC.</w:t>
      </w:r>
    </w:p>
    <w:p w:rsidR="0048361D" w:rsidRDefault="0048361D" w:rsidP="00C25EFC">
      <w:pPr>
        <w:pStyle w:val="Caption"/>
        <w:spacing w:after="0"/>
      </w:pPr>
      <w:r>
        <w:t xml:space="preserve">Table </w:t>
      </w:r>
      <w:fldSimple w:instr=" SEQ Table \* ARABIC ">
        <w:r w:rsidR="00EF7C07">
          <w:rPr>
            <w:noProof/>
          </w:rPr>
          <w:t>3</w:t>
        </w:r>
      </w:fldSimple>
      <w:r>
        <w:t>: Data Profile for CMHC Nova Scotia Housing Market Indicators (1990-2016)</w:t>
      </w:r>
    </w:p>
    <w:tbl>
      <w:tblPr>
        <w:tblStyle w:val="LightShading2"/>
        <w:tblW w:w="9388" w:type="dxa"/>
        <w:tblInd w:w="198" w:type="dxa"/>
        <w:tblLayout w:type="fixed"/>
        <w:tblLook w:val="04A0"/>
      </w:tblPr>
      <w:tblGrid>
        <w:gridCol w:w="3600"/>
        <w:gridCol w:w="1350"/>
        <w:gridCol w:w="1260"/>
        <w:gridCol w:w="1260"/>
        <w:gridCol w:w="1918"/>
      </w:tblGrid>
      <w:tr w:rsidR="006A3AA6" w:rsidTr="00BA47AC">
        <w:trPr>
          <w:cnfStyle w:val="100000000000"/>
          <w:cantSplit/>
          <w:tblHeader/>
        </w:trPr>
        <w:tc>
          <w:tcPr>
            <w:cnfStyle w:val="001000000000"/>
            <w:tcW w:w="3600" w:type="dxa"/>
            <w:vAlign w:val="bottom"/>
          </w:tcPr>
          <w:p w:rsidR="006A3AA6" w:rsidRDefault="006A3AA6" w:rsidP="00BA47AC">
            <w:pPr>
              <w:jc w:val="left"/>
            </w:pPr>
            <w:r>
              <w:t xml:space="preserve">Column </w:t>
            </w:r>
          </w:p>
        </w:tc>
        <w:tc>
          <w:tcPr>
            <w:tcW w:w="2610" w:type="dxa"/>
            <w:gridSpan w:val="2"/>
            <w:vAlign w:val="bottom"/>
          </w:tcPr>
          <w:p w:rsidR="006A3AA6" w:rsidRDefault="006A3AA6" w:rsidP="00BA47AC">
            <w:pPr>
              <w:jc w:val="center"/>
              <w:cnfStyle w:val="100000000000"/>
            </w:pPr>
            <w:r>
              <w:t>Type</w:t>
            </w:r>
          </w:p>
        </w:tc>
        <w:tc>
          <w:tcPr>
            <w:tcW w:w="1260" w:type="dxa"/>
            <w:vAlign w:val="bottom"/>
          </w:tcPr>
          <w:p w:rsidR="006A3AA6" w:rsidRDefault="006A3AA6" w:rsidP="00BA47AC">
            <w:pPr>
              <w:jc w:val="left"/>
              <w:cnfStyle w:val="100000000000"/>
            </w:pPr>
            <w:r>
              <w:t>Structured</w:t>
            </w:r>
          </w:p>
        </w:tc>
        <w:tc>
          <w:tcPr>
            <w:tcW w:w="1918" w:type="dxa"/>
            <w:vAlign w:val="bottom"/>
          </w:tcPr>
          <w:p w:rsidR="006A3AA6" w:rsidRDefault="006A3AA6" w:rsidP="00BA47AC">
            <w:pPr>
              <w:jc w:val="center"/>
              <w:cnfStyle w:val="100000000000"/>
            </w:pPr>
            <w:r>
              <w:t>Time-variant (V)</w:t>
            </w:r>
          </w:p>
          <w:p w:rsidR="006A3AA6" w:rsidRDefault="006A3AA6" w:rsidP="00BA47AC">
            <w:pPr>
              <w:jc w:val="center"/>
              <w:cnfStyle w:val="100000000000"/>
            </w:pPr>
            <w:r>
              <w:t>or invariant (I)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dwelling</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BA47AC" w:rsidP="00BA47AC">
            <w:pPr>
              <w:jc w:val="left"/>
              <w:rPr>
                <w:b w:val="0"/>
                <w:sz w:val="24"/>
                <w:szCs w:val="24"/>
              </w:rPr>
            </w:pPr>
            <w:r w:rsidRPr="005435C6">
              <w:rPr>
                <w:b w:val="0"/>
              </w:rPr>
              <w:t>T</w:t>
            </w:r>
            <w:r w:rsidR="0048361D" w:rsidRPr="005435C6">
              <w:rPr>
                <w:b w:val="0"/>
              </w:rPr>
              <w:t>otal</w:t>
            </w:r>
            <w:r>
              <w:rPr>
                <w:b w:val="0"/>
              </w:rPr>
              <w:t xml:space="preserve"> </w:t>
            </w:r>
            <w:r w:rsidR="0048361D" w:rsidRPr="005435C6">
              <w:rPr>
                <w:b w:val="0"/>
              </w:rPr>
              <w:t>starts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BA47AC" w:rsidP="00BA47AC">
            <w:pPr>
              <w:jc w:val="left"/>
              <w:rPr>
                <w:b w:val="0"/>
                <w:sz w:val="24"/>
                <w:szCs w:val="24"/>
              </w:rPr>
            </w:pPr>
            <w:r w:rsidRPr="005435C6">
              <w:rPr>
                <w:b w:val="0"/>
              </w:rPr>
              <w:t>S</w:t>
            </w:r>
            <w:r w:rsidR="0048361D" w:rsidRPr="005435C6">
              <w:rPr>
                <w:b w:val="0"/>
              </w:rPr>
              <w:t>ingle</w:t>
            </w:r>
            <w:r>
              <w:rPr>
                <w:b w:val="0"/>
              </w:rPr>
              <w:t xml:space="preserve"> </w:t>
            </w:r>
            <w:r w:rsidR="0048361D" w:rsidRPr="005435C6">
              <w:rPr>
                <w:b w:val="0"/>
              </w:rPr>
              <w:t>detached</w:t>
            </w:r>
            <w:r>
              <w:rPr>
                <w:b w:val="0"/>
              </w:rPr>
              <w:t xml:space="preserve"> </w:t>
            </w:r>
            <w:r w:rsidR="0048361D" w:rsidRPr="005435C6">
              <w:rPr>
                <w:b w:val="0"/>
              </w:rPr>
              <w:t>starts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multiple</w:t>
            </w:r>
            <w:r w:rsidR="00BA47AC">
              <w:rPr>
                <w:b w:val="0"/>
              </w:rPr>
              <w:t xml:space="preserve"> </w:t>
            </w:r>
            <w:r w:rsidRPr="005435C6">
              <w:rPr>
                <w:b w:val="0"/>
              </w:rPr>
              <w:t>starts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semi</w:t>
            </w:r>
            <w:r w:rsidR="00BA47AC">
              <w:rPr>
                <w:b w:val="0"/>
              </w:rPr>
              <w:t xml:space="preserve"> </w:t>
            </w:r>
            <w:r w:rsidRPr="005435C6">
              <w:rPr>
                <w:b w:val="0"/>
              </w:rPr>
              <w:t>detached</w:t>
            </w:r>
            <w:r w:rsidR="00BA47AC">
              <w:rPr>
                <w:b w:val="0"/>
              </w:rPr>
              <w:t xml:space="preserve"> </w:t>
            </w:r>
            <w:r w:rsidRPr="005435C6">
              <w:rPr>
                <w:b w:val="0"/>
              </w:rPr>
              <w:t>starts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row</w:t>
            </w:r>
            <w:r w:rsidR="00BA47AC">
              <w:rPr>
                <w:b w:val="0"/>
              </w:rPr>
              <w:t xml:space="preserve"> </w:t>
            </w:r>
            <w:r w:rsidRPr="005435C6">
              <w:rPr>
                <w:b w:val="0"/>
              </w:rPr>
              <w:t>starts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apartment</w:t>
            </w:r>
            <w:r w:rsidR="00BA47AC">
              <w:rPr>
                <w:b w:val="0"/>
              </w:rPr>
              <w:t xml:space="preserve"> </w:t>
            </w:r>
            <w:r w:rsidRPr="005435C6">
              <w:rPr>
                <w:b w:val="0"/>
              </w:rPr>
              <w:t>starts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starts</w:t>
            </w:r>
            <w:r w:rsidR="00BA47AC">
              <w:rPr>
                <w:b w:val="0"/>
              </w:rPr>
              <w:t xml:space="preserve"> </w:t>
            </w:r>
            <w:r w:rsidRPr="005435C6">
              <w:rPr>
                <w:b w:val="0"/>
              </w:rPr>
              <w:t>by</w:t>
            </w:r>
            <w:r w:rsidR="00BA47AC">
              <w:rPr>
                <w:b w:val="0"/>
              </w:rPr>
              <w:t xml:space="preserve"> </w:t>
            </w:r>
            <w:r w:rsidRPr="005435C6">
              <w:rPr>
                <w:b w:val="0"/>
              </w:rPr>
              <w:t>market</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freehold</w:t>
            </w:r>
            <w:r w:rsidR="00BA47AC">
              <w:rPr>
                <w:b w:val="0"/>
              </w:rPr>
              <w:t xml:space="preserve"> </w:t>
            </w:r>
            <w:r w:rsidRPr="005435C6">
              <w:rPr>
                <w:b w:val="0"/>
              </w:rPr>
              <w:t>homeownership</w:t>
            </w:r>
            <w:r w:rsidR="00BA47AC">
              <w:rPr>
                <w:b w:val="0"/>
              </w:rPr>
              <w:t xml:space="preserve"> </w:t>
            </w:r>
            <w:r w:rsidRPr="005435C6">
              <w:rPr>
                <w:b w:val="0"/>
              </w:rPr>
              <w:t>starts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rental</w:t>
            </w:r>
            <w:r w:rsidR="00BA47AC">
              <w:rPr>
                <w:b w:val="0"/>
              </w:rPr>
              <w:t xml:space="preserve"> </w:t>
            </w:r>
            <w:r w:rsidRPr="005435C6">
              <w:rPr>
                <w:b w:val="0"/>
              </w:rPr>
              <w:t>starts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condominium</w:t>
            </w:r>
            <w:r w:rsidR="00BA47AC">
              <w:rPr>
                <w:b w:val="0"/>
              </w:rPr>
              <w:t xml:space="preserve"> </w:t>
            </w:r>
            <w:r w:rsidRPr="005435C6">
              <w:rPr>
                <w:b w:val="0"/>
              </w:rPr>
              <w:t>ownership</w:t>
            </w:r>
            <w:r w:rsidR="00BA47AC">
              <w:rPr>
                <w:b w:val="0"/>
              </w:rPr>
              <w:t xml:space="preserve"> </w:t>
            </w:r>
            <w:r w:rsidRPr="005435C6">
              <w:rPr>
                <w:b w:val="0"/>
              </w:rPr>
              <w:t>starts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co</w:t>
            </w:r>
            <w:r w:rsidR="00BA47AC">
              <w:rPr>
                <w:b w:val="0"/>
              </w:rPr>
              <w:t xml:space="preserve"> </w:t>
            </w:r>
            <w:r w:rsidRPr="005435C6">
              <w:rPr>
                <w:b w:val="0"/>
              </w:rPr>
              <w:t>op</w:t>
            </w:r>
            <w:r w:rsidR="00BA47AC">
              <w:rPr>
                <w:b w:val="0"/>
              </w:rPr>
              <w:t xml:space="preserve"> </w:t>
            </w:r>
            <w:r w:rsidRPr="005435C6">
              <w:rPr>
                <w:b w:val="0"/>
              </w:rPr>
              <w:t>and</w:t>
            </w:r>
            <w:r w:rsidR="00BA47AC">
              <w:rPr>
                <w:b w:val="0"/>
              </w:rPr>
              <w:t xml:space="preserve"> </w:t>
            </w:r>
            <w:r w:rsidRPr="005435C6">
              <w:rPr>
                <w:b w:val="0"/>
              </w:rPr>
              <w:t>unknown</w:t>
            </w:r>
            <w:r w:rsidR="00BA47AC">
              <w:rPr>
                <w:b w:val="0"/>
              </w:rPr>
              <w:t xml:space="preserve"> </w:t>
            </w:r>
            <w:r w:rsidRPr="005435C6">
              <w:rPr>
                <w:b w:val="0"/>
              </w:rPr>
              <w:t>starts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total</w:t>
            </w:r>
            <w:r w:rsidR="00BA47AC">
              <w:rPr>
                <w:b w:val="0"/>
              </w:rPr>
              <w:t xml:space="preserve"> </w:t>
            </w:r>
            <w:r w:rsidRPr="005435C6">
              <w:rPr>
                <w:b w:val="0"/>
              </w:rPr>
              <w:t>completions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residential</w:t>
            </w:r>
            <w:r w:rsidR="00BA47AC">
              <w:rPr>
                <w:b w:val="0"/>
              </w:rPr>
              <w:t xml:space="preserve"> </w:t>
            </w:r>
            <w:r w:rsidRPr="005435C6">
              <w:rPr>
                <w:b w:val="0"/>
              </w:rPr>
              <w:t>building</w:t>
            </w:r>
            <w:r w:rsidR="00BA47AC">
              <w:rPr>
                <w:b w:val="0"/>
              </w:rPr>
              <w:t xml:space="preserve"> </w:t>
            </w:r>
            <w:r w:rsidRPr="005435C6">
              <w:rPr>
                <w:b w:val="0"/>
              </w:rPr>
              <w:t>permits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res</w:t>
            </w:r>
            <w:r w:rsidR="00BA47AC">
              <w:rPr>
                <w:b w:val="0"/>
              </w:rPr>
              <w:t xml:space="preserve"> </w:t>
            </w:r>
            <w:r w:rsidRPr="005435C6">
              <w:rPr>
                <w:b w:val="0"/>
              </w:rPr>
              <w:t>bldg</w:t>
            </w:r>
            <w:r w:rsidR="00BA47AC">
              <w:rPr>
                <w:b w:val="0"/>
              </w:rPr>
              <w:t xml:space="preserve"> </w:t>
            </w:r>
            <w:r w:rsidRPr="005435C6">
              <w:rPr>
                <w:b w:val="0"/>
              </w:rPr>
              <w:t>permit</w:t>
            </w:r>
            <w:r w:rsidR="00BA47AC">
              <w:rPr>
                <w:b w:val="0"/>
              </w:rPr>
              <w:t xml:space="preserve"> </w:t>
            </w:r>
            <w:r w:rsidRPr="005435C6">
              <w:rPr>
                <w:b w:val="0"/>
              </w:rPr>
              <w:t>value</w:t>
            </w:r>
            <w:r w:rsidR="00BA47AC">
              <w:rPr>
                <w:b w:val="0"/>
              </w:rPr>
              <w:t xml:space="preserve"> </w:t>
            </w:r>
            <w:r w:rsidRPr="005435C6">
              <w:rPr>
                <w:b w:val="0"/>
              </w:rPr>
              <w:t>thousands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new</w:t>
            </w:r>
            <w:r w:rsidR="00BA47AC">
              <w:rPr>
                <w:b w:val="0"/>
              </w:rPr>
              <w:t xml:space="preserve"> </w:t>
            </w:r>
            <w:r w:rsidRPr="005435C6">
              <w:rPr>
                <w:b w:val="0"/>
              </w:rPr>
              <w:t>completed</w:t>
            </w:r>
            <w:r w:rsidR="00BA47AC">
              <w:rPr>
                <w:b w:val="0"/>
              </w:rPr>
              <w:t xml:space="preserve"> </w:t>
            </w:r>
            <w:r w:rsidRPr="005435C6">
              <w:rPr>
                <w:b w:val="0"/>
              </w:rPr>
              <w:t>and</w:t>
            </w:r>
            <w:r w:rsidR="00BA47AC">
              <w:rPr>
                <w:b w:val="0"/>
              </w:rPr>
              <w:t xml:space="preserve"> </w:t>
            </w:r>
            <w:r w:rsidRPr="005435C6">
              <w:rPr>
                <w:b w:val="0"/>
              </w:rPr>
              <w:t>unabsorbed</w:t>
            </w:r>
            <w:r w:rsidR="00BA47AC">
              <w:rPr>
                <w:b w:val="0"/>
              </w:rPr>
              <w:t xml:space="preserve"> </w:t>
            </w:r>
            <w:r w:rsidRPr="005435C6">
              <w:rPr>
                <w:b w:val="0"/>
              </w:rPr>
              <w:t>home</w:t>
            </w:r>
            <w:r w:rsidR="00BA47AC">
              <w:rPr>
                <w:b w:val="0"/>
              </w:rPr>
              <w:t xml:space="preserve"> </w:t>
            </w:r>
            <w:r w:rsidRPr="005435C6">
              <w:rPr>
                <w:b w:val="0"/>
              </w:rPr>
              <w:t>supply</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single</w:t>
            </w:r>
            <w:r w:rsidR="00BA47AC">
              <w:rPr>
                <w:b w:val="0"/>
              </w:rPr>
              <w:t xml:space="preserve"> </w:t>
            </w:r>
            <w:r w:rsidRPr="005435C6">
              <w:rPr>
                <w:b w:val="0"/>
              </w:rPr>
              <w:t>and</w:t>
            </w:r>
            <w:r w:rsidR="00BA47AC">
              <w:rPr>
                <w:b w:val="0"/>
              </w:rPr>
              <w:t xml:space="preserve"> </w:t>
            </w:r>
            <w:r w:rsidRPr="005435C6">
              <w:rPr>
                <w:b w:val="0"/>
              </w:rPr>
              <w:t>semi</w:t>
            </w:r>
            <w:r w:rsidR="00BA47AC">
              <w:rPr>
                <w:b w:val="0"/>
              </w:rPr>
              <w:t xml:space="preserve"> </w:t>
            </w:r>
            <w:r w:rsidRPr="005435C6">
              <w:rPr>
                <w:b w:val="0"/>
              </w:rPr>
              <w:t>detached</w:t>
            </w:r>
            <w:r w:rsidR="00BA47AC">
              <w:rPr>
                <w:b w:val="0"/>
              </w:rPr>
              <w:t xml:space="preserve"> </w:t>
            </w:r>
            <w:r w:rsidRPr="005435C6">
              <w:rPr>
                <w:b w:val="0"/>
              </w:rPr>
              <w:t>supply</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row</w:t>
            </w:r>
            <w:r w:rsidR="00BA47AC">
              <w:rPr>
                <w:b w:val="0"/>
              </w:rPr>
              <w:t xml:space="preserve"> </w:t>
            </w:r>
            <w:r w:rsidRPr="005435C6">
              <w:rPr>
                <w:b w:val="0"/>
              </w:rPr>
              <w:t>and</w:t>
            </w:r>
            <w:r w:rsidR="00BA47AC">
              <w:rPr>
                <w:b w:val="0"/>
              </w:rPr>
              <w:t xml:space="preserve"> </w:t>
            </w:r>
            <w:r w:rsidRPr="005435C6">
              <w:rPr>
                <w:b w:val="0"/>
              </w:rPr>
              <w:t>apartment</w:t>
            </w:r>
            <w:r w:rsidR="00BA47AC">
              <w:rPr>
                <w:b w:val="0"/>
              </w:rPr>
              <w:t xml:space="preserve"> </w:t>
            </w:r>
            <w:r w:rsidRPr="005435C6">
              <w:rPr>
                <w:b w:val="0"/>
              </w:rPr>
              <w:t>supply</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rental</w:t>
            </w:r>
            <w:r w:rsidR="00BA47AC">
              <w:rPr>
                <w:b w:val="0"/>
              </w:rPr>
              <w:t xml:space="preserve"> </w:t>
            </w:r>
            <w:r w:rsidRPr="005435C6">
              <w:rPr>
                <w:b w:val="0"/>
              </w:rPr>
              <w:t>vacancy</w:t>
            </w:r>
            <w:r w:rsidR="00BA47AC">
              <w:rPr>
                <w:b w:val="0"/>
              </w:rPr>
              <w:t xml:space="preserve"> </w:t>
            </w:r>
            <w:r w:rsidRPr="005435C6">
              <w:rPr>
                <w:b w:val="0"/>
              </w:rPr>
              <w:t>percent</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rental</w:t>
            </w:r>
            <w:r w:rsidR="00BA47AC">
              <w:rPr>
                <w:b w:val="0"/>
              </w:rPr>
              <w:t xml:space="preserve"> </w:t>
            </w:r>
            <w:proofErr w:type="spellStart"/>
            <w:r w:rsidRPr="005435C6">
              <w:rPr>
                <w:b w:val="0"/>
              </w:rPr>
              <w:t>availabilty</w:t>
            </w:r>
            <w:proofErr w:type="spellEnd"/>
            <w:r w:rsidR="00BA47AC">
              <w:rPr>
                <w:b w:val="0"/>
              </w:rPr>
              <w:t xml:space="preserve"> </w:t>
            </w:r>
            <w:r w:rsidRPr="005435C6">
              <w:rPr>
                <w:b w:val="0"/>
              </w:rPr>
              <w:t>rate</w:t>
            </w:r>
            <w:r w:rsidR="00BA47AC">
              <w:rPr>
                <w:b w:val="0"/>
              </w:rPr>
              <w:t xml:space="preserve"> </w:t>
            </w:r>
            <w:r w:rsidRPr="005435C6">
              <w:rPr>
                <w:b w:val="0"/>
              </w:rPr>
              <w:t>percent</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standard</w:t>
            </w:r>
            <w:r w:rsidR="00BA47AC">
              <w:rPr>
                <w:b w:val="0"/>
              </w:rPr>
              <w:t xml:space="preserve"> </w:t>
            </w:r>
            <w:r w:rsidRPr="005435C6">
              <w:rPr>
                <w:b w:val="0"/>
              </w:rPr>
              <w:t>space</w:t>
            </w:r>
            <w:r w:rsidR="00BA47AC">
              <w:rPr>
                <w:b w:val="0"/>
              </w:rPr>
              <w:t xml:space="preserve"> </w:t>
            </w:r>
            <w:r w:rsidRPr="005435C6">
              <w:rPr>
                <w:b w:val="0"/>
              </w:rPr>
              <w:t>seniors</w:t>
            </w:r>
            <w:r w:rsidR="00BA47AC">
              <w:rPr>
                <w:b w:val="0"/>
              </w:rPr>
              <w:t xml:space="preserve"> </w:t>
            </w:r>
            <w:r w:rsidRPr="005435C6">
              <w:rPr>
                <w:b w:val="0"/>
              </w:rPr>
              <w:t>vacancy</w:t>
            </w:r>
            <w:r w:rsidR="00BA47AC">
              <w:rPr>
                <w:b w:val="0"/>
              </w:rPr>
              <w:t xml:space="preserve"> </w:t>
            </w:r>
            <w:r w:rsidRPr="005435C6">
              <w:rPr>
                <w:b w:val="0"/>
              </w:rPr>
              <w:t>rate</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new</w:t>
            </w:r>
            <w:r w:rsidR="00BA47AC">
              <w:rPr>
                <w:b w:val="0"/>
              </w:rPr>
              <w:t xml:space="preserve"> </w:t>
            </w:r>
            <w:r w:rsidRPr="005435C6">
              <w:rPr>
                <w:b w:val="0"/>
              </w:rPr>
              <w:t>housing</w:t>
            </w:r>
            <w:r w:rsidR="00BA47AC">
              <w:rPr>
                <w:b w:val="0"/>
              </w:rPr>
              <w:t xml:space="preserve"> </w:t>
            </w:r>
            <w:r w:rsidRPr="005435C6">
              <w:rPr>
                <w:b w:val="0"/>
              </w:rPr>
              <w:t>price</w:t>
            </w:r>
            <w:r w:rsidR="00BA47AC">
              <w:rPr>
                <w:b w:val="0"/>
              </w:rPr>
              <w:t xml:space="preserve"> </w:t>
            </w:r>
            <w:r w:rsidRPr="005435C6">
              <w:rPr>
                <w:b w:val="0"/>
              </w:rPr>
              <w:t>index</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lastRenderedPageBreak/>
              <w:t>pct</w:t>
            </w:r>
            <w:r w:rsidR="00BA47AC">
              <w:rPr>
                <w:b w:val="0"/>
              </w:rPr>
              <w:t xml:space="preserve"> </w:t>
            </w:r>
            <w:r w:rsidRPr="005435C6">
              <w:rPr>
                <w:b w:val="0"/>
              </w:rPr>
              <w:t>change</w:t>
            </w:r>
            <w:r w:rsidR="00BA47AC">
              <w:rPr>
                <w:b w:val="0"/>
              </w:rPr>
              <w:t xml:space="preserve"> </w:t>
            </w:r>
            <w:r w:rsidRPr="005435C6">
              <w:rPr>
                <w:b w:val="0"/>
              </w:rPr>
              <w:t>consumer</w:t>
            </w:r>
            <w:r w:rsidR="00BA47AC">
              <w:rPr>
                <w:b w:val="0"/>
              </w:rPr>
              <w:t xml:space="preserve"> </w:t>
            </w:r>
            <w:r w:rsidRPr="005435C6">
              <w:rPr>
                <w:b w:val="0"/>
              </w:rPr>
              <w:t>price</w:t>
            </w:r>
            <w:r w:rsidR="00BA47AC">
              <w:rPr>
                <w:b w:val="0"/>
              </w:rPr>
              <w:t xml:space="preserve"> </w:t>
            </w:r>
            <w:r w:rsidRPr="005435C6">
              <w:rPr>
                <w:b w:val="0"/>
              </w:rPr>
              <w:t>index</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construction</w:t>
            </w:r>
            <w:r w:rsidR="00BA47AC">
              <w:rPr>
                <w:b w:val="0"/>
              </w:rPr>
              <w:t xml:space="preserve"> </w:t>
            </w:r>
            <w:r w:rsidRPr="005435C6">
              <w:rPr>
                <w:b w:val="0"/>
              </w:rPr>
              <w:t>wage</w:t>
            </w:r>
            <w:r w:rsidR="00BA47AC">
              <w:rPr>
                <w:b w:val="0"/>
              </w:rPr>
              <w:t xml:space="preserve"> </w:t>
            </w:r>
            <w:r w:rsidRPr="005435C6">
              <w:rPr>
                <w:b w:val="0"/>
              </w:rPr>
              <w:t>rate</w:t>
            </w:r>
            <w:r w:rsidR="00BA47AC">
              <w:rPr>
                <w:b w:val="0"/>
              </w:rPr>
              <w:t xml:space="preserve"> </w:t>
            </w:r>
            <w:r w:rsidRPr="005435C6">
              <w:rPr>
                <w:b w:val="0"/>
              </w:rPr>
              <w:t>index</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owned</w:t>
            </w:r>
            <w:r w:rsidR="00BA47AC">
              <w:rPr>
                <w:b w:val="0"/>
              </w:rPr>
              <w:t xml:space="preserve"> </w:t>
            </w:r>
            <w:r w:rsidRPr="005435C6">
              <w:rPr>
                <w:b w:val="0"/>
              </w:rPr>
              <w:t>accommodation</w:t>
            </w:r>
            <w:r w:rsidR="00BA47AC">
              <w:rPr>
                <w:b w:val="0"/>
              </w:rPr>
              <w:t xml:space="preserve"> </w:t>
            </w:r>
            <w:r w:rsidRPr="005435C6">
              <w:rPr>
                <w:b w:val="0"/>
              </w:rPr>
              <w:t>costs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rental</w:t>
            </w:r>
            <w:r w:rsidR="00BA47AC">
              <w:rPr>
                <w:b w:val="0"/>
              </w:rPr>
              <w:t xml:space="preserve"> </w:t>
            </w:r>
            <w:r w:rsidRPr="005435C6">
              <w:rPr>
                <w:b w:val="0"/>
              </w:rPr>
              <w:t>accommodation</w:t>
            </w:r>
            <w:r w:rsidR="00BA47AC">
              <w:rPr>
                <w:b w:val="0"/>
              </w:rPr>
              <w:t xml:space="preserve"> </w:t>
            </w:r>
            <w:r w:rsidRPr="005435C6">
              <w:rPr>
                <w:b w:val="0"/>
              </w:rPr>
              <w:t>costs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bachelor</w:t>
            </w:r>
            <w:r w:rsidR="00BA47AC">
              <w:rPr>
                <w:b w:val="0"/>
              </w:rPr>
              <w:t xml:space="preserve"> </w:t>
            </w:r>
            <w:r w:rsidRPr="005435C6">
              <w:rPr>
                <w:b w:val="0"/>
              </w:rPr>
              <w:t>average</w:t>
            </w:r>
            <w:r w:rsidR="00BA47AC">
              <w:rPr>
                <w:b w:val="0"/>
              </w:rPr>
              <w:t xml:space="preserve"> </w:t>
            </w:r>
            <w:r w:rsidRPr="005435C6">
              <w:rPr>
                <w:b w:val="0"/>
              </w:rPr>
              <w:t>rent</w:t>
            </w:r>
            <w:r w:rsidR="00BA47AC">
              <w:rPr>
                <w:b w:val="0"/>
              </w:rPr>
              <w:t xml:space="preserve"> </w:t>
            </w:r>
            <w:r w:rsidRPr="005435C6">
              <w:rPr>
                <w:b w:val="0"/>
              </w:rPr>
              <w:t>dollars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one</w:t>
            </w:r>
            <w:r w:rsidR="00BA47AC">
              <w:rPr>
                <w:b w:val="0"/>
              </w:rPr>
              <w:t xml:space="preserve"> </w:t>
            </w:r>
            <w:r w:rsidRPr="005435C6">
              <w:rPr>
                <w:b w:val="0"/>
              </w:rPr>
              <w:t>bedroom</w:t>
            </w:r>
            <w:r w:rsidR="00BA47AC">
              <w:rPr>
                <w:b w:val="0"/>
              </w:rPr>
              <w:t xml:space="preserve"> </w:t>
            </w:r>
            <w:r w:rsidRPr="005435C6">
              <w:rPr>
                <w:b w:val="0"/>
              </w:rPr>
              <w:t>average</w:t>
            </w:r>
            <w:r w:rsidR="00BA47AC">
              <w:rPr>
                <w:b w:val="0"/>
              </w:rPr>
              <w:t xml:space="preserve"> </w:t>
            </w:r>
            <w:r w:rsidRPr="005435C6">
              <w:rPr>
                <w:b w:val="0"/>
              </w:rPr>
              <w:t>rent</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two</w:t>
            </w:r>
            <w:r w:rsidR="00BA47AC">
              <w:rPr>
                <w:b w:val="0"/>
              </w:rPr>
              <w:t xml:space="preserve"> </w:t>
            </w:r>
            <w:r w:rsidRPr="005435C6">
              <w:rPr>
                <w:b w:val="0"/>
              </w:rPr>
              <w:t>bed</w:t>
            </w:r>
            <w:r w:rsidR="00BA47AC">
              <w:rPr>
                <w:b w:val="0"/>
              </w:rPr>
              <w:t xml:space="preserve"> </w:t>
            </w:r>
            <w:r w:rsidRPr="005435C6">
              <w:rPr>
                <w:b w:val="0"/>
              </w:rPr>
              <w:t>average</w:t>
            </w:r>
            <w:r w:rsidR="00BA47AC">
              <w:rPr>
                <w:b w:val="0"/>
              </w:rPr>
              <w:t xml:space="preserve"> </w:t>
            </w:r>
            <w:r w:rsidRPr="005435C6">
              <w:rPr>
                <w:b w:val="0"/>
              </w:rPr>
              <w:t>rent</w:t>
            </w:r>
            <w:r w:rsidR="00BA47AC">
              <w:rPr>
                <w:b w:val="0"/>
              </w:rPr>
              <w:t xml:space="preserve"> </w:t>
            </w:r>
            <w:r w:rsidRPr="005435C6">
              <w:rPr>
                <w:b w:val="0"/>
              </w:rPr>
              <w:t>dollars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three</w:t>
            </w:r>
            <w:r w:rsidR="00BA47AC">
              <w:rPr>
                <w:b w:val="0"/>
              </w:rPr>
              <w:t xml:space="preserve"> </w:t>
            </w:r>
            <w:r w:rsidRPr="005435C6">
              <w:rPr>
                <w:b w:val="0"/>
              </w:rPr>
              <w:t>plus</w:t>
            </w:r>
            <w:r w:rsidR="00BA47AC">
              <w:rPr>
                <w:b w:val="0"/>
              </w:rPr>
              <w:t xml:space="preserve"> </w:t>
            </w:r>
            <w:r w:rsidRPr="005435C6">
              <w:rPr>
                <w:b w:val="0"/>
              </w:rPr>
              <w:t>bed</w:t>
            </w:r>
            <w:r w:rsidR="00BA47AC">
              <w:rPr>
                <w:b w:val="0"/>
              </w:rPr>
              <w:t xml:space="preserve"> </w:t>
            </w:r>
            <w:r w:rsidRPr="005435C6">
              <w:rPr>
                <w:b w:val="0"/>
              </w:rPr>
              <w:t>average</w:t>
            </w:r>
            <w:r w:rsidR="00BA47AC">
              <w:rPr>
                <w:b w:val="0"/>
              </w:rPr>
              <w:t xml:space="preserve"> </w:t>
            </w:r>
            <w:r w:rsidRPr="005435C6">
              <w:rPr>
                <w:b w:val="0"/>
              </w:rPr>
              <w:t>rent</w:t>
            </w:r>
            <w:r w:rsidR="00BA47AC">
              <w:rPr>
                <w:b w:val="0"/>
              </w:rPr>
              <w:t xml:space="preserve"> </w:t>
            </w:r>
            <w:r w:rsidRPr="005435C6">
              <w:rPr>
                <w:b w:val="0"/>
              </w:rPr>
              <w:t>dollars</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proofErr w:type="spellStart"/>
            <w:r w:rsidRPr="005435C6">
              <w:rPr>
                <w:b w:val="0"/>
              </w:rPr>
              <w:t>july</w:t>
            </w:r>
            <w:proofErr w:type="spellEnd"/>
            <w:r w:rsidR="00BA47AC">
              <w:rPr>
                <w:b w:val="0"/>
              </w:rPr>
              <w:t xml:space="preserve"> </w:t>
            </w:r>
            <w:r w:rsidRPr="005435C6">
              <w:rPr>
                <w:b w:val="0"/>
              </w:rPr>
              <w:t>1</w:t>
            </w:r>
            <w:r w:rsidR="00BA47AC">
              <w:rPr>
                <w:b w:val="0"/>
              </w:rPr>
              <w:t xml:space="preserve"> </w:t>
            </w:r>
            <w:r w:rsidRPr="005435C6">
              <w:rPr>
                <w:b w:val="0"/>
              </w:rPr>
              <w:t>population</w:t>
            </w:r>
            <w:r w:rsidR="00BA47AC">
              <w:rPr>
                <w:b w:val="0"/>
              </w:rPr>
              <w:t xml:space="preserve"> </w:t>
            </w:r>
            <w:r w:rsidRPr="005435C6">
              <w:rPr>
                <w:b w:val="0"/>
              </w:rPr>
              <w:t>thousands</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proofErr w:type="spellStart"/>
            <w:r w:rsidRPr="005435C6">
              <w:rPr>
                <w:b w:val="0"/>
              </w:rPr>
              <w:t>labour</w:t>
            </w:r>
            <w:proofErr w:type="spellEnd"/>
            <w:r w:rsidR="00BA47AC">
              <w:rPr>
                <w:b w:val="0"/>
              </w:rPr>
              <w:t xml:space="preserve"> </w:t>
            </w:r>
            <w:r w:rsidRPr="005435C6">
              <w:rPr>
                <w:b w:val="0"/>
              </w:rPr>
              <w:t>force</w:t>
            </w:r>
            <w:r w:rsidR="00BA47AC">
              <w:rPr>
                <w:b w:val="0"/>
              </w:rPr>
              <w:t xml:space="preserve"> </w:t>
            </w:r>
            <w:r w:rsidRPr="005435C6">
              <w:rPr>
                <w:b w:val="0"/>
              </w:rPr>
              <w:t>participation</w:t>
            </w:r>
            <w:r w:rsidR="00BA47AC">
              <w:rPr>
                <w:b w:val="0"/>
              </w:rPr>
              <w:t xml:space="preserve"> </w:t>
            </w:r>
            <w:r w:rsidRPr="005435C6">
              <w:rPr>
                <w:b w:val="0"/>
              </w:rPr>
              <w:t>rate</w:t>
            </w:r>
            <w:r w:rsidR="00BA47AC">
              <w:rPr>
                <w:b w:val="0"/>
              </w:rPr>
              <w:t xml:space="preserve"> </w:t>
            </w:r>
            <w:r w:rsidRPr="005435C6">
              <w:rPr>
                <w:b w:val="0"/>
              </w:rPr>
              <w:t>percent</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employment</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unemployment</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r w:rsidR="00413514" w:rsidTr="00BA47AC">
        <w:trPr>
          <w:cnfStyle w:val="000000100000"/>
        </w:trPr>
        <w:tc>
          <w:tcPr>
            <w:cnfStyle w:val="001000000000"/>
            <w:tcW w:w="3600" w:type="dxa"/>
          </w:tcPr>
          <w:p w:rsidR="0048361D" w:rsidRPr="005435C6" w:rsidRDefault="0048361D" w:rsidP="00BA47AC">
            <w:pPr>
              <w:jc w:val="left"/>
              <w:rPr>
                <w:b w:val="0"/>
                <w:sz w:val="24"/>
                <w:szCs w:val="24"/>
              </w:rPr>
            </w:pPr>
            <w:r w:rsidRPr="005435C6">
              <w:rPr>
                <w:b w:val="0"/>
              </w:rPr>
              <w:t>pct</w:t>
            </w:r>
            <w:r w:rsidR="00BA47AC">
              <w:rPr>
                <w:b w:val="0"/>
              </w:rPr>
              <w:t xml:space="preserve"> </w:t>
            </w:r>
            <w:r w:rsidRPr="005435C6">
              <w:rPr>
                <w:b w:val="0"/>
              </w:rPr>
              <w:t>change</w:t>
            </w:r>
            <w:r w:rsidR="00BA47AC">
              <w:rPr>
                <w:b w:val="0"/>
              </w:rPr>
              <w:t xml:space="preserve"> </w:t>
            </w:r>
            <w:r w:rsidRPr="005435C6">
              <w:rPr>
                <w:b w:val="0"/>
              </w:rPr>
              <w:t>real</w:t>
            </w:r>
            <w:r w:rsidR="00BA47AC">
              <w:rPr>
                <w:b w:val="0"/>
              </w:rPr>
              <w:t xml:space="preserve"> </w:t>
            </w:r>
            <w:r w:rsidRPr="005435C6">
              <w:rPr>
                <w:b w:val="0"/>
              </w:rPr>
              <w:t>disposable</w:t>
            </w:r>
            <w:r w:rsidR="00BA47AC">
              <w:rPr>
                <w:b w:val="0"/>
              </w:rPr>
              <w:t xml:space="preserve"> </w:t>
            </w:r>
            <w:r w:rsidRPr="005435C6">
              <w:rPr>
                <w:b w:val="0"/>
              </w:rPr>
              <w:t>income</w:t>
            </w:r>
          </w:p>
        </w:tc>
        <w:tc>
          <w:tcPr>
            <w:tcW w:w="1350" w:type="dxa"/>
          </w:tcPr>
          <w:p w:rsidR="0048361D" w:rsidRPr="00413514" w:rsidRDefault="0048361D" w:rsidP="00DE03B4">
            <w:pPr>
              <w:cnfStyle w:val="000000100000"/>
            </w:pPr>
            <w:r w:rsidRPr="00413514">
              <w:t>quantitative</w:t>
            </w:r>
          </w:p>
        </w:tc>
        <w:tc>
          <w:tcPr>
            <w:tcW w:w="1260" w:type="dxa"/>
          </w:tcPr>
          <w:p w:rsidR="0048361D" w:rsidRPr="00413514" w:rsidRDefault="0048361D" w:rsidP="00DE03B4">
            <w:pPr>
              <w:cnfStyle w:val="000000100000"/>
            </w:pPr>
            <w:r w:rsidRPr="00413514">
              <w:t>continuous</w:t>
            </w:r>
          </w:p>
        </w:tc>
        <w:tc>
          <w:tcPr>
            <w:tcW w:w="1260" w:type="dxa"/>
          </w:tcPr>
          <w:p w:rsidR="0048361D" w:rsidRPr="00413514" w:rsidRDefault="0048361D" w:rsidP="00DE03B4">
            <w:pPr>
              <w:cnfStyle w:val="000000100000"/>
            </w:pPr>
            <w:r w:rsidRPr="00413514">
              <w:t>structured</w:t>
            </w:r>
          </w:p>
        </w:tc>
        <w:tc>
          <w:tcPr>
            <w:tcW w:w="1918" w:type="dxa"/>
          </w:tcPr>
          <w:p w:rsidR="0048361D" w:rsidRPr="00413514" w:rsidRDefault="0048361D" w:rsidP="00BA47AC">
            <w:pPr>
              <w:jc w:val="center"/>
              <w:cnfStyle w:val="000000100000"/>
            </w:pPr>
            <w:r w:rsidRPr="00413514">
              <w:t>I</w:t>
            </w:r>
          </w:p>
        </w:tc>
      </w:tr>
      <w:tr w:rsidR="00413514" w:rsidTr="00BA47AC">
        <w:tc>
          <w:tcPr>
            <w:cnfStyle w:val="001000000000"/>
            <w:tcW w:w="3600" w:type="dxa"/>
          </w:tcPr>
          <w:p w:rsidR="0048361D" w:rsidRPr="005435C6" w:rsidRDefault="0048361D" w:rsidP="00BA47AC">
            <w:pPr>
              <w:jc w:val="left"/>
              <w:rPr>
                <w:b w:val="0"/>
                <w:sz w:val="24"/>
                <w:szCs w:val="24"/>
              </w:rPr>
            </w:pPr>
            <w:r w:rsidRPr="005435C6">
              <w:rPr>
                <w:b w:val="0"/>
              </w:rPr>
              <w:t>net</w:t>
            </w:r>
            <w:r w:rsidR="00BA47AC">
              <w:rPr>
                <w:b w:val="0"/>
              </w:rPr>
              <w:t xml:space="preserve"> </w:t>
            </w:r>
            <w:r w:rsidRPr="005435C6">
              <w:rPr>
                <w:b w:val="0"/>
              </w:rPr>
              <w:t>migration</w:t>
            </w:r>
          </w:p>
        </w:tc>
        <w:tc>
          <w:tcPr>
            <w:tcW w:w="1350" w:type="dxa"/>
          </w:tcPr>
          <w:p w:rsidR="0048361D" w:rsidRPr="00413514" w:rsidRDefault="0048361D" w:rsidP="00DE03B4">
            <w:pPr>
              <w:cnfStyle w:val="000000000000"/>
            </w:pPr>
            <w:r w:rsidRPr="00413514">
              <w:t>quantitative</w:t>
            </w:r>
          </w:p>
        </w:tc>
        <w:tc>
          <w:tcPr>
            <w:tcW w:w="1260" w:type="dxa"/>
          </w:tcPr>
          <w:p w:rsidR="0048361D" w:rsidRPr="00413514" w:rsidRDefault="0048361D" w:rsidP="00DE03B4">
            <w:pPr>
              <w:cnfStyle w:val="000000000000"/>
            </w:pPr>
            <w:r w:rsidRPr="00413514">
              <w:t>continuous</w:t>
            </w:r>
          </w:p>
        </w:tc>
        <w:tc>
          <w:tcPr>
            <w:tcW w:w="1260" w:type="dxa"/>
          </w:tcPr>
          <w:p w:rsidR="0048361D" w:rsidRPr="00413514" w:rsidRDefault="0048361D" w:rsidP="00DE03B4">
            <w:pPr>
              <w:cnfStyle w:val="000000000000"/>
            </w:pPr>
            <w:r w:rsidRPr="00413514">
              <w:t>structured</w:t>
            </w:r>
          </w:p>
        </w:tc>
        <w:tc>
          <w:tcPr>
            <w:tcW w:w="1918" w:type="dxa"/>
          </w:tcPr>
          <w:p w:rsidR="0048361D" w:rsidRPr="00413514" w:rsidRDefault="0048361D" w:rsidP="00BA47AC">
            <w:pPr>
              <w:jc w:val="center"/>
              <w:cnfStyle w:val="000000000000"/>
            </w:pPr>
            <w:r w:rsidRPr="00413514">
              <w:t>I</w:t>
            </w:r>
          </w:p>
        </w:tc>
      </w:tr>
    </w:tbl>
    <w:p w:rsidR="004B0EEF" w:rsidRDefault="00EB1133" w:rsidP="00EF7C07">
      <w:pPr>
        <w:pStyle w:val="Heading1"/>
        <w:spacing w:before="0"/>
      </w:pPr>
      <w:r>
        <w:br/>
      </w:r>
      <w:r w:rsidR="004B0EEF">
        <w:t>Limitations and ethical considerations</w:t>
      </w:r>
    </w:p>
    <w:p w:rsidR="00B76DA7" w:rsidRDefault="00EF7C07" w:rsidP="00DE03B4">
      <w:r>
        <w:t xml:space="preserve">No PII exists in either dataset sourced for this project. The CIS 2018 had some data on immigration; however this data was not included in the subset for analysis in order to avoid cultural bias in the interpretation. </w:t>
      </w:r>
    </w:p>
    <w:p w:rsidR="004B0EEF" w:rsidRDefault="00EF7C07" w:rsidP="00DE03B4">
      <w:r>
        <w:t xml:space="preserve">The most recent year included in either dataset is 2018. The data will not give a picture of the current housing crisis, but it may show how it developed. </w:t>
      </w:r>
      <w:r w:rsidR="00B76DA7">
        <w:t xml:space="preserve">More recent data may have been included in reports from Statistics Canada and the CMHC, even if the data is not openly available. </w:t>
      </w:r>
    </w:p>
    <w:p w:rsidR="00B76DA7" w:rsidRDefault="00B76DA7" w:rsidP="00DE03B4">
      <w:r>
        <w:t>Although the CIS is survey data, income data reported in the CIS has been checked against respondents' tax returns, so the accuracy of the income data will be better than the accuracy of the housing costs, which were self-reported.</w:t>
      </w:r>
    </w:p>
    <w:p w:rsidR="00B76DA7" w:rsidRDefault="00B76DA7" w:rsidP="00DE03B4">
      <w:r>
        <w:t>No detailed information about the data collection and cleaning methods used for the Housing Market Indicators Data is available.</w:t>
      </w:r>
    </w:p>
    <w:p w:rsidR="00EF7C07" w:rsidRDefault="00EF7C07" w:rsidP="00DE03B4">
      <w:pPr>
        <w:pStyle w:val="Heading1"/>
      </w:pPr>
      <w:r>
        <w:t>Preliminary descriptive Statistics</w:t>
      </w:r>
    </w:p>
    <w:p w:rsidR="00B76DA7" w:rsidRDefault="00EF7C07" w:rsidP="00EF7C07">
      <w:r>
        <w:t>Since the Housing Market Data is all time series data, no preliminary statistics have been included here; however they were checked as a quality control tool during data cleaning. Preliminary descriptive statistics from the 2018 CIS are included in Table 4.</w:t>
      </w:r>
    </w:p>
    <w:p w:rsidR="00B76DA7" w:rsidRDefault="00B76DA7">
      <w:pPr>
        <w:jc w:val="both"/>
      </w:pPr>
      <w:r>
        <w:br w:type="page"/>
      </w:r>
    </w:p>
    <w:p w:rsidR="00EF7C07" w:rsidRDefault="00EF7C07" w:rsidP="00EF7C07">
      <w:pPr>
        <w:pStyle w:val="Caption"/>
        <w:keepNext/>
        <w:spacing w:after="0"/>
      </w:pPr>
      <w:r>
        <w:lastRenderedPageBreak/>
        <w:t xml:space="preserve">Table </w:t>
      </w:r>
      <w:fldSimple w:instr=" SEQ Table \* ARABIC ">
        <w:r>
          <w:rPr>
            <w:noProof/>
          </w:rPr>
          <w:t>4</w:t>
        </w:r>
      </w:fldSimple>
      <w:r>
        <w:t>: Preliminary Descriptive Statistics from the 2018 Canadian Income Survey</w:t>
      </w:r>
    </w:p>
    <w:tbl>
      <w:tblPr>
        <w:tblStyle w:val="LightShading2"/>
        <w:tblW w:w="9360" w:type="dxa"/>
        <w:tblLook w:val="04A0"/>
      </w:tblPr>
      <w:tblGrid>
        <w:gridCol w:w="1033"/>
        <w:gridCol w:w="1728"/>
        <w:gridCol w:w="1206"/>
        <w:gridCol w:w="1461"/>
        <w:gridCol w:w="1500"/>
        <w:gridCol w:w="1216"/>
        <w:gridCol w:w="1216"/>
      </w:tblGrid>
      <w:tr w:rsidR="006A26E8" w:rsidTr="006A26E8">
        <w:trPr>
          <w:cnfStyle w:val="100000000000"/>
        </w:trPr>
        <w:tc>
          <w:tcPr>
            <w:cnfStyle w:val="001000000000"/>
            <w:tcW w:w="849" w:type="dxa"/>
          </w:tcPr>
          <w:p w:rsidR="00EF7C07" w:rsidRDefault="00EF7C07" w:rsidP="00EF7C07">
            <w:pPr>
              <w:jc w:val="right"/>
              <w:rPr>
                <w:rFonts w:ascii="Calibri" w:hAnsi="Calibri" w:cs="Calibri"/>
                <w:color w:val="000000"/>
              </w:rPr>
            </w:pPr>
          </w:p>
        </w:tc>
        <w:tc>
          <w:tcPr>
            <w:tcW w:w="1419" w:type="dxa"/>
          </w:tcPr>
          <w:p w:rsidR="00EF7C07" w:rsidRDefault="00EF7C07" w:rsidP="00EF7C07">
            <w:pPr>
              <w:jc w:val="right"/>
              <w:cnfStyle w:val="100000000000"/>
              <w:rPr>
                <w:rFonts w:ascii="Calibri" w:hAnsi="Calibri" w:cs="Calibri"/>
                <w:color w:val="000000"/>
              </w:rPr>
            </w:pPr>
            <w:r>
              <w:rPr>
                <w:rFonts w:ascii="Calibri" w:hAnsi="Calibri" w:cs="Calibri"/>
                <w:color w:val="000000"/>
              </w:rPr>
              <w:t>Sample weight</w:t>
            </w:r>
            <w:r w:rsidR="006A26E8">
              <w:rPr>
                <w:rFonts w:ascii="Calibri" w:hAnsi="Calibri" w:cs="Calibri"/>
                <w:color w:val="000000"/>
              </w:rPr>
              <w:t xml:space="preserve"> (not yet applied)</w:t>
            </w:r>
          </w:p>
        </w:tc>
        <w:tc>
          <w:tcPr>
            <w:tcW w:w="990" w:type="dxa"/>
          </w:tcPr>
          <w:p w:rsidR="00EF7C07" w:rsidRDefault="00EF7C07" w:rsidP="00EF7C07">
            <w:pPr>
              <w:jc w:val="right"/>
              <w:cnfStyle w:val="100000000000"/>
              <w:rPr>
                <w:rFonts w:ascii="Calibri" w:hAnsi="Calibri" w:cs="Calibri"/>
                <w:color w:val="000000"/>
              </w:rPr>
            </w:pPr>
            <w:r>
              <w:rPr>
                <w:rFonts w:ascii="Calibri" w:hAnsi="Calibri" w:cs="Calibri"/>
                <w:color w:val="000000"/>
              </w:rPr>
              <w:t>After tax income (CAD)</w:t>
            </w:r>
          </w:p>
        </w:tc>
        <w:tc>
          <w:tcPr>
            <w:tcW w:w="1199" w:type="dxa"/>
          </w:tcPr>
          <w:p w:rsidR="00EF7C07" w:rsidRDefault="00EF7C07" w:rsidP="00EF7C07">
            <w:pPr>
              <w:jc w:val="right"/>
              <w:cnfStyle w:val="100000000000"/>
              <w:rPr>
                <w:rFonts w:ascii="Calibri" w:hAnsi="Calibri" w:cs="Calibri"/>
                <w:color w:val="000000"/>
              </w:rPr>
            </w:pPr>
            <w:r>
              <w:rPr>
                <w:rFonts w:ascii="Calibri" w:hAnsi="Calibri" w:cs="Calibri"/>
                <w:color w:val="000000"/>
              </w:rPr>
              <w:t>Household size</w:t>
            </w:r>
          </w:p>
        </w:tc>
        <w:tc>
          <w:tcPr>
            <w:tcW w:w="1231" w:type="dxa"/>
          </w:tcPr>
          <w:p w:rsidR="00EF7C07" w:rsidRDefault="00EF7C07" w:rsidP="00EF7C07">
            <w:pPr>
              <w:jc w:val="right"/>
              <w:cnfStyle w:val="100000000000"/>
              <w:rPr>
                <w:rFonts w:ascii="Calibri" w:hAnsi="Calibri" w:cs="Calibri"/>
                <w:color w:val="000000"/>
              </w:rPr>
            </w:pPr>
            <w:r>
              <w:rPr>
                <w:rFonts w:ascii="Calibri" w:hAnsi="Calibri" w:cs="Calibri"/>
                <w:color w:val="000000"/>
              </w:rPr>
              <w:t>Monthly mortgage payment</w:t>
            </w:r>
          </w:p>
        </w:tc>
        <w:tc>
          <w:tcPr>
            <w:tcW w:w="998" w:type="dxa"/>
          </w:tcPr>
          <w:p w:rsidR="00EF7C07" w:rsidRDefault="00EF7C07" w:rsidP="00EF7C07">
            <w:pPr>
              <w:jc w:val="right"/>
              <w:cnfStyle w:val="100000000000"/>
              <w:rPr>
                <w:rFonts w:ascii="Calibri" w:hAnsi="Calibri" w:cs="Calibri"/>
                <w:color w:val="000000"/>
              </w:rPr>
            </w:pPr>
            <w:r>
              <w:rPr>
                <w:rFonts w:ascii="Calibri" w:hAnsi="Calibri" w:cs="Calibri"/>
                <w:color w:val="000000"/>
              </w:rPr>
              <w:t>Monthly condo fee</w:t>
            </w:r>
          </w:p>
        </w:tc>
        <w:tc>
          <w:tcPr>
            <w:tcW w:w="998" w:type="dxa"/>
          </w:tcPr>
          <w:p w:rsidR="00EF7C07" w:rsidRDefault="00EF7C07" w:rsidP="00EF7C07">
            <w:pPr>
              <w:jc w:val="right"/>
              <w:cnfStyle w:val="100000000000"/>
              <w:rPr>
                <w:rFonts w:ascii="Calibri" w:hAnsi="Calibri" w:cs="Calibri"/>
                <w:color w:val="000000"/>
              </w:rPr>
            </w:pPr>
            <w:r>
              <w:rPr>
                <w:rFonts w:ascii="Calibri" w:hAnsi="Calibri" w:cs="Calibri"/>
                <w:color w:val="000000"/>
              </w:rPr>
              <w:t>Monthly rent</w:t>
            </w:r>
          </w:p>
        </w:tc>
      </w:tr>
      <w:tr w:rsidR="00EF7C07" w:rsidTr="006A26E8">
        <w:trPr>
          <w:cnfStyle w:val="000000100000"/>
        </w:trPr>
        <w:tc>
          <w:tcPr>
            <w:cnfStyle w:val="001000000000"/>
            <w:tcW w:w="849" w:type="dxa"/>
          </w:tcPr>
          <w:p w:rsidR="00EF7C07" w:rsidRDefault="00EF7C07">
            <w:pPr>
              <w:rPr>
                <w:rFonts w:ascii="Calibri" w:hAnsi="Calibri" w:cs="Calibri"/>
                <w:color w:val="000000"/>
              </w:rPr>
            </w:pPr>
            <w:r>
              <w:rPr>
                <w:rFonts w:ascii="Calibri" w:hAnsi="Calibri" w:cs="Calibri"/>
                <w:color w:val="000000"/>
              </w:rPr>
              <w:t>count</w:t>
            </w:r>
          </w:p>
        </w:tc>
        <w:tc>
          <w:tcPr>
            <w:tcW w:w="1419" w:type="dxa"/>
          </w:tcPr>
          <w:p w:rsidR="00EF7C07" w:rsidRDefault="00EF7C07">
            <w:pPr>
              <w:jc w:val="right"/>
              <w:cnfStyle w:val="000000100000"/>
              <w:rPr>
                <w:rFonts w:ascii="Calibri" w:hAnsi="Calibri" w:cs="Calibri"/>
                <w:color w:val="000000"/>
              </w:rPr>
            </w:pPr>
            <w:r>
              <w:rPr>
                <w:rFonts w:ascii="Calibri" w:hAnsi="Calibri" w:cs="Calibri"/>
                <w:color w:val="000000"/>
              </w:rPr>
              <w:t>94336</w:t>
            </w:r>
          </w:p>
        </w:tc>
        <w:tc>
          <w:tcPr>
            <w:tcW w:w="990" w:type="dxa"/>
          </w:tcPr>
          <w:p w:rsidR="00EF7C07" w:rsidRDefault="00EF7C07">
            <w:pPr>
              <w:jc w:val="right"/>
              <w:cnfStyle w:val="000000100000"/>
              <w:rPr>
                <w:rFonts w:ascii="Calibri" w:hAnsi="Calibri" w:cs="Calibri"/>
                <w:color w:val="000000"/>
              </w:rPr>
            </w:pPr>
            <w:r>
              <w:rPr>
                <w:rFonts w:ascii="Calibri" w:hAnsi="Calibri" w:cs="Calibri"/>
                <w:color w:val="000000"/>
              </w:rPr>
              <w:t>77148</w:t>
            </w:r>
          </w:p>
        </w:tc>
        <w:tc>
          <w:tcPr>
            <w:tcW w:w="1199" w:type="dxa"/>
          </w:tcPr>
          <w:p w:rsidR="00EF7C07" w:rsidRDefault="00EF7C07">
            <w:pPr>
              <w:jc w:val="right"/>
              <w:cnfStyle w:val="000000100000"/>
              <w:rPr>
                <w:rFonts w:ascii="Calibri" w:hAnsi="Calibri" w:cs="Calibri"/>
                <w:color w:val="000000"/>
              </w:rPr>
            </w:pPr>
            <w:r>
              <w:rPr>
                <w:rFonts w:ascii="Calibri" w:hAnsi="Calibri" w:cs="Calibri"/>
                <w:color w:val="000000"/>
              </w:rPr>
              <w:t>94336</w:t>
            </w:r>
          </w:p>
        </w:tc>
        <w:tc>
          <w:tcPr>
            <w:tcW w:w="1231" w:type="dxa"/>
          </w:tcPr>
          <w:p w:rsidR="00EF7C07" w:rsidRDefault="00EF7C07">
            <w:pPr>
              <w:jc w:val="right"/>
              <w:cnfStyle w:val="000000100000"/>
              <w:rPr>
                <w:rFonts w:ascii="Calibri" w:hAnsi="Calibri" w:cs="Calibri"/>
                <w:color w:val="000000"/>
              </w:rPr>
            </w:pPr>
            <w:r>
              <w:rPr>
                <w:rFonts w:ascii="Calibri" w:hAnsi="Calibri" w:cs="Calibri"/>
                <w:color w:val="000000"/>
              </w:rPr>
              <w:t>45296</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3818</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22157</w:t>
            </w:r>
          </w:p>
        </w:tc>
      </w:tr>
      <w:tr w:rsidR="006A26E8" w:rsidTr="006A26E8">
        <w:tc>
          <w:tcPr>
            <w:cnfStyle w:val="001000000000"/>
            <w:tcW w:w="849" w:type="dxa"/>
          </w:tcPr>
          <w:p w:rsidR="00EF7C07" w:rsidRDefault="00EF7C07">
            <w:pPr>
              <w:rPr>
                <w:rFonts w:ascii="Calibri" w:hAnsi="Calibri" w:cs="Calibri"/>
                <w:color w:val="000000"/>
              </w:rPr>
            </w:pPr>
            <w:r>
              <w:rPr>
                <w:rFonts w:ascii="Calibri" w:hAnsi="Calibri" w:cs="Calibri"/>
                <w:color w:val="000000"/>
              </w:rPr>
              <w:t>mean</w:t>
            </w:r>
          </w:p>
        </w:tc>
        <w:tc>
          <w:tcPr>
            <w:tcW w:w="1419" w:type="dxa"/>
          </w:tcPr>
          <w:p w:rsidR="00EF7C07" w:rsidRDefault="00EF7C07">
            <w:pPr>
              <w:jc w:val="right"/>
              <w:cnfStyle w:val="000000000000"/>
              <w:rPr>
                <w:rFonts w:ascii="Calibri" w:hAnsi="Calibri" w:cs="Calibri"/>
                <w:color w:val="000000"/>
              </w:rPr>
            </w:pPr>
            <w:r>
              <w:rPr>
                <w:rFonts w:ascii="Calibri" w:hAnsi="Calibri" w:cs="Calibri"/>
                <w:color w:val="000000"/>
              </w:rPr>
              <w:t>385</w:t>
            </w:r>
          </w:p>
        </w:tc>
        <w:tc>
          <w:tcPr>
            <w:tcW w:w="990" w:type="dxa"/>
          </w:tcPr>
          <w:p w:rsidR="00EF7C07" w:rsidRDefault="00EF7C07">
            <w:pPr>
              <w:jc w:val="right"/>
              <w:cnfStyle w:val="000000000000"/>
              <w:rPr>
                <w:rFonts w:ascii="Calibri" w:hAnsi="Calibri" w:cs="Calibri"/>
                <w:color w:val="000000"/>
              </w:rPr>
            </w:pPr>
            <w:r>
              <w:rPr>
                <w:rFonts w:ascii="Calibri" w:hAnsi="Calibri" w:cs="Calibri"/>
                <w:color w:val="000000"/>
              </w:rPr>
              <w:t>40811</w:t>
            </w:r>
          </w:p>
        </w:tc>
        <w:tc>
          <w:tcPr>
            <w:tcW w:w="1199" w:type="dxa"/>
          </w:tcPr>
          <w:p w:rsidR="00EF7C07" w:rsidRDefault="00EF7C07">
            <w:pPr>
              <w:jc w:val="right"/>
              <w:cnfStyle w:val="000000000000"/>
              <w:rPr>
                <w:rFonts w:ascii="Calibri" w:hAnsi="Calibri" w:cs="Calibri"/>
                <w:color w:val="000000"/>
              </w:rPr>
            </w:pPr>
            <w:r>
              <w:rPr>
                <w:rFonts w:ascii="Calibri" w:hAnsi="Calibri" w:cs="Calibri"/>
                <w:color w:val="000000"/>
              </w:rPr>
              <w:t>3</w:t>
            </w:r>
          </w:p>
        </w:tc>
        <w:tc>
          <w:tcPr>
            <w:tcW w:w="1231" w:type="dxa"/>
          </w:tcPr>
          <w:p w:rsidR="00EF7C07" w:rsidRDefault="00EF7C07">
            <w:pPr>
              <w:jc w:val="right"/>
              <w:cnfStyle w:val="000000000000"/>
              <w:rPr>
                <w:rFonts w:ascii="Calibri" w:hAnsi="Calibri" w:cs="Calibri"/>
                <w:color w:val="000000"/>
              </w:rPr>
            </w:pPr>
            <w:r>
              <w:rPr>
                <w:rFonts w:ascii="Calibri" w:hAnsi="Calibri" w:cs="Calibri"/>
                <w:color w:val="000000"/>
              </w:rPr>
              <w:t>1309</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370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994</w:t>
            </w:r>
          </w:p>
        </w:tc>
      </w:tr>
      <w:tr w:rsidR="00EF7C07" w:rsidTr="006A26E8">
        <w:trPr>
          <w:cnfStyle w:val="000000100000"/>
        </w:trPr>
        <w:tc>
          <w:tcPr>
            <w:cnfStyle w:val="001000000000"/>
            <w:tcW w:w="849" w:type="dxa"/>
          </w:tcPr>
          <w:p w:rsidR="00EF7C07" w:rsidRDefault="00EF7C07">
            <w:pPr>
              <w:rPr>
                <w:rFonts w:ascii="Calibri" w:hAnsi="Calibri" w:cs="Calibri"/>
                <w:color w:val="000000"/>
              </w:rPr>
            </w:pPr>
            <w:r>
              <w:rPr>
                <w:rFonts w:ascii="Calibri" w:hAnsi="Calibri" w:cs="Calibri"/>
                <w:color w:val="000000"/>
              </w:rPr>
              <w:t>std</w:t>
            </w:r>
          </w:p>
        </w:tc>
        <w:tc>
          <w:tcPr>
            <w:tcW w:w="1419" w:type="dxa"/>
          </w:tcPr>
          <w:p w:rsidR="00EF7C07" w:rsidRDefault="00EF7C07">
            <w:pPr>
              <w:jc w:val="right"/>
              <w:cnfStyle w:val="000000100000"/>
              <w:rPr>
                <w:rFonts w:ascii="Calibri" w:hAnsi="Calibri" w:cs="Calibri"/>
                <w:color w:val="000000"/>
              </w:rPr>
            </w:pPr>
            <w:r>
              <w:rPr>
                <w:rFonts w:ascii="Calibri" w:hAnsi="Calibri" w:cs="Calibri"/>
                <w:color w:val="000000"/>
              </w:rPr>
              <w:t>435</w:t>
            </w:r>
          </w:p>
        </w:tc>
        <w:tc>
          <w:tcPr>
            <w:tcW w:w="990" w:type="dxa"/>
          </w:tcPr>
          <w:p w:rsidR="00EF7C07" w:rsidRDefault="00EF7C07">
            <w:pPr>
              <w:jc w:val="right"/>
              <w:cnfStyle w:val="000000100000"/>
              <w:rPr>
                <w:rFonts w:ascii="Calibri" w:hAnsi="Calibri" w:cs="Calibri"/>
                <w:color w:val="000000"/>
              </w:rPr>
            </w:pPr>
            <w:r>
              <w:rPr>
                <w:rFonts w:ascii="Calibri" w:hAnsi="Calibri" w:cs="Calibri"/>
                <w:color w:val="000000"/>
              </w:rPr>
              <w:t>34574</w:t>
            </w:r>
          </w:p>
        </w:tc>
        <w:tc>
          <w:tcPr>
            <w:tcW w:w="1199" w:type="dxa"/>
          </w:tcPr>
          <w:p w:rsidR="00EF7C07" w:rsidRDefault="00EF7C07">
            <w:pPr>
              <w:jc w:val="right"/>
              <w:cnfStyle w:val="000000100000"/>
              <w:rPr>
                <w:rFonts w:ascii="Calibri" w:hAnsi="Calibri" w:cs="Calibri"/>
                <w:color w:val="000000"/>
              </w:rPr>
            </w:pPr>
            <w:r>
              <w:rPr>
                <w:rFonts w:ascii="Calibri" w:hAnsi="Calibri" w:cs="Calibri"/>
                <w:color w:val="000000"/>
              </w:rPr>
              <w:t>1</w:t>
            </w:r>
          </w:p>
        </w:tc>
        <w:tc>
          <w:tcPr>
            <w:tcW w:w="1231" w:type="dxa"/>
          </w:tcPr>
          <w:p w:rsidR="00EF7C07" w:rsidRDefault="00EF7C07">
            <w:pPr>
              <w:jc w:val="right"/>
              <w:cnfStyle w:val="000000100000"/>
              <w:rPr>
                <w:rFonts w:ascii="Calibri" w:hAnsi="Calibri" w:cs="Calibri"/>
                <w:color w:val="000000"/>
              </w:rPr>
            </w:pPr>
            <w:r>
              <w:rPr>
                <w:rFonts w:ascii="Calibri" w:hAnsi="Calibri" w:cs="Calibri"/>
                <w:color w:val="000000"/>
              </w:rPr>
              <w:t>730</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237</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513</w:t>
            </w:r>
          </w:p>
        </w:tc>
      </w:tr>
      <w:tr w:rsidR="006A26E8" w:rsidTr="006A26E8">
        <w:tc>
          <w:tcPr>
            <w:cnfStyle w:val="001000000000"/>
            <w:tcW w:w="849" w:type="dxa"/>
          </w:tcPr>
          <w:p w:rsidR="00EF7C07" w:rsidRDefault="00EF7C07">
            <w:pPr>
              <w:rPr>
                <w:rFonts w:ascii="Calibri" w:hAnsi="Calibri" w:cs="Calibri"/>
                <w:color w:val="000000"/>
              </w:rPr>
            </w:pPr>
            <w:r>
              <w:rPr>
                <w:rFonts w:ascii="Calibri" w:hAnsi="Calibri" w:cs="Calibri"/>
                <w:color w:val="000000"/>
              </w:rPr>
              <w:t>min</w:t>
            </w:r>
          </w:p>
        </w:tc>
        <w:tc>
          <w:tcPr>
            <w:tcW w:w="1419" w:type="dxa"/>
          </w:tcPr>
          <w:p w:rsidR="00EF7C07" w:rsidRDefault="00EF7C07">
            <w:pPr>
              <w:jc w:val="right"/>
              <w:cnfStyle w:val="000000000000"/>
              <w:rPr>
                <w:rFonts w:ascii="Calibri" w:hAnsi="Calibri" w:cs="Calibri"/>
                <w:color w:val="000000"/>
              </w:rPr>
            </w:pPr>
            <w:r>
              <w:rPr>
                <w:rFonts w:ascii="Calibri" w:hAnsi="Calibri" w:cs="Calibri"/>
                <w:color w:val="000000"/>
              </w:rPr>
              <w:t>10</w:t>
            </w:r>
          </w:p>
        </w:tc>
        <w:tc>
          <w:tcPr>
            <w:tcW w:w="990" w:type="dxa"/>
          </w:tcPr>
          <w:p w:rsidR="00EF7C07" w:rsidRDefault="00EF7C07">
            <w:pPr>
              <w:jc w:val="right"/>
              <w:cnfStyle w:val="000000000000"/>
              <w:rPr>
                <w:rFonts w:ascii="Calibri" w:hAnsi="Calibri" w:cs="Calibri"/>
                <w:color w:val="000000"/>
              </w:rPr>
            </w:pPr>
            <w:r>
              <w:rPr>
                <w:rFonts w:ascii="Calibri" w:hAnsi="Calibri" w:cs="Calibri"/>
                <w:color w:val="000000"/>
              </w:rPr>
              <w:t>-133295</w:t>
            </w:r>
          </w:p>
        </w:tc>
        <w:tc>
          <w:tcPr>
            <w:tcW w:w="1199" w:type="dxa"/>
          </w:tcPr>
          <w:p w:rsidR="00EF7C07" w:rsidRDefault="00EF7C07">
            <w:pPr>
              <w:jc w:val="right"/>
              <w:cnfStyle w:val="000000000000"/>
              <w:rPr>
                <w:rFonts w:ascii="Calibri" w:hAnsi="Calibri" w:cs="Calibri"/>
                <w:color w:val="000000"/>
              </w:rPr>
            </w:pPr>
            <w:r>
              <w:rPr>
                <w:rFonts w:ascii="Calibri" w:hAnsi="Calibri" w:cs="Calibri"/>
                <w:color w:val="000000"/>
              </w:rPr>
              <w:t>1</w:t>
            </w:r>
          </w:p>
        </w:tc>
        <w:tc>
          <w:tcPr>
            <w:tcW w:w="1231" w:type="dxa"/>
          </w:tcPr>
          <w:p w:rsidR="00EF7C07" w:rsidRDefault="00EF7C07">
            <w:pPr>
              <w:jc w:val="right"/>
              <w:cnfStyle w:val="000000000000"/>
              <w:rPr>
                <w:rFonts w:ascii="Calibri" w:hAnsi="Calibri" w:cs="Calibri"/>
                <w:color w:val="000000"/>
              </w:rPr>
            </w:pPr>
            <w:r>
              <w:rPr>
                <w:rFonts w:ascii="Calibri" w:hAnsi="Calibri" w:cs="Calibri"/>
                <w:color w:val="000000"/>
              </w:rPr>
              <w:t>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0</w:t>
            </w:r>
          </w:p>
        </w:tc>
      </w:tr>
      <w:tr w:rsidR="00EF7C07" w:rsidTr="006A26E8">
        <w:trPr>
          <w:cnfStyle w:val="000000100000"/>
        </w:trPr>
        <w:tc>
          <w:tcPr>
            <w:cnfStyle w:val="001000000000"/>
            <w:tcW w:w="849" w:type="dxa"/>
          </w:tcPr>
          <w:p w:rsidR="00EF7C07" w:rsidRDefault="00EF7C07">
            <w:pPr>
              <w:jc w:val="right"/>
              <w:rPr>
                <w:rFonts w:ascii="Calibri" w:hAnsi="Calibri" w:cs="Calibri"/>
                <w:color w:val="000000"/>
              </w:rPr>
            </w:pPr>
            <w:r>
              <w:rPr>
                <w:rFonts w:ascii="Calibri" w:hAnsi="Calibri" w:cs="Calibri"/>
                <w:color w:val="000000"/>
              </w:rPr>
              <w:t>25%</w:t>
            </w:r>
          </w:p>
        </w:tc>
        <w:tc>
          <w:tcPr>
            <w:tcW w:w="1419" w:type="dxa"/>
          </w:tcPr>
          <w:p w:rsidR="00EF7C07" w:rsidRDefault="00EF7C07">
            <w:pPr>
              <w:jc w:val="right"/>
              <w:cnfStyle w:val="000000100000"/>
              <w:rPr>
                <w:rFonts w:ascii="Calibri" w:hAnsi="Calibri" w:cs="Calibri"/>
                <w:color w:val="000000"/>
              </w:rPr>
            </w:pPr>
            <w:r>
              <w:rPr>
                <w:rFonts w:ascii="Calibri" w:hAnsi="Calibri" w:cs="Calibri"/>
                <w:color w:val="000000"/>
              </w:rPr>
              <w:t>126</w:t>
            </w:r>
          </w:p>
        </w:tc>
        <w:tc>
          <w:tcPr>
            <w:tcW w:w="990" w:type="dxa"/>
          </w:tcPr>
          <w:p w:rsidR="00EF7C07" w:rsidRDefault="00EF7C07">
            <w:pPr>
              <w:jc w:val="right"/>
              <w:cnfStyle w:val="000000100000"/>
              <w:rPr>
                <w:rFonts w:ascii="Calibri" w:hAnsi="Calibri" w:cs="Calibri"/>
                <w:color w:val="000000"/>
              </w:rPr>
            </w:pPr>
            <w:r>
              <w:rPr>
                <w:rFonts w:ascii="Calibri" w:hAnsi="Calibri" w:cs="Calibri"/>
                <w:color w:val="000000"/>
              </w:rPr>
              <w:t>19025</w:t>
            </w:r>
          </w:p>
        </w:tc>
        <w:tc>
          <w:tcPr>
            <w:tcW w:w="1199" w:type="dxa"/>
          </w:tcPr>
          <w:p w:rsidR="00EF7C07" w:rsidRDefault="00EF7C07">
            <w:pPr>
              <w:jc w:val="right"/>
              <w:cnfStyle w:val="000000100000"/>
              <w:rPr>
                <w:rFonts w:ascii="Calibri" w:hAnsi="Calibri" w:cs="Calibri"/>
                <w:color w:val="000000"/>
              </w:rPr>
            </w:pPr>
            <w:r>
              <w:rPr>
                <w:rFonts w:ascii="Calibri" w:hAnsi="Calibri" w:cs="Calibri"/>
                <w:color w:val="000000"/>
              </w:rPr>
              <w:t>2</w:t>
            </w:r>
          </w:p>
        </w:tc>
        <w:tc>
          <w:tcPr>
            <w:tcW w:w="1231" w:type="dxa"/>
          </w:tcPr>
          <w:p w:rsidR="00EF7C07" w:rsidRDefault="00EF7C07">
            <w:pPr>
              <w:jc w:val="right"/>
              <w:cnfStyle w:val="000000100000"/>
              <w:rPr>
                <w:rFonts w:ascii="Calibri" w:hAnsi="Calibri" w:cs="Calibri"/>
                <w:color w:val="000000"/>
              </w:rPr>
            </w:pPr>
            <w:r>
              <w:rPr>
                <w:rFonts w:ascii="Calibri" w:hAnsi="Calibri" w:cs="Calibri"/>
                <w:color w:val="000000"/>
              </w:rPr>
              <w:t>800</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250</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700</w:t>
            </w:r>
          </w:p>
        </w:tc>
      </w:tr>
      <w:tr w:rsidR="006A26E8" w:rsidTr="006A26E8">
        <w:tc>
          <w:tcPr>
            <w:cnfStyle w:val="001000000000"/>
            <w:tcW w:w="849" w:type="dxa"/>
          </w:tcPr>
          <w:p w:rsidR="00EF7C07" w:rsidRDefault="00EF7C07">
            <w:pPr>
              <w:jc w:val="right"/>
              <w:rPr>
                <w:rFonts w:ascii="Calibri" w:hAnsi="Calibri" w:cs="Calibri"/>
                <w:color w:val="000000"/>
              </w:rPr>
            </w:pPr>
            <w:r>
              <w:rPr>
                <w:rFonts w:ascii="Calibri" w:hAnsi="Calibri" w:cs="Calibri"/>
                <w:color w:val="000000"/>
              </w:rPr>
              <w:t>50%</w:t>
            </w:r>
          </w:p>
        </w:tc>
        <w:tc>
          <w:tcPr>
            <w:tcW w:w="1419" w:type="dxa"/>
          </w:tcPr>
          <w:p w:rsidR="00EF7C07" w:rsidRDefault="00EF7C07">
            <w:pPr>
              <w:jc w:val="right"/>
              <w:cnfStyle w:val="000000000000"/>
              <w:rPr>
                <w:rFonts w:ascii="Calibri" w:hAnsi="Calibri" w:cs="Calibri"/>
                <w:color w:val="000000"/>
              </w:rPr>
            </w:pPr>
            <w:r>
              <w:rPr>
                <w:rFonts w:ascii="Calibri" w:hAnsi="Calibri" w:cs="Calibri"/>
                <w:color w:val="000000"/>
              </w:rPr>
              <w:t>212</w:t>
            </w:r>
          </w:p>
        </w:tc>
        <w:tc>
          <w:tcPr>
            <w:tcW w:w="990" w:type="dxa"/>
          </w:tcPr>
          <w:p w:rsidR="00EF7C07" w:rsidRDefault="00EF7C07">
            <w:pPr>
              <w:jc w:val="right"/>
              <w:cnfStyle w:val="000000000000"/>
              <w:rPr>
                <w:rFonts w:ascii="Calibri" w:hAnsi="Calibri" w:cs="Calibri"/>
                <w:color w:val="000000"/>
              </w:rPr>
            </w:pPr>
            <w:r>
              <w:rPr>
                <w:rFonts w:ascii="Calibri" w:hAnsi="Calibri" w:cs="Calibri"/>
                <w:color w:val="000000"/>
              </w:rPr>
              <w:t>34355</w:t>
            </w:r>
          </w:p>
        </w:tc>
        <w:tc>
          <w:tcPr>
            <w:tcW w:w="1199" w:type="dxa"/>
          </w:tcPr>
          <w:p w:rsidR="00EF7C07" w:rsidRDefault="00EF7C07">
            <w:pPr>
              <w:jc w:val="right"/>
              <w:cnfStyle w:val="000000000000"/>
              <w:rPr>
                <w:rFonts w:ascii="Calibri" w:hAnsi="Calibri" w:cs="Calibri"/>
                <w:color w:val="000000"/>
              </w:rPr>
            </w:pPr>
            <w:r>
              <w:rPr>
                <w:rFonts w:ascii="Calibri" w:hAnsi="Calibri" w:cs="Calibri"/>
                <w:color w:val="000000"/>
              </w:rPr>
              <w:t>3</w:t>
            </w:r>
          </w:p>
        </w:tc>
        <w:tc>
          <w:tcPr>
            <w:tcW w:w="1231" w:type="dxa"/>
          </w:tcPr>
          <w:p w:rsidR="00EF7C07" w:rsidRDefault="00EF7C07">
            <w:pPr>
              <w:jc w:val="right"/>
              <w:cnfStyle w:val="000000000000"/>
              <w:rPr>
                <w:rFonts w:ascii="Calibri" w:hAnsi="Calibri" w:cs="Calibri"/>
                <w:color w:val="000000"/>
              </w:rPr>
            </w:pPr>
            <w:r>
              <w:rPr>
                <w:rFonts w:ascii="Calibri" w:hAnsi="Calibri" w:cs="Calibri"/>
                <w:color w:val="000000"/>
              </w:rPr>
              <w:t>1200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300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900</w:t>
            </w:r>
          </w:p>
        </w:tc>
      </w:tr>
      <w:tr w:rsidR="00EF7C07" w:rsidTr="006A26E8">
        <w:trPr>
          <w:cnfStyle w:val="000000100000"/>
        </w:trPr>
        <w:tc>
          <w:tcPr>
            <w:cnfStyle w:val="001000000000"/>
            <w:tcW w:w="849" w:type="dxa"/>
          </w:tcPr>
          <w:p w:rsidR="00EF7C07" w:rsidRDefault="00EF7C07">
            <w:pPr>
              <w:jc w:val="right"/>
              <w:rPr>
                <w:rFonts w:ascii="Calibri" w:hAnsi="Calibri" w:cs="Calibri"/>
                <w:color w:val="000000"/>
              </w:rPr>
            </w:pPr>
            <w:r>
              <w:rPr>
                <w:rFonts w:ascii="Calibri" w:hAnsi="Calibri" w:cs="Calibri"/>
                <w:color w:val="000000"/>
              </w:rPr>
              <w:t>75%</w:t>
            </w:r>
          </w:p>
        </w:tc>
        <w:tc>
          <w:tcPr>
            <w:tcW w:w="1419" w:type="dxa"/>
          </w:tcPr>
          <w:p w:rsidR="00EF7C07" w:rsidRDefault="00EF7C07">
            <w:pPr>
              <w:jc w:val="right"/>
              <w:cnfStyle w:val="000000100000"/>
              <w:rPr>
                <w:rFonts w:ascii="Calibri" w:hAnsi="Calibri" w:cs="Calibri"/>
                <w:color w:val="000000"/>
              </w:rPr>
            </w:pPr>
            <w:r>
              <w:rPr>
                <w:rFonts w:ascii="Calibri" w:hAnsi="Calibri" w:cs="Calibri"/>
                <w:color w:val="000000"/>
              </w:rPr>
              <w:t>463</w:t>
            </w:r>
          </w:p>
        </w:tc>
        <w:tc>
          <w:tcPr>
            <w:tcW w:w="990" w:type="dxa"/>
          </w:tcPr>
          <w:p w:rsidR="00EF7C07" w:rsidRDefault="00EF7C07">
            <w:pPr>
              <w:jc w:val="right"/>
              <w:cnfStyle w:val="000000100000"/>
              <w:rPr>
                <w:rFonts w:ascii="Calibri" w:hAnsi="Calibri" w:cs="Calibri"/>
                <w:color w:val="000000"/>
              </w:rPr>
            </w:pPr>
            <w:r>
              <w:rPr>
                <w:rFonts w:ascii="Calibri" w:hAnsi="Calibri" w:cs="Calibri"/>
                <w:color w:val="000000"/>
              </w:rPr>
              <w:t>54435</w:t>
            </w:r>
          </w:p>
        </w:tc>
        <w:tc>
          <w:tcPr>
            <w:tcW w:w="1199" w:type="dxa"/>
          </w:tcPr>
          <w:p w:rsidR="00EF7C07" w:rsidRDefault="00EF7C07">
            <w:pPr>
              <w:jc w:val="right"/>
              <w:cnfStyle w:val="000000100000"/>
              <w:rPr>
                <w:rFonts w:ascii="Calibri" w:hAnsi="Calibri" w:cs="Calibri"/>
                <w:color w:val="000000"/>
              </w:rPr>
            </w:pPr>
            <w:r>
              <w:rPr>
                <w:rFonts w:ascii="Calibri" w:hAnsi="Calibri" w:cs="Calibri"/>
                <w:color w:val="000000"/>
              </w:rPr>
              <w:t>4</w:t>
            </w:r>
          </w:p>
        </w:tc>
        <w:tc>
          <w:tcPr>
            <w:tcW w:w="1231" w:type="dxa"/>
          </w:tcPr>
          <w:p w:rsidR="00EF7C07" w:rsidRDefault="00EF7C07">
            <w:pPr>
              <w:jc w:val="right"/>
              <w:cnfStyle w:val="000000100000"/>
              <w:rPr>
                <w:rFonts w:ascii="Calibri" w:hAnsi="Calibri" w:cs="Calibri"/>
                <w:color w:val="000000"/>
              </w:rPr>
            </w:pPr>
            <w:r>
              <w:rPr>
                <w:rFonts w:ascii="Calibri" w:hAnsi="Calibri" w:cs="Calibri"/>
                <w:color w:val="000000"/>
              </w:rPr>
              <w:t>1700</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450</w:t>
            </w:r>
          </w:p>
        </w:tc>
        <w:tc>
          <w:tcPr>
            <w:tcW w:w="998" w:type="dxa"/>
          </w:tcPr>
          <w:p w:rsidR="00EF7C07" w:rsidRDefault="00EF7C07">
            <w:pPr>
              <w:jc w:val="right"/>
              <w:cnfStyle w:val="000000100000"/>
              <w:rPr>
                <w:rFonts w:ascii="Calibri" w:hAnsi="Calibri" w:cs="Calibri"/>
                <w:color w:val="000000"/>
              </w:rPr>
            </w:pPr>
            <w:r>
              <w:rPr>
                <w:rFonts w:ascii="Calibri" w:hAnsi="Calibri" w:cs="Calibri"/>
                <w:color w:val="000000"/>
              </w:rPr>
              <w:t>1300</w:t>
            </w:r>
          </w:p>
        </w:tc>
      </w:tr>
      <w:tr w:rsidR="006A26E8" w:rsidTr="006A26E8">
        <w:tc>
          <w:tcPr>
            <w:cnfStyle w:val="001000000000"/>
            <w:tcW w:w="849" w:type="dxa"/>
          </w:tcPr>
          <w:p w:rsidR="00EF7C07" w:rsidRDefault="00EF7C07">
            <w:pPr>
              <w:rPr>
                <w:rFonts w:ascii="Calibri" w:hAnsi="Calibri" w:cs="Calibri"/>
                <w:color w:val="000000"/>
              </w:rPr>
            </w:pPr>
            <w:r>
              <w:rPr>
                <w:rFonts w:ascii="Calibri" w:hAnsi="Calibri" w:cs="Calibri"/>
                <w:color w:val="000000"/>
              </w:rPr>
              <w:t>max</w:t>
            </w:r>
          </w:p>
        </w:tc>
        <w:tc>
          <w:tcPr>
            <w:tcW w:w="1419" w:type="dxa"/>
          </w:tcPr>
          <w:p w:rsidR="00EF7C07" w:rsidRDefault="00EF7C07">
            <w:pPr>
              <w:jc w:val="right"/>
              <w:cnfStyle w:val="000000000000"/>
              <w:rPr>
                <w:rFonts w:ascii="Calibri" w:hAnsi="Calibri" w:cs="Calibri"/>
                <w:color w:val="000000"/>
              </w:rPr>
            </w:pPr>
            <w:r>
              <w:rPr>
                <w:rFonts w:ascii="Calibri" w:hAnsi="Calibri" w:cs="Calibri"/>
                <w:color w:val="000000"/>
              </w:rPr>
              <w:t>4809</w:t>
            </w:r>
          </w:p>
        </w:tc>
        <w:tc>
          <w:tcPr>
            <w:tcW w:w="990" w:type="dxa"/>
          </w:tcPr>
          <w:p w:rsidR="00EF7C07" w:rsidRDefault="00EF7C07">
            <w:pPr>
              <w:jc w:val="right"/>
              <w:cnfStyle w:val="000000000000"/>
              <w:rPr>
                <w:rFonts w:ascii="Calibri" w:hAnsi="Calibri" w:cs="Calibri"/>
                <w:color w:val="000000"/>
              </w:rPr>
            </w:pPr>
            <w:r>
              <w:rPr>
                <w:rFonts w:ascii="Calibri" w:hAnsi="Calibri" w:cs="Calibri"/>
                <w:color w:val="000000"/>
              </w:rPr>
              <w:t>922020</w:t>
            </w:r>
          </w:p>
        </w:tc>
        <w:tc>
          <w:tcPr>
            <w:tcW w:w="1199" w:type="dxa"/>
          </w:tcPr>
          <w:p w:rsidR="00EF7C07" w:rsidRDefault="00EF7C07">
            <w:pPr>
              <w:jc w:val="right"/>
              <w:cnfStyle w:val="000000000000"/>
              <w:rPr>
                <w:rFonts w:ascii="Calibri" w:hAnsi="Calibri" w:cs="Calibri"/>
                <w:color w:val="000000"/>
              </w:rPr>
            </w:pPr>
            <w:r>
              <w:rPr>
                <w:rFonts w:ascii="Calibri" w:hAnsi="Calibri" w:cs="Calibri"/>
                <w:color w:val="000000"/>
              </w:rPr>
              <w:t>7</w:t>
            </w:r>
          </w:p>
        </w:tc>
        <w:tc>
          <w:tcPr>
            <w:tcW w:w="1231" w:type="dxa"/>
          </w:tcPr>
          <w:p w:rsidR="00EF7C07" w:rsidRDefault="00EF7C07">
            <w:pPr>
              <w:jc w:val="right"/>
              <w:cnfStyle w:val="000000000000"/>
              <w:rPr>
                <w:rFonts w:ascii="Calibri" w:hAnsi="Calibri" w:cs="Calibri"/>
                <w:color w:val="000000"/>
              </w:rPr>
            </w:pPr>
            <w:r>
              <w:rPr>
                <w:rFonts w:ascii="Calibri" w:hAnsi="Calibri" w:cs="Calibri"/>
                <w:color w:val="000000"/>
              </w:rPr>
              <w:t>4500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1600</w:t>
            </w:r>
          </w:p>
        </w:tc>
        <w:tc>
          <w:tcPr>
            <w:tcW w:w="998" w:type="dxa"/>
          </w:tcPr>
          <w:p w:rsidR="00EF7C07" w:rsidRDefault="00EF7C07">
            <w:pPr>
              <w:jc w:val="right"/>
              <w:cnfStyle w:val="000000000000"/>
              <w:rPr>
                <w:rFonts w:ascii="Calibri" w:hAnsi="Calibri" w:cs="Calibri"/>
                <w:color w:val="000000"/>
              </w:rPr>
            </w:pPr>
            <w:r>
              <w:rPr>
                <w:rFonts w:ascii="Calibri" w:hAnsi="Calibri" w:cs="Calibri"/>
                <w:color w:val="000000"/>
              </w:rPr>
              <w:t>3200</w:t>
            </w:r>
          </w:p>
        </w:tc>
      </w:tr>
    </w:tbl>
    <w:p w:rsidR="004B0EEF" w:rsidRDefault="004B0EEF" w:rsidP="00DE03B4">
      <w:pPr>
        <w:pStyle w:val="Heading1"/>
      </w:pPr>
      <w:r>
        <w:t>Key Questions to Explore</w:t>
      </w:r>
    </w:p>
    <w:p w:rsidR="00285558" w:rsidRDefault="00285558" w:rsidP="00285558">
      <w:pPr>
        <w:pStyle w:val="ListParagraph"/>
        <w:numPr>
          <w:ilvl w:val="0"/>
          <w:numId w:val="10"/>
        </w:numPr>
      </w:pPr>
      <w:r>
        <w:t>Where do Canadians live?</w:t>
      </w:r>
    </w:p>
    <w:p w:rsidR="00285558" w:rsidRDefault="00285558" w:rsidP="00285558">
      <w:pPr>
        <w:pStyle w:val="ListParagraph"/>
        <w:numPr>
          <w:ilvl w:val="0"/>
          <w:numId w:val="10"/>
        </w:numPr>
      </w:pPr>
      <w:r>
        <w:t>Where do low-income Canadians live?</w:t>
      </w:r>
    </w:p>
    <w:p w:rsidR="00285558" w:rsidRDefault="00285558" w:rsidP="00285558">
      <w:pPr>
        <w:pStyle w:val="ListParagraph"/>
        <w:numPr>
          <w:ilvl w:val="0"/>
          <w:numId w:val="10"/>
        </w:numPr>
      </w:pPr>
      <w:r>
        <w:t>What is the income distribution</w:t>
      </w:r>
      <w:r w:rsidR="00B76DA7">
        <w:t xml:space="preserve"> in Canada</w:t>
      </w:r>
      <w:r>
        <w:t xml:space="preserve"> (i.e. is there skew)?</w:t>
      </w:r>
    </w:p>
    <w:p w:rsidR="00B76DA7" w:rsidRDefault="00B76DA7" w:rsidP="00285558">
      <w:pPr>
        <w:pStyle w:val="ListParagraph"/>
        <w:numPr>
          <w:ilvl w:val="0"/>
          <w:numId w:val="10"/>
        </w:numPr>
      </w:pPr>
      <w:r>
        <w:t>What is the income distribution in Nova Scotia?</w:t>
      </w:r>
    </w:p>
    <w:p w:rsidR="00865A03" w:rsidRDefault="00865A03" w:rsidP="00285558">
      <w:pPr>
        <w:pStyle w:val="ListParagraph"/>
        <w:numPr>
          <w:ilvl w:val="0"/>
          <w:numId w:val="10"/>
        </w:numPr>
      </w:pPr>
      <w:r>
        <w:t>What is the proportion of low-income homeowners to renters?</w:t>
      </w:r>
    </w:p>
    <w:p w:rsidR="00865A03" w:rsidRDefault="00865A03" w:rsidP="00285558">
      <w:pPr>
        <w:pStyle w:val="ListParagraph"/>
        <w:numPr>
          <w:ilvl w:val="0"/>
          <w:numId w:val="10"/>
        </w:numPr>
      </w:pPr>
      <w:r>
        <w:t>What is the proportion of non-low-income homeowners to renters?</w:t>
      </w:r>
    </w:p>
    <w:p w:rsidR="00285558" w:rsidRDefault="00285558" w:rsidP="00285558">
      <w:pPr>
        <w:pStyle w:val="ListParagraph"/>
        <w:numPr>
          <w:ilvl w:val="0"/>
          <w:numId w:val="10"/>
        </w:numPr>
      </w:pPr>
      <w:r>
        <w:t>How many Canadians were paying more than 30-35% of their after-tax income for housing?</w:t>
      </w:r>
    </w:p>
    <w:p w:rsidR="00285558" w:rsidRDefault="00285558" w:rsidP="00285558">
      <w:pPr>
        <w:pStyle w:val="ListParagraph"/>
        <w:numPr>
          <w:ilvl w:val="0"/>
          <w:numId w:val="10"/>
        </w:numPr>
      </w:pPr>
      <w:r>
        <w:t>How did the Nova Scotia housing market change between 1990 and 2016?</w:t>
      </w:r>
    </w:p>
    <w:p w:rsidR="00865A03" w:rsidRDefault="00865A03" w:rsidP="00285558">
      <w:pPr>
        <w:pStyle w:val="ListParagraph"/>
        <w:numPr>
          <w:ilvl w:val="0"/>
          <w:numId w:val="10"/>
        </w:numPr>
      </w:pPr>
      <w:r>
        <w:t xml:space="preserve">Does the Nova Scotia housing supply keep pace with population? </w:t>
      </w:r>
    </w:p>
    <w:p w:rsidR="00285558" w:rsidRPr="00285558" w:rsidRDefault="00285558" w:rsidP="00285558">
      <w:pPr>
        <w:pStyle w:val="ListParagraph"/>
        <w:numPr>
          <w:ilvl w:val="0"/>
          <w:numId w:val="10"/>
        </w:numPr>
      </w:pPr>
      <w:r>
        <w:t xml:space="preserve"> Does the forecast of the Housing Market Indicators Data match </w:t>
      </w:r>
      <w:r w:rsidR="00B76DA7">
        <w:t>currently reported (i.e. in reports, not open data sets) values? If not, what changed?</w:t>
      </w:r>
      <w:r>
        <w:t xml:space="preserve"> </w:t>
      </w:r>
    </w:p>
    <w:sectPr w:rsidR="00285558" w:rsidRPr="00285558" w:rsidSect="00CB32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5500"/>
    <w:multiLevelType w:val="multilevel"/>
    <w:tmpl w:val="0409001F"/>
    <w:styleLink w:val="JournalofStructuralGeology"/>
    <w:lvl w:ilvl="0">
      <w:start w:val="1"/>
      <w:numFmt w:val="decimal"/>
      <w:lvlText w:val="%1."/>
      <w:lvlJc w:val="left"/>
      <w:pPr>
        <w:ind w:left="360" w:hanging="360"/>
      </w:pPr>
      <w:rPr>
        <w:rFonts w:ascii="Times New Roman" w:hAnsi="Times New Roman"/>
        <w:b/>
        <w:sz w:val="24"/>
      </w:rPr>
    </w:lvl>
    <w:lvl w:ilvl="1">
      <w:start w:val="1"/>
      <w:numFmt w:val="decimal"/>
      <w:lvlText w:val="%1.%2."/>
      <w:lvlJc w:val="left"/>
      <w:pPr>
        <w:ind w:left="432" w:hanging="432"/>
      </w:pPr>
      <w:rPr>
        <w:rFonts w:ascii="Times New Roman" w:hAnsi="Times New Roman"/>
        <w:i/>
        <w:sz w:val="24"/>
      </w:rPr>
    </w:lvl>
    <w:lvl w:ilvl="2">
      <w:start w:val="1"/>
      <w:numFmt w:val="decimal"/>
      <w:lvlText w:val="%1.%2.%3."/>
      <w:lvlJc w:val="left"/>
      <w:pPr>
        <w:ind w:left="504" w:hanging="504"/>
      </w:pPr>
      <w:rPr>
        <w:rFonts w:ascii="Times New Roman" w:hAnsi="Times New Roman"/>
        <w:sz w:val="24"/>
      </w:rPr>
    </w:lvl>
    <w:lvl w:ilvl="3">
      <w:start w:val="1"/>
      <w:numFmt w:val="decimal"/>
      <w:lvlText w:val="%1.%2.%3.%4."/>
      <w:lvlJc w:val="left"/>
      <w:pPr>
        <w:ind w:left="648" w:hanging="648"/>
      </w:pPr>
      <w:rPr>
        <w:rFonts w:ascii="Times New Roman" w:hAnsi="Times New Roman"/>
        <w:sz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4B0C67"/>
    <w:multiLevelType w:val="hybridMultilevel"/>
    <w:tmpl w:val="D9CE49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F45FAB"/>
    <w:multiLevelType w:val="hybridMultilevel"/>
    <w:tmpl w:val="DBE22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D0673"/>
    <w:multiLevelType w:val="hybridMultilevel"/>
    <w:tmpl w:val="14566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420C5"/>
    <w:multiLevelType w:val="hybridMultilevel"/>
    <w:tmpl w:val="B3322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1C6BA6"/>
    <w:multiLevelType w:val="hybridMultilevel"/>
    <w:tmpl w:val="3F46E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606D87"/>
    <w:multiLevelType w:val="hybridMultilevel"/>
    <w:tmpl w:val="36D012E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A3A66A3"/>
    <w:multiLevelType w:val="hybridMultilevel"/>
    <w:tmpl w:val="31840B84"/>
    <w:lvl w:ilvl="0" w:tplc="C98216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7754DA"/>
    <w:multiLevelType w:val="hybridMultilevel"/>
    <w:tmpl w:val="9F60A85E"/>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7"/>
  </w:num>
  <w:num w:numId="5">
    <w:abstractNumId w:val="3"/>
  </w:num>
  <w:num w:numId="6">
    <w:abstractNumId w:val="6"/>
  </w:num>
  <w:num w:numId="7">
    <w:abstractNumId w:val="4"/>
  </w:num>
  <w:num w:numId="8">
    <w:abstractNumId w:val="8"/>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4B0EEF"/>
    <w:rsid w:val="00015CA9"/>
    <w:rsid w:val="00017F76"/>
    <w:rsid w:val="0002291C"/>
    <w:rsid w:val="000410D2"/>
    <w:rsid w:val="000F6EFC"/>
    <w:rsid w:val="001A0599"/>
    <w:rsid w:val="001A3649"/>
    <w:rsid w:val="001B5E8F"/>
    <w:rsid w:val="001C7B8F"/>
    <w:rsid w:val="00202408"/>
    <w:rsid w:val="00220F09"/>
    <w:rsid w:val="002271CB"/>
    <w:rsid w:val="0023449F"/>
    <w:rsid w:val="00246B41"/>
    <w:rsid w:val="00285558"/>
    <w:rsid w:val="00297E2E"/>
    <w:rsid w:val="002A3997"/>
    <w:rsid w:val="00336A75"/>
    <w:rsid w:val="00350CE2"/>
    <w:rsid w:val="00385C31"/>
    <w:rsid w:val="003A7CC2"/>
    <w:rsid w:val="003D5769"/>
    <w:rsid w:val="003E0D9E"/>
    <w:rsid w:val="00413514"/>
    <w:rsid w:val="00425C7D"/>
    <w:rsid w:val="00445FDE"/>
    <w:rsid w:val="0048361D"/>
    <w:rsid w:val="004B0EEF"/>
    <w:rsid w:val="004C24C5"/>
    <w:rsid w:val="005167F1"/>
    <w:rsid w:val="005218B1"/>
    <w:rsid w:val="005353AC"/>
    <w:rsid w:val="005435C6"/>
    <w:rsid w:val="005E1DB0"/>
    <w:rsid w:val="006A26E8"/>
    <w:rsid w:val="006A3AA6"/>
    <w:rsid w:val="006D147F"/>
    <w:rsid w:val="00700DFB"/>
    <w:rsid w:val="0070367D"/>
    <w:rsid w:val="00707519"/>
    <w:rsid w:val="007135FA"/>
    <w:rsid w:val="00796E44"/>
    <w:rsid w:val="007E3D7E"/>
    <w:rsid w:val="007F125C"/>
    <w:rsid w:val="00865A03"/>
    <w:rsid w:val="008E7A72"/>
    <w:rsid w:val="009641E1"/>
    <w:rsid w:val="009B1A40"/>
    <w:rsid w:val="009D1DA5"/>
    <w:rsid w:val="009F4D28"/>
    <w:rsid w:val="00A20C42"/>
    <w:rsid w:val="00A9074F"/>
    <w:rsid w:val="00A97B81"/>
    <w:rsid w:val="00B76DA7"/>
    <w:rsid w:val="00B77F12"/>
    <w:rsid w:val="00BA47AC"/>
    <w:rsid w:val="00BD01F1"/>
    <w:rsid w:val="00C13A04"/>
    <w:rsid w:val="00C25EFC"/>
    <w:rsid w:val="00CB329C"/>
    <w:rsid w:val="00CE16D9"/>
    <w:rsid w:val="00D11395"/>
    <w:rsid w:val="00D4478D"/>
    <w:rsid w:val="00D97A9D"/>
    <w:rsid w:val="00DA0502"/>
    <w:rsid w:val="00DE03B4"/>
    <w:rsid w:val="00E21F93"/>
    <w:rsid w:val="00E2395D"/>
    <w:rsid w:val="00E41967"/>
    <w:rsid w:val="00E42C19"/>
    <w:rsid w:val="00EB1133"/>
    <w:rsid w:val="00EC6F70"/>
    <w:rsid w:val="00EF7C07"/>
    <w:rsid w:val="00F12E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3B4"/>
    <w:pPr>
      <w:jc w:val="left"/>
    </w:pPr>
    <w:rPr>
      <w:sz w:val="22"/>
      <w:szCs w:val="22"/>
    </w:rPr>
  </w:style>
  <w:style w:type="paragraph" w:styleId="Heading1">
    <w:name w:val="heading 1"/>
    <w:basedOn w:val="Normal"/>
    <w:next w:val="Normal"/>
    <w:link w:val="Heading1Char"/>
    <w:uiPriority w:val="9"/>
    <w:qFormat/>
    <w:rsid w:val="005167F1"/>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5167F1"/>
    <w:pPr>
      <w:spacing w:before="240" w:after="80"/>
      <w:outlineLvl w:val="1"/>
    </w:pPr>
    <w:rPr>
      <w:smallCaps/>
      <w:spacing w:val="5"/>
      <w:sz w:val="28"/>
      <w:szCs w:val="28"/>
    </w:rPr>
  </w:style>
  <w:style w:type="paragraph" w:styleId="Heading3">
    <w:name w:val="heading 3"/>
    <w:basedOn w:val="Normal"/>
    <w:next w:val="Normal"/>
    <w:link w:val="Heading3Char"/>
    <w:uiPriority w:val="9"/>
    <w:unhideWhenUsed/>
    <w:qFormat/>
    <w:rsid w:val="005167F1"/>
    <w:pPr>
      <w:spacing w:after="0"/>
      <w:outlineLvl w:val="2"/>
    </w:pPr>
    <w:rPr>
      <w:smallCaps/>
      <w:spacing w:val="5"/>
      <w:sz w:val="24"/>
      <w:szCs w:val="24"/>
    </w:rPr>
  </w:style>
  <w:style w:type="paragraph" w:styleId="Heading4">
    <w:name w:val="heading 4"/>
    <w:basedOn w:val="Normal"/>
    <w:next w:val="Normal"/>
    <w:link w:val="Heading4Char"/>
    <w:uiPriority w:val="9"/>
    <w:unhideWhenUsed/>
    <w:qFormat/>
    <w:rsid w:val="005167F1"/>
    <w:pPr>
      <w:spacing w:before="240" w:after="0"/>
      <w:outlineLvl w:val="3"/>
    </w:pPr>
    <w:rPr>
      <w:smallCaps/>
      <w:spacing w:val="10"/>
    </w:rPr>
  </w:style>
  <w:style w:type="paragraph" w:styleId="Heading5">
    <w:name w:val="heading 5"/>
    <w:basedOn w:val="Normal"/>
    <w:next w:val="Normal"/>
    <w:link w:val="Heading5Char"/>
    <w:uiPriority w:val="9"/>
    <w:unhideWhenUsed/>
    <w:qFormat/>
    <w:rsid w:val="005167F1"/>
    <w:pPr>
      <w:spacing w:before="200" w:after="0"/>
      <w:outlineLvl w:val="4"/>
    </w:pPr>
    <w:rPr>
      <w:smallCaps/>
      <w:color w:val="943634" w:themeColor="accent2" w:themeShade="BF"/>
      <w:spacing w:val="10"/>
      <w:szCs w:val="26"/>
    </w:rPr>
  </w:style>
  <w:style w:type="paragraph" w:styleId="Heading6">
    <w:name w:val="heading 6"/>
    <w:basedOn w:val="Normal"/>
    <w:next w:val="Normal"/>
    <w:link w:val="Heading6Char"/>
    <w:uiPriority w:val="9"/>
    <w:semiHidden/>
    <w:unhideWhenUsed/>
    <w:qFormat/>
    <w:rsid w:val="005167F1"/>
    <w:pPr>
      <w:spacing w:after="0"/>
      <w:outlineLvl w:val="5"/>
    </w:pPr>
    <w:rPr>
      <w:smallCaps/>
      <w:color w:val="C0504D" w:themeColor="accent2"/>
      <w:spacing w:val="5"/>
    </w:rPr>
  </w:style>
  <w:style w:type="paragraph" w:styleId="Heading7">
    <w:name w:val="heading 7"/>
    <w:basedOn w:val="Normal"/>
    <w:next w:val="Normal"/>
    <w:link w:val="Heading7Char"/>
    <w:uiPriority w:val="9"/>
    <w:semiHidden/>
    <w:unhideWhenUsed/>
    <w:qFormat/>
    <w:rsid w:val="005167F1"/>
    <w:pPr>
      <w:spacing w:after="0"/>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5167F1"/>
    <w:pPr>
      <w:spacing w:after="0"/>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5167F1"/>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JournalofStructuralGeology">
    <w:name w:val="Journal of Structural Geology"/>
    <w:uiPriority w:val="99"/>
    <w:rsid w:val="00E42C19"/>
    <w:pPr>
      <w:numPr>
        <w:numId w:val="1"/>
      </w:numPr>
    </w:pPr>
  </w:style>
  <w:style w:type="paragraph" w:styleId="Caption">
    <w:name w:val="caption"/>
    <w:basedOn w:val="Normal"/>
    <w:next w:val="Normal"/>
    <w:uiPriority w:val="35"/>
    <w:unhideWhenUsed/>
    <w:qFormat/>
    <w:rsid w:val="005167F1"/>
    <w:rPr>
      <w:b/>
      <w:bCs/>
      <w:caps/>
      <w:sz w:val="16"/>
      <w:szCs w:val="18"/>
    </w:rPr>
  </w:style>
  <w:style w:type="character" w:styleId="Strong">
    <w:name w:val="Strong"/>
    <w:uiPriority w:val="22"/>
    <w:qFormat/>
    <w:rsid w:val="005167F1"/>
    <w:rPr>
      <w:b/>
      <w:color w:val="C0504D" w:themeColor="accent2"/>
    </w:rPr>
  </w:style>
  <w:style w:type="paragraph" w:styleId="NoSpacing">
    <w:name w:val="No Spacing"/>
    <w:basedOn w:val="Normal"/>
    <w:link w:val="NoSpacingChar"/>
    <w:uiPriority w:val="1"/>
    <w:qFormat/>
    <w:rsid w:val="005167F1"/>
    <w:pPr>
      <w:spacing w:after="0" w:line="240" w:lineRule="auto"/>
    </w:pPr>
  </w:style>
  <w:style w:type="paragraph" w:styleId="ListParagraph">
    <w:name w:val="List Paragraph"/>
    <w:basedOn w:val="Normal"/>
    <w:uiPriority w:val="34"/>
    <w:qFormat/>
    <w:rsid w:val="005167F1"/>
    <w:pPr>
      <w:ind w:left="720"/>
      <w:contextualSpacing/>
    </w:pPr>
  </w:style>
  <w:style w:type="character" w:customStyle="1" w:styleId="Heading1Char">
    <w:name w:val="Heading 1 Char"/>
    <w:basedOn w:val="DefaultParagraphFont"/>
    <w:link w:val="Heading1"/>
    <w:uiPriority w:val="9"/>
    <w:rsid w:val="005167F1"/>
    <w:rPr>
      <w:smallCaps/>
      <w:spacing w:val="5"/>
      <w:sz w:val="32"/>
      <w:szCs w:val="32"/>
    </w:rPr>
  </w:style>
  <w:style w:type="paragraph" w:styleId="Title">
    <w:name w:val="Title"/>
    <w:basedOn w:val="Normal"/>
    <w:next w:val="Normal"/>
    <w:link w:val="TitleChar"/>
    <w:uiPriority w:val="10"/>
    <w:qFormat/>
    <w:rsid w:val="005167F1"/>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167F1"/>
    <w:rPr>
      <w:smallCaps/>
      <w:sz w:val="48"/>
      <w:szCs w:val="48"/>
    </w:rPr>
  </w:style>
  <w:style w:type="character" w:customStyle="1" w:styleId="Heading2Char">
    <w:name w:val="Heading 2 Char"/>
    <w:basedOn w:val="DefaultParagraphFont"/>
    <w:link w:val="Heading2"/>
    <w:uiPriority w:val="9"/>
    <w:rsid w:val="005167F1"/>
    <w:rPr>
      <w:smallCaps/>
      <w:spacing w:val="5"/>
      <w:sz w:val="28"/>
      <w:szCs w:val="28"/>
    </w:rPr>
  </w:style>
  <w:style w:type="character" w:customStyle="1" w:styleId="Heading3Char">
    <w:name w:val="Heading 3 Char"/>
    <w:basedOn w:val="DefaultParagraphFont"/>
    <w:link w:val="Heading3"/>
    <w:uiPriority w:val="9"/>
    <w:rsid w:val="005167F1"/>
    <w:rPr>
      <w:smallCaps/>
      <w:spacing w:val="5"/>
      <w:sz w:val="24"/>
      <w:szCs w:val="24"/>
    </w:rPr>
  </w:style>
  <w:style w:type="character" w:customStyle="1" w:styleId="Heading4Char">
    <w:name w:val="Heading 4 Char"/>
    <w:basedOn w:val="DefaultParagraphFont"/>
    <w:link w:val="Heading4"/>
    <w:uiPriority w:val="9"/>
    <w:rsid w:val="005167F1"/>
    <w:rPr>
      <w:smallCaps/>
      <w:spacing w:val="10"/>
      <w:sz w:val="22"/>
      <w:szCs w:val="22"/>
    </w:rPr>
  </w:style>
  <w:style w:type="character" w:customStyle="1" w:styleId="Heading5Char">
    <w:name w:val="Heading 5 Char"/>
    <w:basedOn w:val="DefaultParagraphFont"/>
    <w:link w:val="Heading5"/>
    <w:uiPriority w:val="9"/>
    <w:rsid w:val="005167F1"/>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5167F1"/>
    <w:rPr>
      <w:smallCaps/>
      <w:color w:val="C0504D" w:themeColor="accent2"/>
      <w:spacing w:val="5"/>
      <w:sz w:val="22"/>
    </w:rPr>
  </w:style>
  <w:style w:type="character" w:customStyle="1" w:styleId="Heading7Char">
    <w:name w:val="Heading 7 Char"/>
    <w:basedOn w:val="DefaultParagraphFont"/>
    <w:link w:val="Heading7"/>
    <w:uiPriority w:val="9"/>
    <w:semiHidden/>
    <w:rsid w:val="005167F1"/>
    <w:rPr>
      <w:b/>
      <w:smallCaps/>
      <w:color w:val="C0504D" w:themeColor="accent2"/>
      <w:spacing w:val="10"/>
    </w:rPr>
  </w:style>
  <w:style w:type="character" w:customStyle="1" w:styleId="Heading8Char">
    <w:name w:val="Heading 8 Char"/>
    <w:basedOn w:val="DefaultParagraphFont"/>
    <w:link w:val="Heading8"/>
    <w:uiPriority w:val="9"/>
    <w:semiHidden/>
    <w:rsid w:val="005167F1"/>
    <w:rPr>
      <w:b/>
      <w:i/>
      <w:smallCaps/>
      <w:color w:val="943634" w:themeColor="accent2" w:themeShade="BF"/>
    </w:rPr>
  </w:style>
  <w:style w:type="character" w:customStyle="1" w:styleId="Heading9Char">
    <w:name w:val="Heading 9 Char"/>
    <w:basedOn w:val="DefaultParagraphFont"/>
    <w:link w:val="Heading9"/>
    <w:uiPriority w:val="9"/>
    <w:semiHidden/>
    <w:rsid w:val="005167F1"/>
    <w:rPr>
      <w:b/>
      <w:i/>
      <w:smallCaps/>
      <w:color w:val="622423" w:themeColor="accent2" w:themeShade="7F"/>
    </w:rPr>
  </w:style>
  <w:style w:type="paragraph" w:styleId="Subtitle">
    <w:name w:val="Subtitle"/>
    <w:basedOn w:val="Normal"/>
    <w:next w:val="Normal"/>
    <w:link w:val="SubtitleChar"/>
    <w:uiPriority w:val="11"/>
    <w:qFormat/>
    <w:rsid w:val="005167F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167F1"/>
    <w:rPr>
      <w:rFonts w:asciiTheme="majorHAnsi" w:eastAsiaTheme="majorEastAsia" w:hAnsiTheme="majorHAnsi" w:cstheme="majorBidi"/>
      <w:szCs w:val="22"/>
    </w:rPr>
  </w:style>
  <w:style w:type="character" w:styleId="Emphasis">
    <w:name w:val="Emphasis"/>
    <w:uiPriority w:val="20"/>
    <w:qFormat/>
    <w:rsid w:val="005167F1"/>
    <w:rPr>
      <w:b/>
      <w:i/>
      <w:spacing w:val="10"/>
    </w:rPr>
  </w:style>
  <w:style w:type="character" w:customStyle="1" w:styleId="NoSpacingChar">
    <w:name w:val="No Spacing Char"/>
    <w:basedOn w:val="DefaultParagraphFont"/>
    <w:link w:val="NoSpacing"/>
    <w:uiPriority w:val="1"/>
    <w:rsid w:val="005167F1"/>
  </w:style>
  <w:style w:type="paragraph" w:styleId="Quote">
    <w:name w:val="Quote"/>
    <w:basedOn w:val="Normal"/>
    <w:next w:val="Normal"/>
    <w:link w:val="QuoteChar"/>
    <w:uiPriority w:val="29"/>
    <w:qFormat/>
    <w:rsid w:val="005167F1"/>
    <w:rPr>
      <w:i/>
    </w:rPr>
  </w:style>
  <w:style w:type="character" w:customStyle="1" w:styleId="QuoteChar">
    <w:name w:val="Quote Char"/>
    <w:basedOn w:val="DefaultParagraphFont"/>
    <w:link w:val="Quote"/>
    <w:uiPriority w:val="29"/>
    <w:rsid w:val="005167F1"/>
    <w:rPr>
      <w:i/>
    </w:rPr>
  </w:style>
  <w:style w:type="paragraph" w:styleId="IntenseQuote">
    <w:name w:val="Intense Quote"/>
    <w:basedOn w:val="Normal"/>
    <w:next w:val="Normal"/>
    <w:link w:val="IntenseQuoteChar"/>
    <w:uiPriority w:val="30"/>
    <w:qFormat/>
    <w:rsid w:val="005167F1"/>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167F1"/>
    <w:rPr>
      <w:b/>
      <w:i/>
      <w:color w:val="FFFFFF" w:themeColor="background1"/>
      <w:shd w:val="clear" w:color="auto" w:fill="C0504D" w:themeFill="accent2"/>
    </w:rPr>
  </w:style>
  <w:style w:type="character" w:styleId="SubtleEmphasis">
    <w:name w:val="Subtle Emphasis"/>
    <w:uiPriority w:val="19"/>
    <w:qFormat/>
    <w:rsid w:val="005167F1"/>
    <w:rPr>
      <w:i/>
    </w:rPr>
  </w:style>
  <w:style w:type="character" w:styleId="IntenseEmphasis">
    <w:name w:val="Intense Emphasis"/>
    <w:uiPriority w:val="21"/>
    <w:qFormat/>
    <w:rsid w:val="005167F1"/>
    <w:rPr>
      <w:b/>
      <w:i/>
      <w:color w:val="C0504D" w:themeColor="accent2"/>
      <w:spacing w:val="10"/>
    </w:rPr>
  </w:style>
  <w:style w:type="character" w:styleId="SubtleReference">
    <w:name w:val="Subtle Reference"/>
    <w:uiPriority w:val="31"/>
    <w:qFormat/>
    <w:rsid w:val="005167F1"/>
    <w:rPr>
      <w:b/>
    </w:rPr>
  </w:style>
  <w:style w:type="character" w:styleId="IntenseReference">
    <w:name w:val="Intense Reference"/>
    <w:uiPriority w:val="32"/>
    <w:qFormat/>
    <w:rsid w:val="005167F1"/>
    <w:rPr>
      <w:b/>
      <w:bCs/>
      <w:smallCaps/>
      <w:spacing w:val="5"/>
      <w:sz w:val="22"/>
      <w:szCs w:val="22"/>
      <w:u w:val="single"/>
    </w:rPr>
  </w:style>
  <w:style w:type="character" w:styleId="BookTitle">
    <w:name w:val="Book Title"/>
    <w:uiPriority w:val="33"/>
    <w:qFormat/>
    <w:rsid w:val="005167F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167F1"/>
    <w:pPr>
      <w:outlineLvl w:val="9"/>
    </w:pPr>
  </w:style>
  <w:style w:type="character" w:styleId="Hyperlink">
    <w:name w:val="Hyperlink"/>
    <w:basedOn w:val="DefaultParagraphFont"/>
    <w:uiPriority w:val="99"/>
    <w:unhideWhenUsed/>
    <w:rsid w:val="005167F1"/>
    <w:rPr>
      <w:color w:val="0000FF" w:themeColor="hyperlink"/>
      <w:u w:val="single"/>
    </w:rPr>
  </w:style>
  <w:style w:type="table" w:styleId="TableGrid">
    <w:name w:val="Table Grid"/>
    <w:basedOn w:val="TableNormal"/>
    <w:uiPriority w:val="59"/>
    <w:rsid w:val="00516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2271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6A3AA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647435884">
      <w:bodyDiv w:val="1"/>
      <w:marLeft w:val="0"/>
      <w:marRight w:val="0"/>
      <w:marTop w:val="0"/>
      <w:marBottom w:val="0"/>
      <w:divBdr>
        <w:top w:val="none" w:sz="0" w:space="0" w:color="auto"/>
        <w:left w:val="none" w:sz="0" w:space="0" w:color="auto"/>
        <w:bottom w:val="none" w:sz="0" w:space="0" w:color="auto"/>
        <w:right w:val="none" w:sz="0" w:space="0" w:color="auto"/>
      </w:divBdr>
    </w:div>
    <w:div w:id="1029645852">
      <w:bodyDiv w:val="1"/>
      <w:marLeft w:val="0"/>
      <w:marRight w:val="0"/>
      <w:marTop w:val="0"/>
      <w:marBottom w:val="0"/>
      <w:divBdr>
        <w:top w:val="none" w:sz="0" w:space="0" w:color="auto"/>
        <w:left w:val="none" w:sz="0" w:space="0" w:color="auto"/>
        <w:bottom w:val="none" w:sz="0" w:space="0" w:color="auto"/>
        <w:right w:val="none" w:sz="0" w:space="0" w:color="auto"/>
      </w:divBdr>
      <w:divsChild>
        <w:div w:id="28142637">
          <w:marLeft w:val="-225"/>
          <w:marRight w:val="-225"/>
          <w:marTop w:val="0"/>
          <w:marBottom w:val="240"/>
          <w:divBdr>
            <w:top w:val="none" w:sz="0" w:space="0" w:color="auto"/>
            <w:left w:val="none" w:sz="0" w:space="0" w:color="auto"/>
            <w:bottom w:val="none" w:sz="0" w:space="0" w:color="auto"/>
            <w:right w:val="none" w:sz="0" w:space="0" w:color="auto"/>
          </w:divBdr>
          <w:divsChild>
            <w:div w:id="207195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mhc-schl.gc.ca/en/about-us" TargetMode="External"/><Relationship Id="rId5" Type="http://schemas.openxmlformats.org/officeDocument/2006/relationships/hyperlink" Target="https://www.statcan.gc.ca/en/st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7</Pages>
  <Words>2284</Words>
  <Characters>13023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tmmcc</dc:creator>
  <cp:keywords/>
  <dc:description/>
  <cp:lastModifiedBy>tmmcc</cp:lastModifiedBy>
  <cp:revision>28</cp:revision>
  <cp:lastPrinted>2022-06-17T18:04:00Z</cp:lastPrinted>
  <dcterms:created xsi:type="dcterms:W3CDTF">2022-06-15T14:00:00Z</dcterms:created>
  <dcterms:modified xsi:type="dcterms:W3CDTF">2022-06-21T12:56:00Z</dcterms:modified>
</cp:coreProperties>
</file>