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E2761"/>
          <w:sz w:val="64"/>
          <w:szCs w:val="64"/>
        </w:rPr>
        <w:t xml:space="preserve">WhyIFeel</w:t>
      </w:r>
    </w:p>
    <w:p>
      <w:pPr>
        <w:spacing w:after="60"/>
      </w:pPr>
      <w:r>
        <w:rPr>
          <w:color w:val="444444"/>
          <w:sz w:val="32"/>
          <w:szCs w:val="32"/>
        </w:rPr>
        <w:t xml:space="preserve">Product Requirements Document (PRD)</w:t>
      </w:r>
    </w:p>
    <w:p>
      <w:pPr>
        <w:spacing w:after="400"/>
      </w:pPr>
      <w:r>
        <w:rPr>
          <w:i/>
          <w:iCs/>
          <w:color w:val="666666"/>
          <w:sz w:val="22"/>
          <w:szCs w:val="22"/>
        </w:rPr>
        <w:t xml:space="preserve">Version 1.0  |  AB Talks 60-Day Claude AI Challenge — 10-Day Capstone</w:t>
      </w:r>
    </w:p>
    <w:p>
      <w:pPr>
        <w:pStyle w:val="Heading1"/>
        <w:spacing w:after="150" w:before="300"/>
      </w:pPr>
      <w:r>
        <w:t xml:space="preserve">1. Overview</w:t>
      </w:r>
    </w:p>
    <w:p>
      <w:pPr>
        <w:spacing w:after="120"/>
      </w:pPr>
      <w:r>
        <w:t xml:space="preserve">WhyIFeel is a web application that helps everyday people build sustainable health habits by revealing the connection between what they do and how they feel. Instead of tracking numbers that don't reflect lived experience (weight, reps, calories), WhyIFeel logs daily habits alongside daily feelings, then uses an original, self-built statistical insight engine to surface plain-language, confidence-graded correlations — for example, "You feel 40% more energetic on days you sleep 7+ hours."</w:t>
      </w:r>
    </w:p>
    <w:p>
      <w:pPr>
        <w:spacing w:after="120"/>
      </w:pPr>
      <w:r>
        <w:t xml:space="preserve">This document defines the requirements for v1.0, to be designed, built, tested, and deployed over a 10-day capstone.</w:t>
      </w:r>
    </w:p>
    <w:p>
      <w:pPr>
        <w:pStyle w:val="Heading1"/>
        <w:spacing w:after="150" w:before="300"/>
      </w:pPr>
      <w:r>
        <w:t xml:space="preserve">2. Problem Statement</w:t>
      </w:r>
    </w:p>
    <w:p>
      <w:pPr>
        <w:spacing w:after="120"/>
      </w:pPr>
      <w:r>
        <w:t xml:space="preserve">Many people trying to build healthier habits lose motivation not because they lack willpower, but because they don't feel measurably different day-to-day — even when their habits are objectively improving. Existing fitness and habit apps track inputs (workouts, steps, calories) or isolated outputs (weight, mood journaling) but rarely connect the two in a way that produces a genuine "aha" moment. This disconnect between effort and perceived reward is a leading cause of habit abandonment.</w:t>
      </w:r>
    </w:p>
    <w:p>
      <w:pPr>
        <w:pStyle w:val="Heading1"/>
        <w:spacing w:after="150" w:before="300"/>
      </w:pPr>
      <w:r>
        <w:t xml:space="preserve">3. Target Users</w:t>
      </w:r>
    </w:p>
    <w:p>
      <w:pPr>
        <w:pStyle w:val="ListParagraph"/>
        <w:numPr>
          <w:ilvl w:val="0"/>
          <w:numId w:val="1"/>
        </w:numPr>
        <w:spacing w:after="60"/>
      </w:pPr>
      <w:r>
        <w:t xml:space="preserve">Primary: Everyday people trying to build sustainable health and fitness habits (general audience, not athletes or clinical populations).</w:t>
      </w:r>
    </w:p>
    <w:p>
      <w:pPr>
        <w:pStyle w:val="ListParagraph"/>
        <w:numPr>
          <w:ilvl w:val="0"/>
          <w:numId w:val="1"/>
        </w:numPr>
        <w:spacing w:after="60"/>
      </w:pPr>
      <w:r>
        <w:t xml:space="preserve">Secondary: Anyone who has tried habit trackers before and quit because they didn't "feel" the reported progress.</w:t>
      </w:r>
    </w:p>
    <w:p>
      <w:pPr>
        <w:spacing w:after="120"/>
      </w:pPr>
      <w:r>
        <w:t xml:space="preserve">Out of scope for v1.0: elite athletes optimizing performance, clinical/medical use cases, burnout or medical recovery populations requiring professional guidance.</w:t>
      </w:r>
    </w:p>
    <w:p>
      <w:pPr>
        <w:pStyle w:val="Heading1"/>
        <w:spacing w:after="150" w:before="300"/>
      </w:pPr>
      <w:r>
        <w:t xml:space="preserve">4. Goals &amp; Success Metrics</w:t>
      </w:r>
    </w:p>
    <w:p>
      <w:pPr>
        <w:pStyle w:val="Heading2"/>
        <w:spacing w:after="120" w:before="250"/>
      </w:pPr>
      <w:r>
        <w:t xml:space="preserve">4.1 Product Goals</w:t>
      </w:r>
    </w:p>
    <w:p>
      <w:pPr>
        <w:pStyle w:val="ListParagraph"/>
        <w:numPr>
          <w:ilvl w:val="0"/>
          <w:numId w:val="1"/>
        </w:numPr>
        <w:spacing w:after="60"/>
      </w:pPr>
      <w:r>
        <w:t xml:space="preserve">Make the causal link between habits and feelings visible and personal.</w:t>
      </w:r>
    </w:p>
    <w:p>
      <w:pPr>
        <w:pStyle w:val="ListParagraph"/>
        <w:numPr>
          <w:ilvl w:val="0"/>
          <w:numId w:val="1"/>
        </w:numPr>
        <w:spacing w:after="60"/>
      </w:pPr>
      <w:r>
        <w:t xml:space="preserve">Encourage consistent daily logging through low-friction UX (one check-in, ~60 seconds).</w:t>
      </w:r>
    </w:p>
    <w:p>
      <w:pPr>
        <w:pStyle w:val="ListParagraph"/>
        <w:numPr>
          <w:ilvl w:val="0"/>
          <w:numId w:val="1"/>
        </w:numPr>
        <w:spacing w:after="60"/>
      </w:pPr>
      <w:r>
        <w:t xml:space="preserve">Surface genuinely useful, confidence-graded insights — not generic advice.</w:t>
      </w:r>
    </w:p>
    <w:p>
      <w:pPr>
        <w:pStyle w:val="Heading2"/>
        <w:spacing w:after="120" w:before="250"/>
      </w:pPr>
      <w:r>
        <w:t xml:space="preserve">4.2 Day 10 Success Criteria</w:t>
      </w:r>
    </w:p>
    <w:p>
      <w:pPr>
        <w:pStyle w:val="ListParagraph"/>
        <w:numPr>
          <w:ilvl w:val="0"/>
          <w:numId w:val="1"/>
        </w:numPr>
        <w:spacing w:after="60"/>
      </w:pPr>
      <w:r>
        <w:t xml:space="preserve">A live, deployed, publicly accessible web app.</w:t>
      </w:r>
    </w:p>
    <w:p>
      <w:pPr>
        <w:pStyle w:val="ListParagraph"/>
        <w:numPr>
          <w:ilvl w:val="0"/>
          <w:numId w:val="1"/>
        </w:numPr>
        <w:spacing w:after="60"/>
      </w:pPr>
      <w:r>
        <w:t xml:space="preserve">A working account system (signup/login).</w:t>
      </w:r>
    </w:p>
    <w:p>
      <w:pPr>
        <w:pStyle w:val="ListParagraph"/>
        <w:numPr>
          <w:ilvl w:val="0"/>
          <w:numId w:val="1"/>
        </w:numPr>
        <w:spacing w:after="60"/>
      </w:pPr>
      <w:r>
        <w:t xml:space="preserve">A functioning daily check-in form covering all 8 fields.</w:t>
      </w:r>
    </w:p>
    <w:p>
      <w:pPr>
        <w:pStyle w:val="ListParagraph"/>
        <w:numPr>
          <w:ilvl w:val="0"/>
          <w:numId w:val="1"/>
        </w:numPr>
        <w:spacing w:after="60"/>
      </w:pPr>
      <w:r>
        <w:t xml:space="preserve">A working insight engine that computes and displays correlation-based insights with confidence levels.</w:t>
      </w:r>
    </w:p>
    <w:p>
      <w:pPr>
        <w:pStyle w:val="ListParagraph"/>
        <w:numPr>
          <w:ilvl w:val="0"/>
          <w:numId w:val="1"/>
        </w:numPr>
        <w:spacing w:after="60"/>
      </w:pPr>
      <w:r>
        <w:t xml:space="preserve">A dashboard with line/bar charts and light interactivity (date range filter).</w:t>
      </w:r>
    </w:p>
    <w:p>
      <w:pPr>
        <w:pStyle w:val="ListParagraph"/>
        <w:numPr>
          <w:ilvl w:val="0"/>
          <w:numId w:val="1"/>
        </w:numPr>
        <w:spacing w:after="60"/>
      </w:pPr>
      <w:r>
        <w:t xml:space="preserve">A seed/demo-data feature that guarantees a strong, insight-rich demo regardless of real data volume.</w:t>
      </w:r>
    </w:p>
    <w:p>
      <w:pPr>
        <w:pStyle w:val="ListParagraph"/>
        <w:numPr>
          <w:ilvl w:val="0"/>
          <w:numId w:val="1"/>
        </w:numPr>
        <w:spacing w:after="60"/>
      </w:pPr>
      <w:r>
        <w:t xml:space="preserve">At least one genuine insight surfaced from the founder's own real logged data during the demo.</w:t>
      </w:r>
    </w:p>
    <w:p>
      <w:pPr>
        <w:pStyle w:val="Heading1"/>
        <w:spacing w:after="150" w:before="300"/>
      </w:pPr>
      <w:r>
        <w:t xml:space="preserve">5. Scope</w:t>
      </w:r>
    </w:p>
    <w:p>
      <w:pPr>
        <w:pStyle w:val="Heading2"/>
        <w:spacing w:after="120" w:before="250"/>
      </w:pPr>
      <w:r>
        <w:t xml:space="preserve">5.1 In Scope for v1.0</w:t>
      </w:r>
    </w:p>
    <w:p>
      <w:pPr>
        <w:pStyle w:val="ListParagraph"/>
        <w:numPr>
          <w:ilvl w:val="0"/>
          <w:numId w:val="1"/>
        </w:numPr>
        <w:spacing w:after="60"/>
      </w:pPr>
      <w:r>
        <w:t xml:space="preserve">Username/password authentication (signup, login, logout). No email verification, no password reset, no OAuth.</w:t>
      </w:r>
    </w:p>
    <w:p>
      <w:pPr>
        <w:pStyle w:val="ListParagraph"/>
        <w:numPr>
          <w:ilvl w:val="0"/>
          <w:numId w:val="1"/>
        </w:numPr>
        <w:spacing w:after="60"/>
      </w:pPr>
      <w:r>
        <w:t xml:space="preserve">Single daily check-in form logging 4 habits and 4 feelings (see Section 6).</w:t>
      </w:r>
    </w:p>
    <w:p>
      <w:pPr>
        <w:pStyle w:val="ListParagraph"/>
        <w:numPr>
          <w:ilvl w:val="0"/>
          <w:numId w:val="1"/>
        </w:numPr>
        <w:spacing w:after="60"/>
      </w:pPr>
      <w:r>
        <w:t xml:space="preserve">One entry per user per day (create + delete only; no editing of past entries).</w:t>
      </w:r>
    </w:p>
    <w:p>
      <w:pPr>
        <w:pStyle w:val="ListParagraph"/>
        <w:numPr>
          <w:ilvl w:val="0"/>
          <w:numId w:val="1"/>
        </w:numPr>
        <w:spacing w:after="60"/>
      </w:pPr>
      <w:r>
        <w:t xml:space="preserve">A statistical insight engine that computes correlations between habits and feelings, with a confidence/data-volume threshold system (e.g., "early pattern" vs. "confirmed pattern").</w:t>
      </w:r>
    </w:p>
    <w:p>
      <w:pPr>
        <w:pStyle w:val="ListParagraph"/>
        <w:numPr>
          <w:ilvl w:val="0"/>
          <w:numId w:val="1"/>
        </w:numPr>
        <w:spacing w:after="60"/>
      </w:pPr>
      <w:r>
        <w:t xml:space="preserve">A dashboard showing: recent trend line charts, bar-chart correlation comparisons, and a plain-language insights feed.</w:t>
      </w:r>
    </w:p>
    <w:p>
      <w:pPr>
        <w:pStyle w:val="ListParagraph"/>
        <w:numPr>
          <w:ilvl w:val="0"/>
          <w:numId w:val="1"/>
        </w:numPr>
        <w:spacing w:after="60"/>
      </w:pPr>
      <w:r>
        <w:t xml:space="preserve">A date-range filter on the dashboard (light interactivity).</w:t>
      </w:r>
    </w:p>
    <w:p>
      <w:pPr>
        <w:pStyle w:val="ListParagraph"/>
        <w:numPr>
          <w:ilvl w:val="0"/>
          <w:numId w:val="1"/>
        </w:numPr>
        <w:spacing w:after="60"/>
      </w:pPr>
      <w:r>
        <w:t xml:space="preserve">A "generate demo data" feature that seeds realistic sample historical data for demo purposes.</w:t>
      </w:r>
    </w:p>
    <w:p>
      <w:pPr>
        <w:pStyle w:val="ListParagraph"/>
        <w:numPr>
          <w:ilvl w:val="0"/>
          <w:numId w:val="1"/>
        </w:numPr>
        <w:spacing w:after="60"/>
      </w:pPr>
      <w:r>
        <w:t xml:space="preserve">Deployment to a live, publicly accessible URL on a free-tier host.</w:t>
      </w:r>
    </w:p>
    <w:p>
      <w:pPr>
        <w:pStyle w:val="Heading2"/>
        <w:spacing w:after="120" w:before="250"/>
      </w:pPr>
      <w:r>
        <w:t xml:space="preserve">5.2 Explicitly Out of Scope for v1.0 (Future / v2)</w:t>
      </w:r>
    </w:p>
    <w:p>
      <w:pPr>
        <w:pStyle w:val="ListParagraph"/>
        <w:numPr>
          <w:ilvl w:val="0"/>
          <w:numId w:val="1"/>
        </w:numPr>
        <w:spacing w:after="60"/>
      </w:pPr>
      <w:r>
        <w:t xml:space="preserve">Editing past entries (delete-only for v1.0).</w:t>
      </w:r>
    </w:p>
    <w:p>
      <w:pPr>
        <w:pStyle w:val="ListParagraph"/>
        <w:numPr>
          <w:ilvl w:val="0"/>
          <w:numId w:val="1"/>
        </w:numPr>
        <w:spacing w:after="60"/>
      </w:pPr>
      <w:r>
        <w:t xml:space="preserve">Email verification, password reset flows, social/OAuth login.</w:t>
      </w:r>
    </w:p>
    <w:p>
      <w:pPr>
        <w:pStyle w:val="ListParagraph"/>
        <w:numPr>
          <w:ilvl w:val="0"/>
          <w:numId w:val="1"/>
        </w:numPr>
        <w:spacing w:after="60"/>
      </w:pPr>
      <w:r>
        <w:t xml:space="preserve">Additional habits/feelings: steps, nutrition quality, meditation minutes, anxiety, sleepiness (deferred to protect timeline).</w:t>
      </w:r>
    </w:p>
    <w:p>
      <w:pPr>
        <w:pStyle w:val="ListParagraph"/>
        <w:numPr>
          <w:ilvl w:val="0"/>
          <w:numId w:val="1"/>
        </w:numPr>
        <w:spacing w:after="60"/>
      </w:pPr>
      <w:r>
        <w:t xml:space="preserve">Real-time/streaming recalculation, background job schedulers — insights recalculate on dashboard load instead.</w:t>
      </w:r>
    </w:p>
    <w:p>
      <w:pPr>
        <w:pStyle w:val="ListParagraph"/>
        <w:numPr>
          <w:ilvl w:val="0"/>
          <w:numId w:val="1"/>
        </w:numPr>
        <w:spacing w:after="60"/>
      </w:pPr>
      <w:r>
        <w:t xml:space="preserve">Mobile native app, offline mode, push notifications.</w:t>
      </w:r>
    </w:p>
    <w:p>
      <w:pPr>
        <w:pStyle w:val="ListParagraph"/>
        <w:numPr>
          <w:ilvl w:val="0"/>
          <w:numId w:val="1"/>
        </w:numPr>
        <w:spacing w:after="60"/>
      </w:pPr>
      <w:r>
        <w:t xml:space="preserve">Any external AI/LLM API integration — the insight engine is fully self-built using statistical methods.</w:t>
      </w:r>
    </w:p>
    <w:p>
      <w:pPr>
        <w:pStyle w:val="ListParagraph"/>
        <w:numPr>
          <w:ilvl w:val="0"/>
          <w:numId w:val="1"/>
        </w:numPr>
        <w:spacing w:after="60"/>
      </w:pPr>
      <w:r>
        <w:t xml:space="preserve">Social features, sharing, multi-user comparison, coaching chat, wearable integrations.</w:t>
      </w:r>
    </w:p>
    <w:p>
      <w:pPr>
        <w:pStyle w:val="Heading1"/>
        <w:spacing w:after="150" w:before="300"/>
      </w:pPr>
      <w:r>
        <w:t xml:space="preserve">6. Data Model — Fields to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761" w:val="clear"/>
          </w:tcPr>
          <w:p>
            <w:r>
              <w:rPr>
                <w:b/>
                <w:bCs/>
                <w:color w:val="FFFFFF"/>
              </w:rPr>
              <w:t xml:space="preserve">Category</w:t>
            </w:r>
          </w:p>
        </w:tc>
        <w:tc>
          <w:tcPr>
            <w:tcW w:type="dxa" w:w="3000"/>
            <w:shd w:fill="1E2761" w:val="clear"/>
          </w:tcPr>
          <w:p>
            <w:r>
              <w:rPr>
                <w:b/>
                <w:bCs/>
                <w:color w:val="FFFFFF"/>
              </w:rPr>
              <w:t xml:space="preserve">Field</w:t>
            </w:r>
          </w:p>
        </w:tc>
        <w:tc>
          <w:tcPr>
            <w:tcW w:type="dxa" w:w="3000"/>
            <w:shd w:fill="1E2761" w:val="clear"/>
          </w:tcPr>
          <w:p>
            <w:r>
              <w:rPr>
                <w:b/>
                <w:bCs/>
                <w:color w:val="FFFFFF"/>
              </w:rPr>
              <w:t xml:space="preserve">Type / Scale</w:t>
            </w:r>
          </w:p>
        </w:tc>
      </w:tr>
      <w:tr>
        <w:tc>
          <w:tcPr>
            <w:tcW w:type="dxa" w:w="3000"/>
          </w:tcPr>
          <w:p>
            <w:r>
              <w:t xml:space="preserve">Habit</w:t>
            </w:r>
          </w:p>
        </w:tc>
        <w:tc>
          <w:tcPr>
            <w:tcW w:type="dxa" w:w="3000"/>
          </w:tcPr>
          <w:p>
            <w:r>
              <w:t xml:space="preserve">Sleep hours</w:t>
            </w:r>
          </w:p>
        </w:tc>
        <w:tc>
          <w:tcPr>
            <w:tcW w:type="dxa" w:w="3000"/>
          </w:tcPr>
          <w:p>
            <w:r>
              <w:t xml:space="preserve">Numeric (e.g., 0-12 hours)</w:t>
            </w:r>
          </w:p>
        </w:tc>
      </w:tr>
      <w:tr>
        <w:tc>
          <w:tcPr>
            <w:tcW w:type="dxa" w:w="3000"/>
          </w:tcPr>
          <w:p>
            <w:r>
              <w:t xml:space="preserve">Habit</w:t>
            </w:r>
          </w:p>
        </w:tc>
        <w:tc>
          <w:tcPr>
            <w:tcW w:type="dxa" w:w="3000"/>
          </w:tcPr>
          <w:p>
            <w:r>
              <w:t xml:space="preserve">Workout</w:t>
            </w:r>
          </w:p>
        </w:tc>
        <w:tc>
          <w:tcPr>
            <w:tcW w:type="dxa" w:w="3000"/>
          </w:tcPr>
          <w:p>
            <w:r>
              <w:t xml:space="preserve">Yes/No + Intensity (Low/Medium/High)</w:t>
            </w:r>
          </w:p>
        </w:tc>
      </w:tr>
      <w:tr>
        <w:tc>
          <w:tcPr>
            <w:tcW w:type="dxa" w:w="3000"/>
          </w:tcPr>
          <w:p>
            <w:r>
              <w:t xml:space="preserve">Habit</w:t>
            </w:r>
          </w:p>
        </w:tc>
        <w:tc>
          <w:tcPr>
            <w:tcW w:type="dxa" w:w="3000"/>
          </w:tcPr>
          <w:p>
            <w:r>
              <w:t xml:space="preserve">Water intake</w:t>
            </w:r>
          </w:p>
        </w:tc>
        <w:tc>
          <w:tcPr>
            <w:tcW w:type="dxa" w:w="3000"/>
          </w:tcPr>
          <w:p>
            <w:r>
              <w:t xml:space="preserve">Numeric (glasses or liters)</w:t>
            </w:r>
          </w:p>
        </w:tc>
      </w:tr>
      <w:tr>
        <w:tc>
          <w:tcPr>
            <w:tcW w:type="dxa" w:w="3000"/>
          </w:tcPr>
          <w:p>
            <w:r>
              <w:t xml:space="preserve">Habit</w:t>
            </w:r>
          </w:p>
        </w:tc>
        <w:tc>
          <w:tcPr>
            <w:tcW w:type="dxa" w:w="3000"/>
          </w:tcPr>
          <w:p>
            <w:r>
              <w:t xml:space="preserve">Screen time</w:t>
            </w:r>
          </w:p>
        </w:tc>
        <w:tc>
          <w:tcPr>
            <w:tcW w:type="dxa" w:w="3000"/>
          </w:tcPr>
          <w:p>
            <w:r>
              <w:t xml:space="preserve">Numeric (hours)</w:t>
            </w:r>
          </w:p>
        </w:tc>
      </w:tr>
      <w:tr>
        <w:tc>
          <w:tcPr>
            <w:tcW w:type="dxa" w:w="3000"/>
          </w:tcPr>
          <w:p>
            <w:r>
              <w:t xml:space="preserve">Feeling</w:t>
            </w:r>
          </w:p>
        </w:tc>
        <w:tc>
          <w:tcPr>
            <w:tcW w:type="dxa" w:w="3000"/>
          </w:tcPr>
          <w:p>
            <w:r>
              <w:t xml:space="preserve">Energy</w:t>
            </w:r>
          </w:p>
        </w:tc>
        <w:tc>
          <w:tcPr>
            <w:tcW w:type="dxa" w:w="3000"/>
          </w:tcPr>
          <w:p>
            <w:r>
              <w:t xml:space="preserve">1-5 scale</w:t>
            </w:r>
          </w:p>
        </w:tc>
      </w:tr>
      <w:tr>
        <w:tc>
          <w:tcPr>
            <w:tcW w:type="dxa" w:w="3000"/>
          </w:tcPr>
          <w:p>
            <w:r>
              <w:t xml:space="preserve">Feeling</w:t>
            </w:r>
          </w:p>
        </w:tc>
        <w:tc>
          <w:tcPr>
            <w:tcW w:type="dxa" w:w="3000"/>
          </w:tcPr>
          <w:p>
            <w:r>
              <w:t xml:space="preserve">Mood</w:t>
            </w:r>
          </w:p>
        </w:tc>
        <w:tc>
          <w:tcPr>
            <w:tcW w:type="dxa" w:w="3000"/>
          </w:tcPr>
          <w:p>
            <w:r>
              <w:t xml:space="preserve">1-5 scale</w:t>
            </w:r>
          </w:p>
        </w:tc>
      </w:tr>
      <w:tr>
        <w:tc>
          <w:tcPr>
            <w:tcW w:type="dxa" w:w="3000"/>
          </w:tcPr>
          <w:p>
            <w:r>
              <w:t xml:space="preserve">Feeling</w:t>
            </w:r>
          </w:p>
        </w:tc>
        <w:tc>
          <w:tcPr>
            <w:tcW w:type="dxa" w:w="3000"/>
          </w:tcPr>
          <w:p>
            <w:r>
              <w:t xml:space="preserve">Stress</w:t>
            </w:r>
          </w:p>
        </w:tc>
        <w:tc>
          <w:tcPr>
            <w:tcW w:type="dxa" w:w="3000"/>
          </w:tcPr>
          <w:p>
            <w:r>
              <w:t xml:space="preserve">1-5 scale</w:t>
            </w:r>
          </w:p>
        </w:tc>
      </w:tr>
      <w:tr>
        <w:tc>
          <w:tcPr>
            <w:tcW w:type="dxa" w:w="3000"/>
          </w:tcPr>
          <w:p>
            <w:r>
              <w:t xml:space="preserve">Feeling</w:t>
            </w:r>
          </w:p>
        </w:tc>
        <w:tc>
          <w:tcPr>
            <w:tcW w:type="dxa" w:w="3000"/>
          </w:tcPr>
          <w:p>
            <w:r>
              <w:t xml:space="preserve">Soreness</w:t>
            </w:r>
          </w:p>
        </w:tc>
        <w:tc>
          <w:tcPr>
            <w:tcW w:type="dxa" w:w="3000"/>
          </w:tcPr>
          <w:p>
            <w:r>
              <w:t xml:space="preserve">1-5 scale</w:t>
            </w:r>
          </w:p>
        </w:tc>
      </w:tr>
    </w:tbl>
    <w:p>
      <w:pPr>
        <w:spacing w:after="200"/>
      </w:pPr>
    </w:p>
    <w:p>
      <w:pPr>
        <w:spacing w:after="120"/>
      </w:pPr>
      <w:r>
        <w:t xml:space="preserve">Each user submits one check-in per calendar day capturing all 8 fields in a single form. Historical entries can be deleted (with confirmation) but not edited in v1.0.</w:t>
      </w:r>
    </w:p>
    <w:p>
      <w:pPr>
        <w:pStyle w:val="Heading1"/>
        <w:spacing w:after="150" w:before="300"/>
      </w:pPr>
      <w:r>
        <w:t xml:space="preserve">7. Core Feature: The Insight Engine</w:t>
      </w:r>
    </w:p>
    <w:p>
      <w:pPr>
        <w:spacing w:after="120"/>
      </w:pPr>
      <w:r>
        <w:t xml:space="preserve">The insight engine is the differentiated core of WhyIFeel. It is entirely self-built using statistical/data-science techniques — no external LLM or AI API is used.</w:t>
      </w:r>
    </w:p>
    <w:p>
      <w:pPr>
        <w:pStyle w:val="Heading2"/>
        <w:spacing w:after="120" w:before="250"/>
      </w:pPr>
      <w:r>
        <w:t xml:space="preserve">7.1 How It Works</w:t>
      </w:r>
    </w:p>
    <w:p>
      <w:pPr>
        <w:pStyle w:val="ListParagraph"/>
        <w:numPr>
          <w:ilvl w:val="0"/>
          <w:numId w:val="1"/>
        </w:numPr>
        <w:spacing w:after="60"/>
      </w:pPr>
      <w:r>
        <w:t xml:space="preserve">For each habit-feeling pair (e.g., sleep hours vs. energy), the engine segments the user's historical entries by habit condition (e.g., 'nights with 7+ hours sleep' vs. 'nights with under 7 hours') and compares the average feeling score between groups.</w:t>
      </w:r>
    </w:p>
    <w:p>
      <w:pPr>
        <w:pStyle w:val="ListParagraph"/>
        <w:numPr>
          <w:ilvl w:val="0"/>
          <w:numId w:val="1"/>
        </w:numPr>
        <w:spacing w:after="60"/>
      </w:pPr>
      <w:r>
        <w:t xml:space="preserve">The engine computes a percentage difference and a simple statistical confidence indicator based on sample size and variance.</w:t>
      </w:r>
    </w:p>
    <w:p>
      <w:pPr>
        <w:pStyle w:val="ListParagraph"/>
        <w:numPr>
          <w:ilvl w:val="0"/>
          <w:numId w:val="1"/>
        </w:numPr>
        <w:spacing w:after="60"/>
      </w:pPr>
      <w:r>
        <w:t xml:space="preserve">Insights are only surfaced once a minimum data threshold is met, and are labeled with a confidence tier (e.g., "Early Pattern" for limited data, "Confirmed Pattern" for well-supported correlations).</w:t>
      </w:r>
    </w:p>
    <w:p>
      <w:pPr>
        <w:pStyle w:val="ListParagraph"/>
        <w:numPr>
          <w:ilvl w:val="0"/>
          <w:numId w:val="1"/>
        </w:numPr>
        <w:spacing w:after="60"/>
      </w:pPr>
      <w:r>
        <w:t xml:space="preserve">Insights are ranked by strength of effect and confidence, and the top few are shown in plain language on the dashboard.</w:t>
      </w:r>
    </w:p>
    <w:p>
      <w:pPr>
        <w:pStyle w:val="Heading2"/>
        <w:spacing w:after="120" w:before="250"/>
      </w:pPr>
      <w:r>
        <w:t xml:space="preserve">7.2 Example Output</w:t>
      </w:r>
    </w:p>
    <w:p>
      <w:pPr>
        <w:spacing w:after="120"/>
      </w:pPr>
      <w:r>
        <w:rPr>
          <w:i/>
          <w:iCs/>
        </w:rPr>
        <w:t xml:space="preserve">"Confirmed Pattern: You report 40% higher energy on days following 7+ hours of sleep, based on 18 logged days."</w:t>
      </w:r>
    </w:p>
    <w:p>
      <w:pPr>
        <w:spacing w:after="120"/>
      </w:pPr>
      <w:r>
        <w:rPr>
          <w:i/>
          <w:iCs/>
        </w:rPr>
        <w:t xml:space="preserve">"Early Pattern: Workouts may be linked to lower stress — based on only 4 days so far, log more to confirm."</w:t>
      </w:r>
    </w:p>
    <w:p>
      <w:pPr>
        <w:pStyle w:val="Heading2"/>
        <w:spacing w:after="120" w:before="250"/>
      </w:pPr>
      <w:r>
        <w:t xml:space="preserve">7.3 Recalculation Strategy</w:t>
      </w:r>
    </w:p>
    <w:p>
      <w:pPr>
        <w:spacing w:after="120"/>
      </w:pPr>
      <w:r>
        <w:t xml:space="preserve">Insights are recalculated on-demand when the user loads their dashboard, not in real-time on every log entry and not via a background scheduler. This keeps the architecture simple while remaining fully responsive to new data, since the computation is lightweight.</w:t>
      </w:r>
    </w:p>
    <w:p>
      <w:pPr>
        <w:pStyle w:val="Heading1"/>
        <w:spacing w:after="150" w:before="300"/>
      </w:pPr>
      <w:r>
        <w:t xml:space="preserve">8. User Flows</w:t>
      </w:r>
    </w:p>
    <w:p>
      <w:pPr>
        <w:pStyle w:val="Heading2"/>
        <w:spacing w:after="120" w:before="250"/>
      </w:pPr>
      <w:r>
        <w:t xml:space="preserve">8.1 New User</w:t>
      </w:r>
    </w:p>
    <w:p>
      <w:pPr>
        <w:pStyle w:val="ListParagraph"/>
        <w:numPr>
          <w:ilvl w:val="0"/>
          <w:numId w:val="1"/>
        </w:numPr>
        <w:spacing w:after="60"/>
      </w:pPr>
      <w:r>
        <w:t xml:space="preserve">Sign up with username + password → Log in → Land on empty dashboard with prompt to log first check-in → (Optional) Generate demo data to preview insights immediately.</w:t>
      </w:r>
    </w:p>
    <w:p>
      <w:pPr>
        <w:pStyle w:val="Heading2"/>
        <w:spacing w:after="120" w:before="250"/>
      </w:pPr>
      <w:r>
        <w:t xml:space="preserve">8.2 Returning User</w:t>
      </w:r>
    </w:p>
    <w:p>
      <w:pPr>
        <w:pStyle w:val="ListParagraph"/>
        <w:numPr>
          <w:ilvl w:val="0"/>
          <w:numId w:val="1"/>
        </w:numPr>
        <w:spacing w:after="60"/>
      </w:pPr>
      <w:r>
        <w:t xml:space="preserve">Log in → Land on dashboard (insights recalculated on load) → Complete today's check-in if not already done → View updated trends/insights.</w:t>
      </w:r>
    </w:p>
    <w:p>
      <w:pPr>
        <w:pStyle w:val="Heading2"/>
        <w:spacing w:after="120" w:before="250"/>
      </w:pPr>
      <w:r>
        <w:t xml:space="preserve">8.3 Deleting an Entry</w:t>
      </w:r>
    </w:p>
    <w:p>
      <w:pPr>
        <w:pStyle w:val="ListParagraph"/>
        <w:numPr>
          <w:ilvl w:val="0"/>
          <w:numId w:val="1"/>
        </w:numPr>
        <w:spacing w:after="60"/>
      </w:pPr>
      <w:r>
        <w:t xml:space="preserve">User views history/log list → Selects an entry → Confirms deletion via dialog → Entry removed, dashboard reflects updated data on next load.</w:t>
      </w:r>
    </w:p>
    <w:p>
      <w:pPr>
        <w:pStyle w:val="Heading1"/>
        <w:spacing w:after="150" w:before="300"/>
      </w:pPr>
      <w:r>
        <w:t xml:space="preserve">9. Non-Functional Requirements</w:t>
      </w:r>
    </w:p>
    <w:p>
      <w:pPr>
        <w:pStyle w:val="ListParagraph"/>
        <w:numPr>
          <w:ilvl w:val="0"/>
          <w:numId w:val="1"/>
        </w:numPr>
        <w:spacing w:after="60"/>
      </w:pPr>
      <w:r>
        <w:t xml:space="preserve">Usability: Daily check-in should be completable in under 60 seconds.</w:t>
      </w:r>
    </w:p>
    <w:p>
      <w:pPr>
        <w:pStyle w:val="ListParagraph"/>
        <w:numPr>
          <w:ilvl w:val="0"/>
          <w:numId w:val="1"/>
        </w:numPr>
        <w:spacing w:after="60"/>
      </w:pPr>
      <w:r>
        <w:t xml:space="preserve">Performance: Dashboard and insight recalculation should load in a few seconds for realistic data volumes (up to a few hundred entries per user).</w:t>
      </w:r>
    </w:p>
    <w:p>
      <w:pPr>
        <w:pStyle w:val="ListParagraph"/>
        <w:numPr>
          <w:ilvl w:val="0"/>
          <w:numId w:val="1"/>
        </w:numPr>
        <w:spacing w:after="60"/>
      </w:pPr>
      <w:r>
        <w:t xml:space="preserve">Security: Passwords stored using proper hashing (never plain text); basic session/auth protection on all user-data routes.</w:t>
      </w:r>
    </w:p>
    <w:p>
      <w:pPr>
        <w:pStyle w:val="ListParagraph"/>
        <w:numPr>
          <w:ilvl w:val="0"/>
          <w:numId w:val="1"/>
        </w:numPr>
        <w:spacing w:after="60"/>
      </w:pPr>
      <w:r>
        <w:t xml:space="preserve">Reliability: App must remain functional and demo-ready at all times after Day 10 deployment.</w:t>
      </w:r>
    </w:p>
    <w:p>
      <w:pPr>
        <w:pStyle w:val="ListParagraph"/>
        <w:numPr>
          <w:ilvl w:val="0"/>
          <w:numId w:val="1"/>
        </w:numPr>
        <w:spacing w:after="60"/>
      </w:pPr>
      <w:r>
        <w:t xml:space="preserve">Accessibility: Reasonable color contrast and readable font sizes on charts and forms.</w:t>
      </w:r>
    </w:p>
    <w:p>
      <w:pPr>
        <w:pStyle w:val="Heading1"/>
        <w:spacing w:after="150" w:before="300"/>
      </w:pPr>
      <w:r>
        <w:t xml:space="preserve">10. Assumptions &amp; Constraints</w:t>
      </w:r>
    </w:p>
    <w:p>
      <w:pPr>
        <w:pStyle w:val="ListParagraph"/>
        <w:numPr>
          <w:ilvl w:val="0"/>
          <w:numId w:val="1"/>
        </w:numPr>
        <w:spacing w:after="60"/>
      </w:pPr>
      <w:r>
        <w:t xml:space="preserve">Solo developer, 2-3 hours/day available across 9 remaining days.</w:t>
      </w:r>
    </w:p>
    <w:p>
      <w:pPr>
        <w:pStyle w:val="ListParagraph"/>
        <w:numPr>
          <w:ilvl w:val="0"/>
          <w:numId w:val="1"/>
        </w:numPr>
        <w:spacing w:after="60"/>
      </w:pPr>
      <w:r>
        <w:t xml:space="preserve">Backend stack: Python (Flask or FastAPI, finalized on Setup day).</w:t>
      </w:r>
    </w:p>
    <w:p>
      <w:pPr>
        <w:pStyle w:val="ListParagraph"/>
        <w:numPr>
          <w:ilvl w:val="0"/>
          <w:numId w:val="1"/>
        </w:numPr>
        <w:spacing w:after="60"/>
      </w:pPr>
      <w:r>
        <w:t xml:space="preserve">No paid tools or services will be used at any stage.</w:t>
      </w:r>
    </w:p>
    <w:p>
      <w:pPr>
        <w:pStyle w:val="ListParagraph"/>
        <w:numPr>
          <w:ilvl w:val="0"/>
          <w:numId w:val="1"/>
        </w:numPr>
        <w:spacing w:after="60"/>
      </w:pPr>
      <w:r>
        <w:t xml:space="preserve">Deployment target: a free-tier hosting platform, selected during the Setup/Deployment phase.</w:t>
      </w:r>
    </w:p>
    <w:p>
      <w:pPr>
        <w:pStyle w:val="ListParagraph"/>
        <w:numPr>
          <w:ilvl w:val="0"/>
          <w:numId w:val="1"/>
        </w:numPr>
        <w:spacing w:after="60"/>
      </w:pPr>
      <w:r>
        <w:t xml:space="preserve">Demo strategy: real logged data (authenticity) plus seeded demo data (guaranteed "wow" insights) used together for the Day 10 demo.</w:t>
      </w:r>
    </w:p>
    <w:p>
      <w:pPr>
        <w:pStyle w:val="Heading1"/>
        <w:spacing w:after="150" w:before="300"/>
      </w:pPr>
      <w:r>
        <w:t xml:space="preserve">11.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2761" w:val="clear"/>
          </w:tcPr>
          <w:p>
            <w:r>
              <w:rPr>
                <w:b/>
                <w:bCs/>
                <w:color w:val="FFFFFF"/>
              </w:rPr>
              <w:t xml:space="preserve">Risk</w:t>
            </w:r>
          </w:p>
        </w:tc>
        <w:tc>
          <w:tcPr>
            <w:tcW w:type="dxa" w:w="4500"/>
            <w:shd w:fill="1E2761" w:val="clear"/>
          </w:tcPr>
          <w:p>
            <w:r>
              <w:rPr>
                <w:b/>
                <w:bCs/>
                <w:color w:val="FFFFFF"/>
              </w:rPr>
              <w:t xml:space="preserve">Mitigation</w:t>
            </w:r>
          </w:p>
        </w:tc>
      </w:tr>
      <w:tr>
        <w:tc>
          <w:tcPr>
            <w:tcW w:type="dxa" w:w="4500"/>
          </w:tcPr>
          <w:p>
            <w:r>
              <w:t xml:space="preserve">Not enough real data logged by Day 10 to show meaningful insights</w:t>
            </w:r>
          </w:p>
        </w:tc>
        <w:tc>
          <w:tcPr>
            <w:tcW w:type="dxa" w:w="4500"/>
          </w:tcPr>
          <w:p>
            <w:r>
              <w:t xml:space="preserve">Seed/demo-data generator guarantees rich insights regardless of real logging volume</w:t>
            </w:r>
          </w:p>
        </w:tc>
      </w:tr>
      <w:tr>
        <w:tc>
          <w:tcPr>
            <w:tcW w:type="dxa" w:w="4500"/>
          </w:tcPr>
          <w:p>
            <w:r>
              <w:t xml:space="preserve">Scope creep (extra fields, extra features)</w:t>
            </w:r>
          </w:p>
        </w:tc>
        <w:tc>
          <w:tcPr>
            <w:tcW w:type="dxa" w:w="4500"/>
          </w:tcPr>
          <w:p>
            <w:r>
              <w:t xml:space="preserve">Field list and feature list locked in this PRD; changes require explicit re-scoping</w:t>
            </w:r>
          </w:p>
        </w:tc>
      </w:tr>
      <w:tr>
        <w:tc>
          <w:tcPr>
            <w:tcW w:type="dxa" w:w="4500"/>
          </w:tcPr>
          <w:p>
            <w:r>
              <w:t xml:space="preserve">Insight engine feels generic or trivial</w:t>
            </w:r>
          </w:p>
        </w:tc>
        <w:tc>
          <w:tcPr>
            <w:tcW w:type="dxa" w:w="4500"/>
          </w:tcPr>
          <w:p>
            <w:r>
              <w:t xml:space="preserve">Confidence-tiered, plain-language framing plus ranking by effect size to prioritize the most interesting patterns</w:t>
            </w:r>
          </w:p>
        </w:tc>
      </w:tr>
      <w:tr>
        <w:tc>
          <w:tcPr>
            <w:tcW w:type="dxa" w:w="4500"/>
          </w:tcPr>
          <w:p>
            <w:r>
              <w:t xml:space="preserve">Running out of time on auth or infra</w:t>
            </w:r>
          </w:p>
        </w:tc>
        <w:tc>
          <w:tcPr>
            <w:tcW w:type="dxa" w:w="4500"/>
          </w:tcPr>
          <w:p>
            <w:r>
              <w:t xml:space="preserve">Auth deliberately kept minimal (username/password only, no email/OAuth)</w:t>
            </w:r>
          </w:p>
        </w:tc>
      </w:tr>
    </w:tbl>
    <w:p>
      <w:pPr>
        <w:pStyle w:val="Heading1"/>
        <w:spacing w:after="150" w:before="300"/>
      </w:pPr>
      <w:r>
        <w:t xml:space="preserve">12. Glossary</w:t>
      </w:r>
    </w:p>
    <w:p>
      <w:pPr>
        <w:pStyle w:val="ListParagraph"/>
        <w:numPr>
          <w:ilvl w:val="0"/>
          <w:numId w:val="1"/>
        </w:numPr>
        <w:spacing w:after="60"/>
      </w:pPr>
      <w:r>
        <w:t xml:space="preserve">Check-in: A single daily submission covering all 8 habit/feeling fields.</w:t>
      </w:r>
    </w:p>
    <w:p>
      <w:pPr>
        <w:pStyle w:val="ListParagraph"/>
        <w:numPr>
          <w:ilvl w:val="0"/>
          <w:numId w:val="1"/>
        </w:numPr>
        <w:spacing w:after="60"/>
      </w:pPr>
      <w:r>
        <w:t xml:space="preserve">Insight: A plain-language statement describing a correlation between a habit and a feeling, with an associated confidence tier.</w:t>
      </w:r>
    </w:p>
    <w:p>
      <w:pPr>
        <w:pStyle w:val="ListParagraph"/>
        <w:numPr>
          <w:ilvl w:val="0"/>
          <w:numId w:val="1"/>
        </w:numPr>
        <w:spacing w:after="60"/>
      </w:pPr>
      <w:r>
        <w:t xml:space="preserve">Confidence tier: A label (e.g., Early Pattern / Confirmed Pattern) indicating how much data supports a given insight.</w:t>
      </w:r>
    </w:p>
    <w:p>
      <w:pPr>
        <w:pStyle w:val="ListParagraph"/>
        <w:numPr>
          <w:ilvl w:val="0"/>
          <w:numId w:val="1"/>
        </w:numPr>
        <w:spacing w:after="60"/>
      </w:pPr>
      <w:r>
        <w:t xml:space="preserve">Seed/demo data: Artificially generated historical check-in data used to guarantee a strong dashboard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2026-07-21T11:11:26.711Z</dcterms:created>
  <dcterms:modified xsi:type="dcterms:W3CDTF">2026-07-21T11:11:26.997Z</dcterms:modified>
</cp:coreProperties>
</file>

<file path=docProps/custom.xml><?xml version="1.0" encoding="utf-8"?>
<Properties xmlns="http://schemas.openxmlformats.org/officeDocument/2006/custom-properties" xmlns:vt="http://schemas.openxmlformats.org/officeDocument/2006/docPropsVTypes"/>
</file>